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4EC" w:rsidP="009A0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MEM05070 Write and proof programs for NC/CNC thermal cutting machines</w:t>
      </w:r>
      <w:r>
        <w:fldChar w:fldCharType="end"/>
      </w:r>
    </w:p>
    <w:p w:rsidR="009A04EC" w:rsidP="009A04EC">
      <w:pPr>
        <w:pStyle w:val="Version"/>
        <w:sectPr w:rsidSect="00F97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76A" w:rsidP="00F9776A">
      <w:pPr>
        <w:pStyle w:val="SuperHeading"/>
      </w:pPr>
      <w:r w:rsidRPr="00F9776A">
        <w:t>Assessment Requirements for MEM05070 Write and proof programs for NC/CNC thermal cutting machines</w:t>
      </w:r>
    </w:p>
    <w:p w:rsidR="00000000" w:rsidRPr="00F9776A" w:rsidP="00F9776A">
      <w:pPr>
        <w:pStyle w:val="Heading1"/>
      </w:pPr>
      <w:bookmarkStart w:id="1" w:name="O_1270571"/>
      <w:bookmarkEnd w:id="1"/>
      <w:r w:rsidRPr="00F9776A">
        <w:t>Modification History</w:t>
      </w:r>
    </w:p>
    <w:p w:rsidR="00000000" w:rsidRPr="00F9776A" w:rsidP="009A04EC">
      <w:pPr>
        <w:pStyle w:val="BodyText"/>
      </w:pPr>
      <w:r w:rsidRPr="00F9776A">
        <w:t>Release 1. New Unit.</w:t>
      </w:r>
    </w:p>
    <w:p w:rsidR="00000000" w:rsidRPr="00F9776A" w:rsidP="00F9776A">
      <w:pPr>
        <w:pStyle w:val="Heading1"/>
      </w:pPr>
      <w:bookmarkStart w:id="2" w:name="O_1270572"/>
      <w:bookmarkEnd w:id="2"/>
      <w:r w:rsidRPr="00F9776A">
        <w:t>Performance Evidence</w:t>
      </w:r>
    </w:p>
    <w:p w:rsidR="00000000" w:rsidRPr="00F9776A" w:rsidP="009A04EC">
      <w:pPr>
        <w:pStyle w:val="BodyText"/>
      </w:pPr>
      <w:r w:rsidRPr="00F9776A">
        <w:t>Evidence required to demonstrate competence in this unit must be relevant to and satisfy the requirements of the elements and performance criteria and include the ability to:</w:t>
      </w:r>
    </w:p>
    <w:p w:rsidR="00000000" w:rsidRPr="00F9776A" w:rsidP="00F9776A">
      <w:pPr>
        <w:pStyle w:val="ListBullet"/>
      </w:pPr>
      <w:r w:rsidRPr="00F9776A">
        <w:t xml:space="preserve">identify and interpret customer specifications, engineering drawings, and other </w:t>
      </w:r>
      <w:r w:rsidRPr="00F9776A">
        <w:t>applicable reference documents for information relevant to writing programs for numerical control (NC)/computer numerical control (CNC) thermal cutting machines</w:t>
      </w:r>
    </w:p>
    <w:p w:rsidR="00000000" w:rsidRPr="00F9776A" w:rsidP="00F9776A">
      <w:pPr>
        <w:pStyle w:val="ListBullet"/>
      </w:pPr>
      <w:r w:rsidRPr="00F9776A">
        <w:t xml:space="preserve">identify materials and consumables compliance against job specifications </w:t>
      </w:r>
    </w:p>
    <w:p w:rsidR="00000000" w:rsidRPr="00F9776A" w:rsidP="00F9776A">
      <w:pPr>
        <w:pStyle w:val="ListBullet"/>
      </w:pPr>
      <w:r w:rsidRPr="00F9776A">
        <w:t>identify required the</w:t>
      </w:r>
      <w:r w:rsidRPr="00F9776A">
        <w:t>rmal operations to be incorporated in the NC/CNC thermal cutting program</w:t>
      </w:r>
    </w:p>
    <w:p w:rsidR="00000000" w:rsidRPr="00F9776A" w:rsidP="00F9776A">
      <w:pPr>
        <w:pStyle w:val="ListBullet"/>
      </w:pPr>
      <w:r w:rsidRPr="00F9776A">
        <w:t>determine coordinates for cutting path and producing operation sheets for the program and process</w:t>
      </w:r>
    </w:p>
    <w:p w:rsidR="00000000" w:rsidRPr="00F9776A" w:rsidP="00F9776A">
      <w:pPr>
        <w:pStyle w:val="ListBullet"/>
      </w:pPr>
      <w:r w:rsidRPr="00F9776A">
        <w:t>record using the machine controller of weld coordinates and torch movements</w:t>
      </w:r>
    </w:p>
    <w:p w:rsidR="00000000" w:rsidRPr="00F9776A" w:rsidP="00F9776A">
      <w:pPr>
        <w:pStyle w:val="ListBullet"/>
      </w:pPr>
      <w:r w:rsidRPr="00F9776A">
        <w:t>use softw</w:t>
      </w:r>
      <w:r w:rsidRPr="00F9776A">
        <w:t xml:space="preserve">are including G and M codes and canned cycles and sub-routines for programming thermal cutting operations </w:t>
      </w:r>
    </w:p>
    <w:p w:rsidR="00000000" w:rsidRPr="00F9776A" w:rsidP="00F9776A">
      <w:pPr>
        <w:pStyle w:val="ListBullet"/>
      </w:pPr>
      <w:r w:rsidRPr="00F9776A">
        <w:t>trial the program ensuring the thermal cutting machine operates safely and correctly and cuts to specification</w:t>
      </w:r>
    </w:p>
    <w:p w:rsidR="00000000" w:rsidRPr="00F9776A" w:rsidP="00F9776A">
      <w:pPr>
        <w:pStyle w:val="ListBullet"/>
      </w:pPr>
      <w:r w:rsidRPr="00F9776A">
        <w:t>edit the thermal cutting machine progr</w:t>
      </w:r>
      <w:r w:rsidRPr="00F9776A">
        <w:t>am to ensure compliance with specifications</w:t>
      </w:r>
    </w:p>
    <w:p w:rsidR="00000000" w:rsidRPr="00F9776A" w:rsidP="00F9776A">
      <w:pPr>
        <w:pStyle w:val="ListBullet"/>
      </w:pPr>
      <w:r w:rsidRPr="00F9776A">
        <w:t>access and use the NC/CNC thermal cutting machine file library of shapes.</w:t>
      </w:r>
    </w:p>
    <w:p w:rsidR="00000000" w:rsidRPr="009A04EC" w:rsidP="009A04EC">
      <w:pPr>
        <w:pStyle w:val="BodyText"/>
        <w:rPr>
          <w:i/>
        </w:rPr>
      </w:pPr>
      <w:r w:rsidRPr="009A04EC">
        <w:rPr>
          <w:rStyle w:val="Emphasis"/>
        </w:rPr>
        <w:t>Note: Where a volume and/or frequency is not specified, demonstration must be provided at least once.</w:t>
      </w:r>
    </w:p>
    <w:p w:rsidR="00000000" w:rsidRPr="00F9776A" w:rsidP="00F9776A">
      <w:pPr>
        <w:pStyle w:val="Heading1"/>
      </w:pPr>
      <w:bookmarkStart w:id="3" w:name="O_1270573"/>
      <w:bookmarkEnd w:id="3"/>
      <w:r w:rsidRPr="00F9776A">
        <w:t>Knowledge Evidenc</w:t>
      </w:r>
      <w:r w:rsidRPr="00F9776A">
        <w:t>e</w:t>
      </w:r>
    </w:p>
    <w:p w:rsidR="00000000" w:rsidRPr="00F9776A" w:rsidP="009A04EC">
      <w:pPr>
        <w:pStyle w:val="BodyText"/>
      </w:pPr>
      <w:r w:rsidRPr="00F9776A">
        <w:t>Evidence required to demonstrate competence in this unit must be relevant to and satisfy the requirements of the elements and performance criteria and include the ability to:</w:t>
      </w:r>
    </w:p>
    <w:p w:rsidR="00000000" w:rsidRPr="00F9776A" w:rsidP="00F9776A">
      <w:pPr>
        <w:pStyle w:val="ListBullet"/>
      </w:pPr>
      <w:r w:rsidRPr="00F9776A">
        <w:t xml:space="preserve">safety features and requirements of NC/CNC thermal cutting machines  </w:t>
      </w:r>
    </w:p>
    <w:p w:rsidR="00000000" w:rsidRPr="00F9776A" w:rsidP="00F9776A">
      <w:pPr>
        <w:pStyle w:val="ListBullet"/>
      </w:pPr>
      <w:r w:rsidRPr="00F9776A">
        <w:t>types of</w:t>
      </w:r>
      <w:r w:rsidRPr="00F9776A">
        <w:t xml:space="preserve"> NC/CNC thermal cutting machines and their applications</w:t>
      </w:r>
    </w:p>
    <w:p w:rsidR="00000000" w:rsidRPr="00F9776A" w:rsidP="00F9776A">
      <w:pPr>
        <w:pStyle w:val="ListBullet"/>
      </w:pPr>
      <w:r w:rsidRPr="00F9776A">
        <w:t xml:space="preserve">standard NC/CNC thermal cutting machine programming including the role of G and M codes and comments, and input controls for NC/CNC thermal cutting machine programs </w:t>
      </w:r>
    </w:p>
    <w:p w:rsidR="00000000" w:rsidRPr="00F9776A" w:rsidP="00F9776A">
      <w:pPr>
        <w:pStyle w:val="ListBullet"/>
      </w:pPr>
      <w:r w:rsidRPr="00F9776A">
        <w:t>default positions, zero point, and other datum points used by NC/CNC thermal cutting machines</w:t>
      </w:r>
    </w:p>
    <w:p w:rsidR="00000000" w:rsidRPr="00F9776A" w:rsidP="00F9776A">
      <w:pPr>
        <w:pStyle w:val="ListBullet"/>
      </w:pPr>
      <w:r w:rsidRPr="00F9776A">
        <w:t>system menus and commands including:</w:t>
      </w:r>
    </w:p>
    <w:p w:rsidR="00000000" w:rsidRPr="00F9776A" w:rsidP="00F9776A">
      <w:pPr>
        <w:pStyle w:val="ListBullet2"/>
      </w:pPr>
      <w:r w:rsidRPr="00F9776A">
        <w:t>thermal cutting machine specific parameters</w:t>
      </w:r>
    </w:p>
    <w:p w:rsidR="00000000" w:rsidRPr="00F9776A" w:rsidP="00F9776A">
      <w:pPr>
        <w:pStyle w:val="ListBullet2"/>
      </w:pPr>
      <w:r w:rsidRPr="00F9776A">
        <w:t>job specific parameters</w:t>
      </w:r>
    </w:p>
    <w:p w:rsidR="00000000" w:rsidRPr="00F9776A" w:rsidP="00F9776A">
      <w:pPr>
        <w:pStyle w:val="ListBullet"/>
      </w:pPr>
      <w:r w:rsidRPr="00F9776A">
        <w:t>procedures for trialling and editing thermal cutting ma</w:t>
      </w:r>
      <w:r w:rsidRPr="00F9776A">
        <w:t>chine programs via software and the machine controller</w:t>
      </w:r>
    </w:p>
    <w:p w:rsidR="00000000" w:rsidRPr="00F9776A" w:rsidP="00F9776A">
      <w:pPr>
        <w:pStyle w:val="ListBullet"/>
      </w:pPr>
      <w:r w:rsidRPr="00F9776A">
        <w:t>procedures for manual operation of the thermal cutting machine.</w:t>
      </w:r>
    </w:p>
    <w:p w:rsidR="00000000" w:rsidRPr="00F9776A" w:rsidP="00F9776A">
      <w:pPr>
        <w:pStyle w:val="AllowPageBreak"/>
      </w:pPr>
    </w:p>
    <w:p w:rsidR="00000000" w:rsidRPr="00F9776A" w:rsidP="00F9776A">
      <w:pPr>
        <w:pStyle w:val="Heading1"/>
      </w:pPr>
      <w:bookmarkStart w:id="4" w:name="O_1270574"/>
      <w:bookmarkEnd w:id="4"/>
      <w:r w:rsidRPr="00F9776A">
        <w:t>Assessment Conditions</w:t>
      </w:r>
    </w:p>
    <w:p w:rsidR="00000000" w:rsidRPr="00F9776A" w:rsidP="00F9776A">
      <w:pPr>
        <w:pStyle w:val="ListBullet"/>
      </w:pPr>
      <w:r w:rsidRPr="00F9776A">
        <w:t>Assessors must:</w:t>
      </w:r>
    </w:p>
    <w:p w:rsidR="00000000" w:rsidRPr="00F9776A" w:rsidP="00F9776A">
      <w:pPr>
        <w:pStyle w:val="ListBullet2"/>
      </w:pPr>
      <w:r w:rsidRPr="00F9776A">
        <w:t>have vocational competency in writing and proofing programs for NC/CNC thermal</w:t>
      </w:r>
      <w:r w:rsidRPr="00F9776A">
        <w:t xml:space="preserve"> cutting operations at least to the level being assessed with relevant industry knowledge and experience</w:t>
      </w:r>
    </w:p>
    <w:p w:rsidR="00000000" w:rsidRPr="00F9776A" w:rsidP="00F9776A">
      <w:pPr>
        <w:pStyle w:val="ListBullet2"/>
      </w:pPr>
      <w:r w:rsidRPr="00F9776A">
        <w:t xml:space="preserve">satisfy the assessor requirements in the </w:t>
      </w:r>
      <w:r w:rsidRPr="00F9776A">
        <w:rPr>
          <w:rStyle w:val="Emphasis"/>
        </w:rPr>
        <w:t xml:space="preserve">Standards for Registered Training Organisations 2015 </w:t>
      </w:r>
      <w:r w:rsidRPr="00F9776A">
        <w:t>or its replacement</w:t>
      </w:r>
      <w:r w:rsidRPr="00F9776A">
        <w:rPr>
          <w:rStyle w:val="Emphasis"/>
        </w:rPr>
        <w:t xml:space="preserve"> </w:t>
      </w:r>
      <w:r w:rsidRPr="00F9776A">
        <w:t xml:space="preserve">and comply with the </w:t>
      </w:r>
      <w:r w:rsidRPr="00F9776A">
        <w:rPr>
          <w:rStyle w:val="Emphasis"/>
        </w:rPr>
        <w:t>National Vocationa</w:t>
      </w:r>
      <w:r w:rsidRPr="00F9776A">
        <w:rPr>
          <w:rStyle w:val="Emphasis"/>
        </w:rPr>
        <w:t xml:space="preserve">l Education and Training Regulator Act 2011, </w:t>
      </w:r>
      <w:r w:rsidRPr="00F9776A">
        <w:t>its replacement</w:t>
      </w:r>
      <w:r w:rsidRPr="00F9776A">
        <w:rPr>
          <w:rStyle w:val="Emphasis"/>
        </w:rPr>
        <w:t xml:space="preserve"> </w:t>
      </w:r>
      <w:r w:rsidRPr="00F9776A">
        <w:t>or equivalent legislation covering VET regulation in a non-referring state/territory as the case requires.</w:t>
      </w:r>
    </w:p>
    <w:p w:rsidR="00000000" w:rsidRPr="00F9776A" w:rsidP="00F9776A">
      <w:pPr>
        <w:pStyle w:val="ListBullet"/>
      </w:pPr>
      <w:r w:rsidRPr="00F9776A">
        <w:t>Assessment must occur in a functioning workplace. Where assessment in the workplace wou</w:t>
      </w:r>
      <w:r w:rsidRPr="00F9776A">
        <w:t>ld be unsafe, impractical or threatens the environment, assessment must occur in a sufficiently rigorous simulated environment that reflects the circumstances that would be experienced in a functioning workplace. Assessment must cover all aspects of workpl</w:t>
      </w:r>
      <w:r w:rsidRPr="00F9776A">
        <w:t>ace performance, including task skills, task management skills, contingency management skills and job role environment skills.</w:t>
      </w:r>
    </w:p>
    <w:p w:rsidR="00000000" w:rsidRPr="00F9776A" w:rsidP="00F9776A">
      <w:pPr>
        <w:pStyle w:val="ListBullet"/>
      </w:pPr>
      <w:r w:rsidRPr="00F9776A">
        <w:t>Knowledge assessment may be either verbal or written but must adequately reflect the knowledge requirements of the unit in a func</w:t>
      </w:r>
      <w:r w:rsidRPr="00F9776A">
        <w:t>tioning workplace.</w:t>
      </w:r>
    </w:p>
    <w:p w:rsidR="00000000" w:rsidRPr="00F9776A" w:rsidP="00F9776A">
      <w:pPr>
        <w:pStyle w:val="ListBullet"/>
      </w:pPr>
      <w:r w:rsidRPr="00F9776A">
        <w:t>Conditions for assessment must include access to all tools, equipment, materials and documentation required, including relevant workplace procedures, product and manufacturing specifications.</w:t>
      </w:r>
    </w:p>
    <w:p w:rsidR="00000000" w:rsidRPr="00F9776A" w:rsidP="00F9776A">
      <w:pPr>
        <w:pStyle w:val="ListBullet"/>
      </w:pPr>
      <w:r w:rsidRPr="00F9776A">
        <w:t>Assessment processes and techniques must be appropriate to the language, literacy and numeracy requirements of the work being performed and the needs of the candidate.</w:t>
      </w:r>
    </w:p>
    <w:p w:rsidR="00000000" w:rsidRPr="00F9776A" w:rsidP="00F9776A">
      <w:pPr>
        <w:pStyle w:val="AllowPageBreak"/>
      </w:pPr>
    </w:p>
    <w:p w:rsidR="00000000" w:rsidRPr="00F9776A" w:rsidP="00F9776A">
      <w:pPr>
        <w:pStyle w:val="Heading1"/>
      </w:pPr>
      <w:bookmarkStart w:id="5" w:name="O_1270577"/>
      <w:bookmarkEnd w:id="5"/>
      <w:r w:rsidRPr="00F9776A">
        <w:t>Links</w:t>
      </w:r>
    </w:p>
    <w:p w:rsidR="00000000" w:rsidRPr="00F9776A" w:rsidP="009A04EC">
      <w:pPr>
        <w:pStyle w:val="BodyText"/>
      </w:pPr>
      <w:r w:rsidRPr="00F977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53C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9776A" w:rsidP="00F9776A"/>
    <w:sectPr w:rsidSect="00F977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6A" w:rsidRPr="009A04EC" w:rsidP="009A0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EC" w:rsidP="00F97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04EC" w:rsidP="00F97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04EC" w:rsidP="00F977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76A" w:rsidRPr="009A04EC" w:rsidP="009A0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EC" w:rsidRPr="002D2AF8" w:rsidP="00F97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MEM05070 Write and proof programs for NC/CNC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A04EC" w:rsidP="00F977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6A4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F47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6EFC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76A"/>
  </w:style>
  <w:style w:type="character" w:customStyle="1" w:styleId="Heading1Char">
    <w:name w:val="Heading 1 Char"/>
    <w:basedOn w:val="DefaultParagraphFont"/>
    <w:link w:val="Heading1"/>
    <w:rsid w:val="00F97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7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7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7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77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776A"/>
    <w:rPr>
      <w:i/>
    </w:rPr>
  </w:style>
  <w:style w:type="paragraph" w:customStyle="1" w:styleId="SuperHeading">
    <w:name w:val="SuperHeading"/>
    <w:basedOn w:val="Normal"/>
    <w:rsid w:val="00F977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7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7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7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7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76A"/>
    <w:rPr>
      <w:b/>
      <w:spacing w:val="0"/>
    </w:rPr>
  </w:style>
  <w:style w:type="paragraph" w:customStyle="1" w:styleId="SuperTitle">
    <w:name w:val="SuperTitle"/>
    <w:basedOn w:val="Title"/>
    <w:rsid w:val="00F97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7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7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76A"/>
  </w:style>
  <w:style w:type="paragraph" w:styleId="TableofFigures">
    <w:name w:val="table of figures"/>
    <w:basedOn w:val="Normal"/>
    <w:next w:val="Normal"/>
    <w:semiHidden/>
    <w:rsid w:val="00F97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7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776A"/>
    <w:rPr>
      <w:rFonts w:ascii="Wingdings" w:hAnsi="Wingdings"/>
    </w:rPr>
  </w:style>
  <w:style w:type="paragraph" w:customStyle="1" w:styleId="TableHeading">
    <w:name w:val="Table Heading"/>
    <w:basedOn w:val="HeadingBase"/>
    <w:rsid w:val="00F97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76A"/>
    <w:rPr>
      <w:color w:val="0033CC"/>
      <w:u w:val="none"/>
    </w:rPr>
  </w:style>
  <w:style w:type="paragraph" w:customStyle="1" w:styleId="BodyTextRight">
    <w:name w:val="Body Text Right"/>
    <w:basedOn w:val="BodyText"/>
    <w:rsid w:val="00F97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7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7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76A"/>
    <w:rPr>
      <w:sz w:val="32"/>
    </w:rPr>
  </w:style>
  <w:style w:type="paragraph" w:customStyle="1" w:styleId="HeadingProcedure">
    <w:name w:val="Heading Procedure"/>
    <w:basedOn w:val="HeadingBase"/>
    <w:next w:val="Normal"/>
    <w:rsid w:val="00F97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76A"/>
    <w:pPr>
      <w:spacing w:before="60" w:after="60"/>
    </w:pPr>
  </w:style>
  <w:style w:type="paragraph" w:styleId="ListContinue">
    <w:name w:val="List Continue"/>
    <w:basedOn w:val="List"/>
    <w:rsid w:val="00F9776A"/>
    <w:pPr>
      <w:ind w:firstLine="0"/>
    </w:pPr>
  </w:style>
  <w:style w:type="paragraph" w:customStyle="1" w:styleId="ListNote">
    <w:name w:val="List Note"/>
    <w:basedOn w:val="List"/>
    <w:rsid w:val="00F97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76A"/>
    <w:rPr>
      <w:rFonts w:ascii="Courier New" w:hAnsi="Courier New"/>
    </w:rPr>
  </w:style>
  <w:style w:type="paragraph" w:customStyle="1" w:styleId="NoteBullet">
    <w:name w:val="Note Bullet"/>
    <w:basedOn w:val="Note"/>
    <w:rsid w:val="00F97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7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7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76A"/>
    <w:rPr>
      <w:b/>
      <w:smallCaps/>
    </w:rPr>
  </w:style>
  <w:style w:type="paragraph" w:customStyle="1" w:styleId="TableListNumber">
    <w:name w:val="Table List Number"/>
    <w:basedOn w:val="ListNumber"/>
    <w:rsid w:val="00F97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76A"/>
    <w:pPr>
      <w:numPr>
        <w:numId w:val="9"/>
      </w:numPr>
    </w:pPr>
  </w:style>
  <w:style w:type="paragraph" w:customStyle="1" w:styleId="ListAlpha2">
    <w:name w:val="List Alpha 2"/>
    <w:basedOn w:val="List2"/>
    <w:rsid w:val="00F9776A"/>
    <w:pPr>
      <w:numPr>
        <w:numId w:val="8"/>
      </w:numPr>
    </w:pPr>
  </w:style>
  <w:style w:type="paragraph" w:styleId="List2">
    <w:name w:val="List 2"/>
    <w:basedOn w:val="BodyText"/>
    <w:rsid w:val="00F977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7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7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76A"/>
    <w:pPr>
      <w:numPr>
        <w:numId w:val="4"/>
      </w:numPr>
    </w:pPr>
  </w:style>
  <w:style w:type="paragraph" w:styleId="ListContinue2">
    <w:name w:val="List Continue 2"/>
    <w:basedOn w:val="List2"/>
    <w:rsid w:val="00F9776A"/>
    <w:pPr>
      <w:ind w:firstLine="0"/>
    </w:pPr>
  </w:style>
  <w:style w:type="paragraph" w:styleId="ListContinue3">
    <w:name w:val="List Continue 3"/>
    <w:basedOn w:val="List3"/>
    <w:rsid w:val="00F9776A"/>
    <w:pPr>
      <w:ind w:left="1021" w:firstLine="0"/>
    </w:pPr>
  </w:style>
  <w:style w:type="paragraph" w:styleId="ListContinue4">
    <w:name w:val="List Continue 4"/>
    <w:basedOn w:val="List4"/>
    <w:rsid w:val="00F9776A"/>
    <w:pPr>
      <w:ind w:firstLine="0"/>
    </w:pPr>
  </w:style>
  <w:style w:type="paragraph" w:styleId="ListContinue5">
    <w:name w:val="List Continue 5"/>
    <w:basedOn w:val="List5"/>
    <w:rsid w:val="00F9776A"/>
    <w:pPr>
      <w:ind w:firstLine="0"/>
    </w:pPr>
  </w:style>
  <w:style w:type="paragraph" w:styleId="ListNumber3">
    <w:name w:val="List Number 3"/>
    <w:basedOn w:val="List3"/>
    <w:rsid w:val="00F9776A"/>
    <w:pPr>
      <w:numPr>
        <w:numId w:val="5"/>
      </w:numPr>
    </w:pPr>
  </w:style>
  <w:style w:type="paragraph" w:styleId="ListNumber4">
    <w:name w:val="List Number 4"/>
    <w:basedOn w:val="List4"/>
    <w:rsid w:val="00F9776A"/>
    <w:pPr>
      <w:numPr>
        <w:numId w:val="6"/>
      </w:numPr>
    </w:pPr>
  </w:style>
  <w:style w:type="paragraph" w:styleId="ListNumber5">
    <w:name w:val="List Number 5"/>
    <w:basedOn w:val="List5"/>
    <w:rsid w:val="00F9776A"/>
    <w:pPr>
      <w:numPr>
        <w:numId w:val="7"/>
      </w:numPr>
    </w:pPr>
  </w:style>
  <w:style w:type="paragraph" w:styleId="BlockText">
    <w:name w:val="Block Text"/>
    <w:basedOn w:val="Normal"/>
    <w:rsid w:val="00F97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76A"/>
    <w:rPr>
      <w:sz w:val="16"/>
      <w:vertAlign w:val="superscript"/>
    </w:rPr>
  </w:style>
  <w:style w:type="character" w:customStyle="1" w:styleId="Symbols">
    <w:name w:val="Symbols"/>
    <w:basedOn w:val="DefaultParagraphFont"/>
    <w:rsid w:val="00F9776A"/>
    <w:rPr>
      <w:rFonts w:ascii="Symbol" w:hAnsi="Symbol"/>
    </w:rPr>
  </w:style>
  <w:style w:type="character" w:customStyle="1" w:styleId="MenuOptions">
    <w:name w:val="Menu Options"/>
    <w:basedOn w:val="DefaultParagraphFont"/>
    <w:rsid w:val="00F97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76A"/>
    <w:rPr>
      <w:b/>
    </w:rPr>
  </w:style>
  <w:style w:type="character" w:customStyle="1" w:styleId="Underlined">
    <w:name w:val="Underlined"/>
    <w:basedOn w:val="DefaultParagraphFont"/>
    <w:rsid w:val="00F9776A"/>
    <w:rPr>
      <w:u w:val="single"/>
    </w:rPr>
  </w:style>
  <w:style w:type="paragraph" w:customStyle="1" w:styleId="TableBodyTextRight">
    <w:name w:val="Table Body Text Right"/>
    <w:basedOn w:val="TableBodyText"/>
    <w:rsid w:val="00F97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76A"/>
    <w:rPr>
      <w:sz w:val="18"/>
    </w:rPr>
  </w:style>
  <w:style w:type="paragraph" w:customStyle="1" w:styleId="BodySmallRight">
    <w:name w:val="Body Small Right"/>
    <w:basedOn w:val="BodyTextRight"/>
    <w:rsid w:val="00F9776A"/>
    <w:rPr>
      <w:sz w:val="18"/>
      <w:szCs w:val="18"/>
    </w:rPr>
  </w:style>
  <w:style w:type="paragraph" w:customStyle="1" w:styleId="MarginEdition">
    <w:name w:val="Margin Edition"/>
    <w:basedOn w:val="MarginNote"/>
    <w:rsid w:val="00F97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76A"/>
    <w:rPr>
      <w:sz w:val="2"/>
      <w:szCs w:val="2"/>
    </w:rPr>
  </w:style>
  <w:style w:type="character" w:customStyle="1" w:styleId="Small">
    <w:name w:val="Small"/>
    <w:basedOn w:val="DefaultParagraphFont"/>
    <w:rsid w:val="00F9776A"/>
    <w:rPr>
      <w:sz w:val="16"/>
    </w:rPr>
  </w:style>
  <w:style w:type="paragraph" w:customStyle="1" w:styleId="WideTable">
    <w:name w:val="Wide Table"/>
    <w:basedOn w:val="Normal"/>
    <w:rsid w:val="00F97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76A"/>
  </w:style>
  <w:style w:type="paragraph" w:styleId="Quote">
    <w:name w:val="Quote"/>
    <w:basedOn w:val="Heading1"/>
    <w:link w:val="QuoteChar"/>
    <w:qFormat/>
    <w:rsid w:val="00F97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76A"/>
    <w:pPr>
      <w:pageBreakBefore/>
    </w:pPr>
  </w:style>
  <w:style w:type="paragraph" w:customStyle="1" w:styleId="Border">
    <w:name w:val="Border"/>
    <w:basedOn w:val="Normal"/>
    <w:qFormat/>
    <w:rsid w:val="00F97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7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76A"/>
    <w:rPr>
      <w:u w:val="single"/>
    </w:rPr>
  </w:style>
  <w:style w:type="character" w:customStyle="1" w:styleId="BoldandItalics">
    <w:name w:val="Bold and Italics"/>
    <w:qFormat/>
    <w:rsid w:val="00F9776A"/>
    <w:rPr>
      <w:b/>
      <w:i/>
      <w:u w:val="none"/>
    </w:rPr>
  </w:style>
  <w:style w:type="paragraph" w:styleId="BalloonText">
    <w:name w:val="Balloon Text"/>
    <w:basedOn w:val="Normal"/>
    <w:link w:val="BalloonTextChar"/>
    <w:rsid w:val="00F97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7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7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7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7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7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76A"/>
    <w:pPr>
      <w:spacing w:before="0" w:after="0"/>
    </w:pPr>
  </w:style>
  <w:style w:type="paragraph" w:customStyle="1" w:styleId="BodyTextBold">
    <w:name w:val="Body Text Bold"/>
    <w:basedOn w:val="BodyText"/>
    <w:qFormat/>
    <w:rsid w:val="00F9776A"/>
    <w:rPr>
      <w:b/>
    </w:rPr>
  </w:style>
  <w:style w:type="character" w:styleId="Hyperlink">
    <w:name w:val="Hyperlink"/>
    <w:basedOn w:val="DefaultParagraphFont"/>
    <w:uiPriority w:val="99"/>
    <w:unhideWhenUsed/>
    <w:rsid w:val="009A0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3654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MEM05070 Write and proof programs for NC/CNC thermal cutting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