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FA1" w:rsidP="00BE4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MEM05067 Establish and maintain a welding procedure management system</w:t>
      </w:r>
      <w:r>
        <w:fldChar w:fldCharType="end"/>
      </w:r>
    </w:p>
    <w:p w:rsidR="00BE4FA1" w:rsidP="00BE4FA1">
      <w:pPr>
        <w:pStyle w:val="Version"/>
        <w:sectPr w:rsidSect="00ED3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E56" w:rsidP="00ED3E56">
      <w:pPr>
        <w:pStyle w:val="SuperHeading"/>
      </w:pPr>
      <w:r w:rsidRPr="00ED3E56">
        <w:t>Assessment Requirements for MEM05067 Establish and maintain a welding procedure management system</w:t>
      </w:r>
    </w:p>
    <w:p w:rsidR="00000000" w:rsidRPr="00ED3E56" w:rsidP="00ED3E56">
      <w:pPr>
        <w:pStyle w:val="Heading1"/>
      </w:pPr>
      <w:bookmarkStart w:id="1" w:name="O_1270476"/>
      <w:bookmarkEnd w:id="1"/>
      <w:r w:rsidRPr="00ED3E56">
        <w:t>Modification History</w:t>
      </w:r>
    </w:p>
    <w:p w:rsidR="00000000" w:rsidRPr="00ED3E56" w:rsidP="00BE4FA1">
      <w:pPr>
        <w:pStyle w:val="BodyText"/>
      </w:pPr>
      <w:r w:rsidRPr="00ED3E56">
        <w:t>Release 1. New Unit.</w:t>
      </w:r>
    </w:p>
    <w:p w:rsidR="00000000" w:rsidRPr="00ED3E56" w:rsidP="00ED3E56">
      <w:pPr>
        <w:pStyle w:val="Heading1"/>
      </w:pPr>
      <w:bookmarkStart w:id="2" w:name="O_1270477"/>
      <w:bookmarkEnd w:id="2"/>
      <w:r w:rsidRPr="00ED3E56">
        <w:t>Performance Evidence</w:t>
      </w:r>
    </w:p>
    <w:p w:rsidR="00000000" w:rsidRPr="00ED3E56" w:rsidP="00BE4FA1">
      <w:pPr>
        <w:pStyle w:val="BodyText"/>
      </w:pPr>
      <w:r w:rsidRPr="00ED3E56">
        <w:t>Evidence required to demonstrate competence in this unit must be relevant to and satisfy the requirements of the elements and performance criteria and include the ability to:</w:t>
      </w:r>
    </w:p>
    <w:p w:rsidR="00000000" w:rsidRPr="00ED3E56" w:rsidP="00ED3E56">
      <w:pPr>
        <w:pStyle w:val="ListBullet"/>
      </w:pPr>
      <w:r w:rsidRPr="00ED3E56">
        <w:t>establish privacy, backup and security procedures for a weld record management s</w:t>
      </w:r>
      <w:r w:rsidRPr="00ED3E56">
        <w:t>ystem</w:t>
      </w:r>
    </w:p>
    <w:p w:rsidR="00000000" w:rsidRPr="00ED3E56" w:rsidP="00ED3E56">
      <w:pPr>
        <w:pStyle w:val="ListBullet"/>
      </w:pPr>
      <w:r w:rsidRPr="00ED3E56">
        <w:t>make recommendations on the scope and format of a weld procedure management system for a fabrication enterprise</w:t>
      </w:r>
    </w:p>
    <w:p w:rsidR="00000000" w:rsidRPr="00ED3E56" w:rsidP="00ED3E56">
      <w:pPr>
        <w:pStyle w:val="ListBullet"/>
      </w:pPr>
      <w:r w:rsidRPr="00ED3E56">
        <w:t>interpret welder qualification and requalification requirements in at least three Australian or international welding standards</w:t>
      </w:r>
    </w:p>
    <w:p w:rsidR="00000000" w:rsidRPr="00ED3E56" w:rsidP="00ED3E56">
      <w:pPr>
        <w:pStyle w:val="ListBullet"/>
      </w:pPr>
      <w:r w:rsidRPr="00ED3E56">
        <w:t xml:space="preserve">establish </w:t>
      </w:r>
      <w:r w:rsidRPr="00ED3E56">
        <w:t xml:space="preserve">a numbering system that allows for identification of each welding procedure specification (WPS) and links to the matching procedure qualification record (PQR) and other weld records </w:t>
      </w:r>
    </w:p>
    <w:p w:rsidR="00000000" w:rsidRPr="00ED3E56" w:rsidP="00ED3E56">
      <w:pPr>
        <w:pStyle w:val="ListBullet"/>
      </w:pPr>
      <w:r w:rsidRPr="00ED3E56">
        <w:t>issue correct weld procedure specifications for three workplace fabricati</w:t>
      </w:r>
      <w:r w:rsidRPr="00ED3E56">
        <w:t>on designs</w:t>
      </w:r>
    </w:p>
    <w:p w:rsidR="00000000" w:rsidRPr="00ED3E56" w:rsidP="00ED3E56">
      <w:pPr>
        <w:pStyle w:val="ListBullet"/>
      </w:pPr>
      <w:r w:rsidRPr="00ED3E56">
        <w:t>check and/or maintain welder log entries across at least three fabrication projects involving three or more welding processes.</w:t>
      </w:r>
    </w:p>
    <w:p w:rsidR="00000000" w:rsidRPr="00ED3E56" w:rsidP="00ED3E56">
      <w:pPr>
        <w:pStyle w:val="BodyText"/>
      </w:pPr>
    </w:p>
    <w:p w:rsidR="00000000" w:rsidRPr="00ED3E56" w:rsidP="00BE4FA1">
      <w:pPr>
        <w:pStyle w:val="BodyText"/>
      </w:pPr>
      <w:r w:rsidRPr="00ED3E56">
        <w:t xml:space="preserve">Note: Where a volume and/or frequency is not specified, demonstration must be provided at least once. </w:t>
      </w:r>
    </w:p>
    <w:p w:rsidR="00000000" w:rsidRPr="00ED3E56" w:rsidP="00ED3E56">
      <w:pPr>
        <w:pStyle w:val="Heading1"/>
      </w:pPr>
      <w:bookmarkStart w:id="3" w:name="O_1270478"/>
      <w:bookmarkEnd w:id="3"/>
      <w:r w:rsidRPr="00ED3E56">
        <w:t>Knowledge Evidence</w:t>
      </w:r>
    </w:p>
    <w:p w:rsidR="00000000" w:rsidRPr="00ED3E56" w:rsidP="00BE4FA1">
      <w:pPr>
        <w:pStyle w:val="BodyText"/>
      </w:pPr>
      <w:r w:rsidRPr="00ED3E56">
        <w:t>Evidence required to demonstrate the required knowledge for this unit must be relevant to and satisfy the requirements of the elements and performance criteria and include knowledge of:</w:t>
      </w:r>
    </w:p>
    <w:p w:rsidR="00000000" w:rsidRPr="00ED3E56" w:rsidP="00ED3E56">
      <w:pPr>
        <w:pStyle w:val="ListBullet"/>
      </w:pPr>
      <w:r w:rsidRPr="00ED3E56">
        <w:t>welding parameters and processes</w:t>
      </w:r>
    </w:p>
    <w:p w:rsidR="00000000" w:rsidRPr="00ED3E56" w:rsidP="00ED3E56">
      <w:pPr>
        <w:pStyle w:val="ListBullet"/>
      </w:pPr>
      <w:r w:rsidRPr="00ED3E56">
        <w:t>technical dr</w:t>
      </w:r>
      <w:r w:rsidRPr="00ED3E56">
        <w:t>awings, welding symbols and weld joint identification</w:t>
      </w:r>
    </w:p>
    <w:p w:rsidR="00000000" w:rsidRPr="00ED3E56" w:rsidP="00ED3E56">
      <w:pPr>
        <w:pStyle w:val="ListBullet"/>
      </w:pPr>
      <w:r w:rsidRPr="00ED3E56">
        <w:t>Australian and international welding related standards and codes</w:t>
      </w:r>
    </w:p>
    <w:p w:rsidR="00000000" w:rsidRPr="00ED3E56" w:rsidP="00ED3E56">
      <w:pPr>
        <w:pStyle w:val="ListBullet"/>
      </w:pPr>
      <w:r w:rsidRPr="00ED3E56">
        <w:t>processes for approving new and revised WPS</w:t>
      </w:r>
    </w:p>
    <w:p w:rsidR="00000000" w:rsidRPr="00ED3E56" w:rsidP="00ED3E56">
      <w:pPr>
        <w:pStyle w:val="ListBullet"/>
      </w:pPr>
      <w:r w:rsidRPr="00ED3E56">
        <w:t>processes for establishing welder qualifications and welder continuity against WPS and weldin</w:t>
      </w:r>
      <w:r w:rsidRPr="00ED3E56">
        <w:t>g standards and codes</w:t>
      </w:r>
    </w:p>
    <w:p w:rsidR="00000000" w:rsidRPr="00ED3E56" w:rsidP="00ED3E56">
      <w:pPr>
        <w:pStyle w:val="ListBullet"/>
      </w:pPr>
      <w:r w:rsidRPr="00ED3E56">
        <w:t>privacy procedures and regulations</w:t>
      </w:r>
    </w:p>
    <w:p w:rsidR="00000000" w:rsidRPr="00ED3E56" w:rsidP="00ED3E56">
      <w:pPr>
        <w:pStyle w:val="ListBullet"/>
      </w:pPr>
      <w:r w:rsidRPr="00ED3E56">
        <w:t>formats for weld procedure management systems</w:t>
      </w:r>
    </w:p>
    <w:p w:rsidR="00000000" w:rsidRPr="00ED3E56" w:rsidP="00ED3E56">
      <w:pPr>
        <w:pStyle w:val="ListBullet"/>
      </w:pPr>
      <w:r w:rsidRPr="00ED3E56">
        <w:t xml:space="preserve">relationship between designs, standards and codes, WPS, PQRs and welder qualification in the fabrication process. </w:t>
      </w:r>
    </w:p>
    <w:p w:rsidR="00000000" w:rsidRPr="00ED3E56" w:rsidP="00ED3E56">
      <w:pPr>
        <w:pStyle w:val="AllowPageBreak"/>
      </w:pPr>
    </w:p>
    <w:p w:rsidR="00000000" w:rsidRPr="00ED3E56" w:rsidP="00ED3E56">
      <w:pPr>
        <w:pStyle w:val="Heading1"/>
      </w:pPr>
      <w:bookmarkStart w:id="4" w:name="O_1270479"/>
      <w:bookmarkEnd w:id="4"/>
      <w:r w:rsidRPr="00ED3E56">
        <w:t>Assessment Conditions</w:t>
      </w:r>
    </w:p>
    <w:p w:rsidR="00000000" w:rsidRPr="00ED3E56" w:rsidP="00ED3E56">
      <w:pPr>
        <w:pStyle w:val="ListBullet"/>
      </w:pPr>
      <w:r w:rsidRPr="00ED3E56">
        <w:t>Assessors must:</w:t>
      </w:r>
    </w:p>
    <w:p w:rsidR="00000000" w:rsidRPr="00ED3E56" w:rsidP="00ED3E56">
      <w:pPr>
        <w:pStyle w:val="ListBullet2"/>
      </w:pPr>
      <w:r w:rsidRPr="00ED3E56">
        <w:t>have vocational competency in establishing and maintaining a welding procedure management system at least to the level being assessed with relevant industry knowledge and experience</w:t>
      </w:r>
    </w:p>
    <w:p w:rsidR="00000000" w:rsidRPr="00ED3E56" w:rsidP="00ED3E56">
      <w:pPr>
        <w:pStyle w:val="ListBullet2"/>
      </w:pPr>
      <w:r w:rsidRPr="00ED3E56">
        <w:t xml:space="preserve">satisfy the assessor requirements </w:t>
      </w:r>
      <w:r w:rsidRPr="00ED3E56">
        <w:t xml:space="preserve">in the </w:t>
      </w:r>
      <w:r w:rsidRPr="00ED3E56">
        <w:rPr>
          <w:rStyle w:val="Emphasis"/>
        </w:rPr>
        <w:t xml:space="preserve">Standards for Registered Training Organisations 2015 </w:t>
      </w:r>
      <w:r w:rsidRPr="00ED3E56">
        <w:t>or its replacement</w:t>
      </w:r>
      <w:r w:rsidRPr="00ED3E56">
        <w:rPr>
          <w:rStyle w:val="Emphasis"/>
        </w:rPr>
        <w:t xml:space="preserve"> </w:t>
      </w:r>
      <w:r w:rsidRPr="00ED3E56">
        <w:t xml:space="preserve">and comply with the </w:t>
      </w:r>
      <w:r w:rsidRPr="00ED3E56">
        <w:rPr>
          <w:rStyle w:val="Emphasis"/>
        </w:rPr>
        <w:t xml:space="preserve">National Vocational Education and Training Regulator Act 2011, </w:t>
      </w:r>
      <w:r w:rsidRPr="00ED3E56">
        <w:t>its replacement</w:t>
      </w:r>
      <w:r w:rsidRPr="00ED3E56">
        <w:rPr>
          <w:rStyle w:val="Emphasis"/>
        </w:rPr>
        <w:t xml:space="preserve"> </w:t>
      </w:r>
      <w:r w:rsidRPr="00ED3E56">
        <w:t>or equivalent legislation covering VET regulation in a non-referring state/ter</w:t>
      </w:r>
      <w:r w:rsidRPr="00ED3E56">
        <w:t>ritory as the case requires.</w:t>
      </w:r>
    </w:p>
    <w:p w:rsidR="00000000" w:rsidRPr="00ED3E56" w:rsidP="00ED3E56">
      <w:pPr>
        <w:pStyle w:val="ListBullet"/>
      </w:pPr>
      <w:r w:rsidRPr="00ED3E56">
        <w:t>Assessment must occur in a functioning workplace. Where assessment in the workplace would be unsafe, impractical or threatens the environment, assessment must occur in a sufficiently rigorous simulated environment that reflect</w:t>
      </w:r>
      <w:r w:rsidRPr="00ED3E56">
        <w:t>s the circumstances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ED3E56" w:rsidP="00ED3E56">
      <w:pPr>
        <w:pStyle w:val="ListBullet"/>
      </w:pPr>
      <w:r w:rsidRPr="00ED3E56">
        <w:t>Knowledge as</w:t>
      </w:r>
      <w:r w:rsidRPr="00ED3E56">
        <w:t>sessment may be either verbal or written but must adequately reflect the knowledge requirements of the unit in a functioning workplace.</w:t>
      </w:r>
    </w:p>
    <w:p w:rsidR="00000000" w:rsidRPr="00ED3E56" w:rsidP="00ED3E56">
      <w:pPr>
        <w:pStyle w:val="ListBullet"/>
      </w:pPr>
      <w:r w:rsidRPr="00ED3E56">
        <w:t>Conditions for assessment must include access to all tools, equipment, materials and documentation required, including r</w:t>
      </w:r>
      <w:r w:rsidRPr="00ED3E56">
        <w:t>elevant workplace procedures, product and manufacturing specifications.</w:t>
      </w:r>
    </w:p>
    <w:p w:rsidR="00000000" w:rsidRPr="00ED3E56" w:rsidP="00ED3E56">
      <w:pPr>
        <w:pStyle w:val="ListBullet"/>
      </w:pPr>
      <w:r w:rsidRPr="00ED3E56">
        <w:t>Assessment processes and techniques must be appropriate to the language, literacy and numeracy requirements of the work being performed and the needs of the candidate.</w:t>
      </w:r>
    </w:p>
    <w:p w:rsidR="00000000" w:rsidRPr="00ED3E56" w:rsidP="00ED3E56">
      <w:pPr>
        <w:pStyle w:val="AllowPageBreak"/>
      </w:pPr>
    </w:p>
    <w:p w:rsidR="00000000" w:rsidRPr="00ED3E56" w:rsidP="00ED3E56">
      <w:pPr>
        <w:pStyle w:val="Heading1"/>
      </w:pPr>
      <w:bookmarkStart w:id="5" w:name="O_1270482"/>
      <w:bookmarkEnd w:id="5"/>
      <w:r w:rsidRPr="00ED3E56">
        <w:t>Links</w:t>
      </w:r>
    </w:p>
    <w:p w:rsidR="00000000" w:rsidRPr="00ED3E56" w:rsidP="00BE4FA1">
      <w:pPr>
        <w:pStyle w:val="BodyText"/>
      </w:pPr>
      <w:r w:rsidRPr="00ED3E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A594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3E56" w:rsidP="00ED3E56"/>
    <w:sectPr w:rsidSect="00ED3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56" w:rsidRPr="00BE4FA1" w:rsidP="00BE4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A1" w:rsidP="00ED3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4FA1" w:rsidP="00ED3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4FA1" w:rsidP="00ED3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E56" w:rsidRPr="00BE4FA1" w:rsidP="00BE4F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FA1" w:rsidRPr="002D2AF8" w:rsidP="00ED3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MEM05067 Establish and maintain a welding procedure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E4FA1" w:rsidP="00ED3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43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E2B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6C04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E56"/>
  </w:style>
  <w:style w:type="character" w:customStyle="1" w:styleId="Heading1Char">
    <w:name w:val="Heading 1 Char"/>
    <w:basedOn w:val="DefaultParagraphFont"/>
    <w:link w:val="Heading1"/>
    <w:rsid w:val="00ED3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E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3E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3E56"/>
    <w:rPr>
      <w:i/>
    </w:rPr>
  </w:style>
  <w:style w:type="paragraph" w:customStyle="1" w:styleId="SuperHeading">
    <w:name w:val="SuperHeading"/>
    <w:basedOn w:val="Normal"/>
    <w:rsid w:val="00ED3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3E56"/>
    <w:rPr>
      <w:b/>
      <w:spacing w:val="0"/>
    </w:rPr>
  </w:style>
  <w:style w:type="paragraph" w:customStyle="1" w:styleId="SuperTitle">
    <w:name w:val="SuperTitle"/>
    <w:basedOn w:val="Title"/>
    <w:rsid w:val="00ED3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E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E56"/>
  </w:style>
  <w:style w:type="paragraph" w:styleId="TableofFigures">
    <w:name w:val="table of figures"/>
    <w:basedOn w:val="Normal"/>
    <w:next w:val="Normal"/>
    <w:semiHidden/>
    <w:rsid w:val="00ED3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E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E56"/>
    <w:rPr>
      <w:rFonts w:ascii="Wingdings" w:hAnsi="Wingdings"/>
    </w:rPr>
  </w:style>
  <w:style w:type="paragraph" w:customStyle="1" w:styleId="TableHeading">
    <w:name w:val="Table Heading"/>
    <w:basedOn w:val="HeadingBase"/>
    <w:rsid w:val="00ED3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E56"/>
    <w:rPr>
      <w:color w:val="0033CC"/>
      <w:u w:val="none"/>
    </w:rPr>
  </w:style>
  <w:style w:type="paragraph" w:customStyle="1" w:styleId="BodyTextRight">
    <w:name w:val="Body Text Right"/>
    <w:basedOn w:val="BodyText"/>
    <w:rsid w:val="00ED3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E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E56"/>
    <w:rPr>
      <w:sz w:val="32"/>
    </w:rPr>
  </w:style>
  <w:style w:type="paragraph" w:customStyle="1" w:styleId="HeadingProcedure">
    <w:name w:val="Heading Procedure"/>
    <w:basedOn w:val="HeadingBase"/>
    <w:next w:val="Normal"/>
    <w:rsid w:val="00ED3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E56"/>
    <w:pPr>
      <w:spacing w:before="60" w:after="60"/>
    </w:pPr>
  </w:style>
  <w:style w:type="paragraph" w:styleId="ListContinue">
    <w:name w:val="List Continue"/>
    <w:basedOn w:val="List"/>
    <w:rsid w:val="00ED3E56"/>
    <w:pPr>
      <w:ind w:firstLine="0"/>
    </w:pPr>
  </w:style>
  <w:style w:type="paragraph" w:customStyle="1" w:styleId="ListNote">
    <w:name w:val="List Note"/>
    <w:basedOn w:val="List"/>
    <w:rsid w:val="00ED3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E56"/>
    <w:rPr>
      <w:rFonts w:ascii="Courier New" w:hAnsi="Courier New"/>
    </w:rPr>
  </w:style>
  <w:style w:type="paragraph" w:customStyle="1" w:styleId="NoteBullet">
    <w:name w:val="Note Bullet"/>
    <w:basedOn w:val="Note"/>
    <w:rsid w:val="00ED3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E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E56"/>
    <w:rPr>
      <w:b/>
      <w:smallCaps/>
    </w:rPr>
  </w:style>
  <w:style w:type="paragraph" w:customStyle="1" w:styleId="TableListNumber">
    <w:name w:val="Table List Number"/>
    <w:basedOn w:val="ListNumber"/>
    <w:rsid w:val="00ED3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E56"/>
    <w:pPr>
      <w:numPr>
        <w:numId w:val="9"/>
      </w:numPr>
    </w:pPr>
  </w:style>
  <w:style w:type="paragraph" w:customStyle="1" w:styleId="ListAlpha2">
    <w:name w:val="List Alpha 2"/>
    <w:basedOn w:val="List2"/>
    <w:rsid w:val="00ED3E56"/>
    <w:pPr>
      <w:numPr>
        <w:numId w:val="8"/>
      </w:numPr>
    </w:pPr>
  </w:style>
  <w:style w:type="paragraph" w:styleId="List2">
    <w:name w:val="List 2"/>
    <w:basedOn w:val="BodyText"/>
    <w:rsid w:val="00ED3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E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E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E56"/>
    <w:pPr>
      <w:numPr>
        <w:numId w:val="4"/>
      </w:numPr>
    </w:pPr>
  </w:style>
  <w:style w:type="paragraph" w:styleId="ListContinue2">
    <w:name w:val="List Continue 2"/>
    <w:basedOn w:val="List2"/>
    <w:rsid w:val="00ED3E56"/>
    <w:pPr>
      <w:ind w:firstLine="0"/>
    </w:pPr>
  </w:style>
  <w:style w:type="paragraph" w:styleId="ListContinue3">
    <w:name w:val="List Continue 3"/>
    <w:basedOn w:val="List3"/>
    <w:rsid w:val="00ED3E56"/>
    <w:pPr>
      <w:ind w:left="1021" w:firstLine="0"/>
    </w:pPr>
  </w:style>
  <w:style w:type="paragraph" w:styleId="ListContinue4">
    <w:name w:val="List Continue 4"/>
    <w:basedOn w:val="List4"/>
    <w:rsid w:val="00ED3E56"/>
    <w:pPr>
      <w:ind w:firstLine="0"/>
    </w:pPr>
  </w:style>
  <w:style w:type="paragraph" w:styleId="ListContinue5">
    <w:name w:val="List Continue 5"/>
    <w:basedOn w:val="List5"/>
    <w:rsid w:val="00ED3E56"/>
    <w:pPr>
      <w:ind w:firstLine="0"/>
    </w:pPr>
  </w:style>
  <w:style w:type="paragraph" w:styleId="ListNumber3">
    <w:name w:val="List Number 3"/>
    <w:basedOn w:val="List3"/>
    <w:rsid w:val="00ED3E56"/>
    <w:pPr>
      <w:numPr>
        <w:numId w:val="5"/>
      </w:numPr>
    </w:pPr>
  </w:style>
  <w:style w:type="paragraph" w:styleId="ListNumber4">
    <w:name w:val="List Number 4"/>
    <w:basedOn w:val="List4"/>
    <w:rsid w:val="00ED3E56"/>
    <w:pPr>
      <w:numPr>
        <w:numId w:val="6"/>
      </w:numPr>
    </w:pPr>
  </w:style>
  <w:style w:type="paragraph" w:styleId="ListNumber5">
    <w:name w:val="List Number 5"/>
    <w:basedOn w:val="List5"/>
    <w:rsid w:val="00ED3E56"/>
    <w:pPr>
      <w:numPr>
        <w:numId w:val="7"/>
      </w:numPr>
    </w:pPr>
  </w:style>
  <w:style w:type="paragraph" w:styleId="BlockText">
    <w:name w:val="Block Text"/>
    <w:basedOn w:val="Normal"/>
    <w:rsid w:val="00ED3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E56"/>
    <w:rPr>
      <w:sz w:val="16"/>
      <w:vertAlign w:val="superscript"/>
    </w:rPr>
  </w:style>
  <w:style w:type="character" w:customStyle="1" w:styleId="Symbols">
    <w:name w:val="Symbols"/>
    <w:basedOn w:val="DefaultParagraphFont"/>
    <w:rsid w:val="00ED3E56"/>
    <w:rPr>
      <w:rFonts w:ascii="Symbol" w:hAnsi="Symbol"/>
    </w:rPr>
  </w:style>
  <w:style w:type="character" w:customStyle="1" w:styleId="MenuOptions">
    <w:name w:val="Menu Options"/>
    <w:basedOn w:val="DefaultParagraphFont"/>
    <w:rsid w:val="00ED3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E56"/>
    <w:rPr>
      <w:b/>
    </w:rPr>
  </w:style>
  <w:style w:type="character" w:customStyle="1" w:styleId="Underlined">
    <w:name w:val="Underlined"/>
    <w:basedOn w:val="DefaultParagraphFont"/>
    <w:rsid w:val="00ED3E56"/>
    <w:rPr>
      <w:u w:val="single"/>
    </w:rPr>
  </w:style>
  <w:style w:type="paragraph" w:customStyle="1" w:styleId="TableBodyTextRight">
    <w:name w:val="Table Body Text Right"/>
    <w:basedOn w:val="TableBodyText"/>
    <w:rsid w:val="00ED3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E56"/>
    <w:rPr>
      <w:sz w:val="18"/>
    </w:rPr>
  </w:style>
  <w:style w:type="paragraph" w:customStyle="1" w:styleId="BodySmallRight">
    <w:name w:val="Body Small Right"/>
    <w:basedOn w:val="BodyTextRight"/>
    <w:rsid w:val="00ED3E56"/>
    <w:rPr>
      <w:sz w:val="18"/>
      <w:szCs w:val="18"/>
    </w:rPr>
  </w:style>
  <w:style w:type="paragraph" w:customStyle="1" w:styleId="MarginEdition">
    <w:name w:val="Margin Edition"/>
    <w:basedOn w:val="MarginNote"/>
    <w:rsid w:val="00ED3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E56"/>
    <w:rPr>
      <w:sz w:val="2"/>
      <w:szCs w:val="2"/>
    </w:rPr>
  </w:style>
  <w:style w:type="character" w:customStyle="1" w:styleId="Small">
    <w:name w:val="Small"/>
    <w:basedOn w:val="DefaultParagraphFont"/>
    <w:rsid w:val="00ED3E56"/>
    <w:rPr>
      <w:sz w:val="16"/>
    </w:rPr>
  </w:style>
  <w:style w:type="paragraph" w:customStyle="1" w:styleId="WideTable">
    <w:name w:val="Wide Table"/>
    <w:basedOn w:val="Normal"/>
    <w:rsid w:val="00ED3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E56"/>
  </w:style>
  <w:style w:type="paragraph" w:styleId="Quote">
    <w:name w:val="Quote"/>
    <w:basedOn w:val="Heading1"/>
    <w:link w:val="QuoteChar"/>
    <w:qFormat/>
    <w:rsid w:val="00ED3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E56"/>
    <w:pPr>
      <w:pageBreakBefore/>
    </w:pPr>
  </w:style>
  <w:style w:type="paragraph" w:customStyle="1" w:styleId="Border">
    <w:name w:val="Border"/>
    <w:basedOn w:val="Normal"/>
    <w:qFormat/>
    <w:rsid w:val="00ED3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E56"/>
    <w:rPr>
      <w:u w:val="single"/>
    </w:rPr>
  </w:style>
  <w:style w:type="character" w:customStyle="1" w:styleId="BoldandItalics">
    <w:name w:val="Bold and Italics"/>
    <w:qFormat/>
    <w:rsid w:val="00ED3E56"/>
    <w:rPr>
      <w:b/>
      <w:i/>
      <w:u w:val="none"/>
    </w:rPr>
  </w:style>
  <w:style w:type="paragraph" w:styleId="BalloonText">
    <w:name w:val="Balloon Text"/>
    <w:basedOn w:val="Normal"/>
    <w:link w:val="BalloonTextChar"/>
    <w:rsid w:val="00ED3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E56"/>
    <w:pPr>
      <w:spacing w:before="0" w:after="0"/>
    </w:pPr>
  </w:style>
  <w:style w:type="paragraph" w:customStyle="1" w:styleId="BodyTextBold">
    <w:name w:val="Body Text Bold"/>
    <w:basedOn w:val="BodyText"/>
    <w:qFormat/>
    <w:rsid w:val="00ED3E56"/>
    <w:rPr>
      <w:b/>
    </w:rPr>
  </w:style>
  <w:style w:type="character" w:styleId="Hyperlink">
    <w:name w:val="Hyperlink"/>
    <w:basedOn w:val="DefaultParagraphFont"/>
    <w:uiPriority w:val="99"/>
    <w:unhideWhenUsed/>
    <w:rsid w:val="00BE4F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3336</Characters>
  <Application>Microsoft Office Word</Application>
  <DocSecurity>0</DocSecurity>
  <Lines>70</Lines>
  <Paragraphs>40</Paragraphs>
  <ScaleCrop>false</ScaleCrop>
  <Company>Author-it Software Corporation Ltd.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MEM05067 Establish and maintain a welding procedure management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