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D66" w:rsidP="00C87D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MEM05066 Develop and maintain welding procedures</w:t>
      </w:r>
      <w:r>
        <w:fldChar w:fldCharType="end"/>
      </w:r>
    </w:p>
    <w:p w:rsidR="00C87D66" w:rsidP="00C87D66">
      <w:pPr>
        <w:pStyle w:val="Version"/>
        <w:sectPr w:rsidSect="00504A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4ACD" w:rsidP="00504ACD">
      <w:pPr>
        <w:pStyle w:val="SuperHeading"/>
      </w:pPr>
      <w:r w:rsidRPr="00504ACD">
        <w:t>Assessment Requirements for MEM05066 Develop and maintain welding procedures</w:t>
      </w:r>
    </w:p>
    <w:p w:rsidR="00000000" w:rsidRPr="00504ACD" w:rsidP="00504ACD">
      <w:pPr>
        <w:pStyle w:val="Heading1"/>
      </w:pPr>
      <w:bookmarkStart w:id="1" w:name="O_1270457"/>
      <w:bookmarkEnd w:id="1"/>
      <w:r w:rsidRPr="00504ACD">
        <w:t>Modification History</w:t>
      </w:r>
    </w:p>
    <w:p w:rsidR="00000000" w:rsidRPr="00504ACD" w:rsidP="00C87D66">
      <w:pPr>
        <w:pStyle w:val="BodyText"/>
      </w:pPr>
      <w:r w:rsidRPr="00504ACD">
        <w:t>Release 1. New Unit.</w:t>
      </w:r>
    </w:p>
    <w:p w:rsidR="00000000" w:rsidRPr="00504ACD" w:rsidP="00504ACD">
      <w:pPr>
        <w:pStyle w:val="Heading1"/>
      </w:pPr>
      <w:bookmarkStart w:id="2" w:name="O_1270458"/>
      <w:bookmarkEnd w:id="2"/>
      <w:r w:rsidRPr="00504ACD">
        <w:t>Performance Evidence</w:t>
      </w:r>
    </w:p>
    <w:p w:rsidR="00000000" w:rsidRPr="00504ACD" w:rsidP="00504ACD">
      <w:pPr>
        <w:pStyle w:val="ListContinue"/>
      </w:pPr>
      <w:r w:rsidRPr="00504ACD">
        <w:t>Evidence required to demonstrate competence in this unit must be relevant to and satisfy the requirements of the elements and performance criteria and include the ability to:</w:t>
      </w:r>
    </w:p>
    <w:p w:rsidR="00000000" w:rsidRPr="00504ACD" w:rsidP="00504ACD">
      <w:pPr>
        <w:pStyle w:val="ListBullet"/>
      </w:pPr>
      <w:r w:rsidRPr="00504ACD">
        <w:t>interpret technical drawings</w:t>
      </w:r>
    </w:p>
    <w:p w:rsidR="00000000" w:rsidRPr="00504ACD" w:rsidP="00504ACD">
      <w:pPr>
        <w:pStyle w:val="ListBullet"/>
      </w:pPr>
      <w:r w:rsidRPr="00504ACD">
        <w:t xml:space="preserve">apply requirements of relevant standards and codes </w:t>
      </w:r>
      <w:r w:rsidRPr="00504ACD">
        <w:t>to designs incorporating welding and associated processes</w:t>
      </w:r>
    </w:p>
    <w:p w:rsidR="00000000" w:rsidRPr="00504ACD" w:rsidP="00504ACD">
      <w:pPr>
        <w:pStyle w:val="ListBullet"/>
      </w:pPr>
      <w:r w:rsidRPr="00504ACD">
        <w:t>produce sketches showing joint configuration including weld dimensions, weld preparation, weld position or number, material type and grade for inclusion in welding procedure specification (WPS)</w:t>
      </w:r>
    </w:p>
    <w:p w:rsidR="00000000" w:rsidRPr="00504ACD" w:rsidP="00504ACD">
      <w:pPr>
        <w:pStyle w:val="ListBullet"/>
      </w:pPr>
      <w:r w:rsidRPr="00504ACD">
        <w:t>asse</w:t>
      </w:r>
      <w:r w:rsidRPr="00504ACD">
        <w:t>ss pre-approved procedure qualification records (PQRs) and WPSs and consumables for suitability to a current design</w:t>
      </w:r>
    </w:p>
    <w:p w:rsidR="00000000" w:rsidRPr="00504ACD" w:rsidP="00504ACD">
      <w:pPr>
        <w:pStyle w:val="ListBullet"/>
      </w:pPr>
      <w:r w:rsidRPr="00504ACD">
        <w:t>supervise the welding of test pieces including:</w:t>
      </w:r>
    </w:p>
    <w:p w:rsidR="00000000" w:rsidRPr="00504ACD" w:rsidP="00504ACD">
      <w:pPr>
        <w:pStyle w:val="ListBullet2"/>
      </w:pPr>
      <w:r w:rsidRPr="00504ACD">
        <w:t>determining the number and type of test piece required for at least two ferrous and two non</w:t>
      </w:r>
      <w:r w:rsidRPr="00504ACD">
        <w:t>-ferrous designs and their nominated standards or codes</w:t>
      </w:r>
    </w:p>
    <w:p w:rsidR="00000000" w:rsidRPr="00504ACD" w:rsidP="00504ACD">
      <w:pPr>
        <w:pStyle w:val="ListBullet2"/>
      </w:pPr>
      <w:r w:rsidRPr="00504ACD">
        <w:t>measuring and recording of welding parameters used during welding of test pieces</w:t>
      </w:r>
    </w:p>
    <w:p w:rsidR="00000000" w:rsidRPr="00504ACD" w:rsidP="00504ACD">
      <w:pPr>
        <w:pStyle w:val="ListBullet2"/>
      </w:pPr>
      <w:r w:rsidRPr="00504ACD">
        <w:t>arrange for any required witnessing of welding of test pieces</w:t>
      </w:r>
    </w:p>
    <w:p w:rsidR="00000000" w:rsidRPr="00504ACD" w:rsidP="00504ACD">
      <w:pPr>
        <w:pStyle w:val="ListBullet"/>
      </w:pPr>
      <w:r w:rsidRPr="00504ACD">
        <w:t>produce PQRs and WPSs covering:</w:t>
      </w:r>
    </w:p>
    <w:p w:rsidR="00000000" w:rsidRPr="00504ACD" w:rsidP="00504ACD">
      <w:pPr>
        <w:pStyle w:val="ListBullet2"/>
      </w:pPr>
      <w:r w:rsidRPr="00504ACD">
        <w:t>ferrous and non-ferrous welding</w:t>
      </w:r>
    </w:p>
    <w:p w:rsidR="00000000" w:rsidRPr="00504ACD" w:rsidP="00504ACD">
      <w:pPr>
        <w:pStyle w:val="ListBullet2"/>
      </w:pPr>
      <w:r w:rsidRPr="00504ACD">
        <w:t xml:space="preserve">manual metal arc welding (MMAW), gas metal arc welding (GMAW), tungsten inert gas (TIG), submerged arc, flux cored and oxy welding processes </w:t>
      </w:r>
    </w:p>
    <w:p w:rsidR="00000000" w:rsidRPr="00504ACD" w:rsidP="00504ACD">
      <w:pPr>
        <w:pStyle w:val="ListBullet2"/>
      </w:pPr>
      <w:r w:rsidRPr="00504ACD">
        <w:t>welds to AS1554 Structural Purpose</w:t>
      </w:r>
    </w:p>
    <w:p w:rsidR="00000000" w:rsidRPr="00504ACD" w:rsidP="00504ACD">
      <w:pPr>
        <w:pStyle w:val="ListBullet2"/>
      </w:pPr>
      <w:r w:rsidRPr="00504ACD">
        <w:t>at least one international welding standard</w:t>
      </w:r>
    </w:p>
    <w:p w:rsidR="00000000" w:rsidRPr="00504ACD" w:rsidP="00504ACD">
      <w:pPr>
        <w:pStyle w:val="ListBullet"/>
      </w:pPr>
      <w:r w:rsidRPr="00504ACD">
        <w:t>fi</w:t>
      </w:r>
      <w:r w:rsidRPr="00504ACD">
        <w:t>le PQRs and WPSs to a welding library.</w:t>
      </w:r>
    </w:p>
    <w:p w:rsidR="00000000" w:rsidRPr="00C87D66" w:rsidP="00C87D66">
      <w:pPr>
        <w:pStyle w:val="BodyText"/>
        <w:rPr>
          <w:i/>
        </w:rPr>
      </w:pPr>
      <w:r w:rsidRPr="00C87D66">
        <w:rPr>
          <w:rStyle w:val="Emphasis"/>
        </w:rPr>
        <w:t>Note: Where a volume and/or frequency is not specified, demonstration must be provided at least once</w:t>
      </w:r>
    </w:p>
    <w:p w:rsidR="00000000" w:rsidRPr="00504ACD" w:rsidP="00504ACD">
      <w:pPr>
        <w:pStyle w:val="Heading1"/>
      </w:pPr>
      <w:bookmarkStart w:id="3" w:name="O_1270459"/>
      <w:bookmarkEnd w:id="3"/>
      <w:r w:rsidRPr="00504ACD">
        <w:t>Knowledge Evidence</w:t>
      </w:r>
    </w:p>
    <w:p w:rsidR="00000000" w:rsidRPr="00504ACD" w:rsidP="00504ACD">
      <w:pPr>
        <w:pStyle w:val="ListContinue"/>
      </w:pPr>
      <w:r w:rsidRPr="00504ACD">
        <w:t>Evidence required to demonstrate the required knowledge for this unit must be</w:t>
      </w:r>
      <w:r w:rsidRPr="00504ACD">
        <w:t xml:space="preserve"> relevant to and satisfy the requirements of the elements and performance criteria and include knowledge of:</w:t>
      </w:r>
    </w:p>
    <w:p w:rsidR="00000000" w:rsidRPr="00504ACD" w:rsidP="00504ACD">
      <w:pPr>
        <w:pStyle w:val="ListBullet"/>
      </w:pPr>
      <w:r w:rsidRPr="00504ACD">
        <w:t>factors that influence the quality of fusion welds in steels</w:t>
      </w:r>
    </w:p>
    <w:p w:rsidR="00000000" w:rsidRPr="00504ACD" w:rsidP="00504ACD">
      <w:pPr>
        <w:pStyle w:val="ListBullet"/>
      </w:pPr>
      <w:r w:rsidRPr="00504ACD">
        <w:t xml:space="preserve">the characteristics of commonly-used welding processes </w:t>
      </w:r>
    </w:p>
    <w:p w:rsidR="00000000" w:rsidRPr="00504ACD" w:rsidP="00504ACD">
      <w:pPr>
        <w:pStyle w:val="ListBullet"/>
      </w:pPr>
      <w:r w:rsidRPr="00504ACD">
        <w:t xml:space="preserve">technical drawings and welding symbols </w:t>
      </w:r>
    </w:p>
    <w:p w:rsidR="00000000" w:rsidRPr="00504ACD" w:rsidP="00504ACD">
      <w:pPr>
        <w:pStyle w:val="ListBullet"/>
      </w:pPr>
      <w:r w:rsidRPr="00504ACD">
        <w:t>set up for the inspection of welds, macrosections and other mechanical tests</w:t>
      </w:r>
    </w:p>
    <w:p w:rsidR="00000000" w:rsidRPr="00504ACD" w:rsidP="00504ACD">
      <w:pPr>
        <w:pStyle w:val="ListBullet"/>
      </w:pPr>
      <w:r w:rsidRPr="00504ACD">
        <w:t>the effects that material departure from specification has on weld quality</w:t>
      </w:r>
    </w:p>
    <w:p w:rsidR="00000000" w:rsidRPr="00504ACD" w:rsidP="00504ACD">
      <w:pPr>
        <w:pStyle w:val="ListBullet"/>
      </w:pPr>
      <w:r w:rsidRPr="00504ACD">
        <w:t>procedures for production of test pieces for welding related non</w:t>
      </w:r>
      <w:r w:rsidRPr="00504ACD">
        <w:t>-destructive tests (NDTs)</w:t>
      </w:r>
    </w:p>
    <w:p w:rsidR="00000000" w:rsidRPr="00504ACD" w:rsidP="00504ACD">
      <w:pPr>
        <w:pStyle w:val="ListBullet"/>
      </w:pPr>
      <w:r w:rsidRPr="00504ACD">
        <w:t xml:space="preserve">types of welding related to NDT and their application </w:t>
      </w:r>
    </w:p>
    <w:p w:rsidR="00000000" w:rsidRPr="00504ACD" w:rsidP="00504ACD">
      <w:pPr>
        <w:pStyle w:val="ListBullet"/>
      </w:pPr>
      <w:r w:rsidRPr="00504ACD">
        <w:t>arithmetic operations, formulae and calculations for testing welding and/or fabrications</w:t>
      </w:r>
    </w:p>
    <w:p w:rsidR="00000000" w:rsidRPr="00504ACD" w:rsidP="00504ACD">
      <w:pPr>
        <w:pStyle w:val="ListBullet"/>
      </w:pPr>
      <w:r w:rsidRPr="00504ACD">
        <w:t>procedures for:</w:t>
      </w:r>
    </w:p>
    <w:p w:rsidR="00000000" w:rsidRPr="00504ACD" w:rsidP="00504ACD">
      <w:pPr>
        <w:pStyle w:val="ListBullet2"/>
      </w:pPr>
      <w:r w:rsidRPr="00504ACD">
        <w:t>organising weld tests and obtaining previous weld tests</w:t>
      </w:r>
    </w:p>
    <w:p w:rsidR="00000000" w:rsidRPr="00504ACD" w:rsidP="00504ACD">
      <w:pPr>
        <w:pStyle w:val="ListBullet2"/>
      </w:pPr>
      <w:r w:rsidRPr="00504ACD">
        <w:t>verifyi</w:t>
      </w:r>
      <w:r w:rsidRPr="00504ACD">
        <w:t>ng/amending previously established weld test procedures</w:t>
      </w:r>
    </w:p>
    <w:p w:rsidR="00000000" w:rsidRPr="00504ACD" w:rsidP="00504ACD">
      <w:pPr>
        <w:pStyle w:val="ListBullet2"/>
      </w:pPr>
      <w:r w:rsidRPr="00504ACD">
        <w:t>documenting welding procedures and preparing a weld test piece</w:t>
      </w:r>
    </w:p>
    <w:p w:rsidR="00000000" w:rsidRPr="00504ACD" w:rsidP="00504ACD">
      <w:pPr>
        <w:pStyle w:val="ListBullet"/>
      </w:pPr>
      <w:r w:rsidRPr="00504ACD">
        <w:t>information to be covered in a WPS including:</w:t>
      </w:r>
    </w:p>
    <w:p w:rsidR="00000000" w:rsidRPr="00504ACD" w:rsidP="00504ACD">
      <w:pPr>
        <w:pStyle w:val="ListBullet2"/>
      </w:pPr>
      <w:r w:rsidRPr="00504ACD">
        <w:t>procedure number</w:t>
      </w:r>
    </w:p>
    <w:p w:rsidR="00000000" w:rsidRPr="00504ACD" w:rsidP="00504ACD">
      <w:pPr>
        <w:pStyle w:val="ListBullet2"/>
      </w:pPr>
      <w:r w:rsidRPr="00504ACD">
        <w:t>process type</w:t>
      </w:r>
    </w:p>
    <w:p w:rsidR="00000000" w:rsidRPr="00504ACD" w:rsidP="00504ACD">
      <w:pPr>
        <w:pStyle w:val="ListBullet2"/>
      </w:pPr>
      <w:r w:rsidRPr="00504ACD">
        <w:t>consumable size, type and full codification</w:t>
      </w:r>
    </w:p>
    <w:p w:rsidR="00000000" w:rsidRPr="00504ACD" w:rsidP="00504ACD">
      <w:pPr>
        <w:pStyle w:val="ListBullet2"/>
      </w:pPr>
      <w:r w:rsidRPr="00504ACD">
        <w:t>consumable baki</w:t>
      </w:r>
      <w:r w:rsidRPr="00504ACD">
        <w:t>ng requirement if applicable</w:t>
      </w:r>
    </w:p>
    <w:p w:rsidR="00000000" w:rsidRPr="00504ACD" w:rsidP="00504ACD">
      <w:pPr>
        <w:pStyle w:val="ListBullet2"/>
      </w:pPr>
      <w:r w:rsidRPr="00504ACD">
        <w:t>parent material grade and specification</w:t>
      </w:r>
    </w:p>
    <w:p w:rsidR="00000000" w:rsidRPr="00504ACD" w:rsidP="00504ACD">
      <w:pPr>
        <w:pStyle w:val="ListBullet2"/>
      </w:pPr>
      <w:r w:rsidRPr="00504ACD">
        <w:t xml:space="preserve">plate or pipe thickness range </w:t>
      </w:r>
    </w:p>
    <w:p w:rsidR="00000000" w:rsidRPr="00504ACD" w:rsidP="00504ACD">
      <w:pPr>
        <w:pStyle w:val="ListBullet2"/>
      </w:pPr>
      <w:r w:rsidRPr="00504ACD">
        <w:t>pipe diameter range</w:t>
      </w:r>
    </w:p>
    <w:p w:rsidR="00000000" w:rsidRPr="00504ACD" w:rsidP="00504ACD">
      <w:pPr>
        <w:pStyle w:val="ListBullet2"/>
      </w:pPr>
      <w:r w:rsidRPr="00504ACD">
        <w:t>welding position</w:t>
      </w:r>
    </w:p>
    <w:p w:rsidR="00000000" w:rsidRPr="00504ACD" w:rsidP="00504ACD">
      <w:pPr>
        <w:pStyle w:val="ListBullet2"/>
      </w:pPr>
      <w:r w:rsidRPr="00504ACD">
        <w:t>joint fit up, preparation, cleaning, dimensions etc.</w:t>
      </w:r>
    </w:p>
    <w:p w:rsidR="00000000" w:rsidRPr="00504ACD" w:rsidP="00504ACD">
      <w:pPr>
        <w:pStyle w:val="ListBullet2"/>
      </w:pPr>
      <w:r w:rsidRPr="00504ACD">
        <w:t>backing strip, back gouging information</w:t>
      </w:r>
    </w:p>
    <w:p w:rsidR="00000000" w:rsidRPr="00504ACD" w:rsidP="00504ACD">
      <w:pPr>
        <w:pStyle w:val="ListBullet2"/>
      </w:pPr>
      <w:r w:rsidRPr="00504ACD">
        <w:t>pre-heat (including minimu</w:t>
      </w:r>
      <w:r w:rsidRPr="00504ACD">
        <w:t>m temperature and method)</w:t>
      </w:r>
    </w:p>
    <w:p w:rsidR="00000000" w:rsidRPr="00504ACD" w:rsidP="00504ACD">
      <w:pPr>
        <w:pStyle w:val="ListBullet2"/>
      </w:pPr>
      <w:r w:rsidRPr="00504ACD">
        <w:t>interpass if required and recording of maximum temperature recorded</w:t>
      </w:r>
    </w:p>
    <w:p w:rsidR="00000000" w:rsidRPr="00504ACD" w:rsidP="00504ACD">
      <w:pPr>
        <w:pStyle w:val="ListBullet2"/>
      </w:pPr>
      <w:r w:rsidRPr="00504ACD">
        <w:t>post weld heat treatment if required including time and temperature</w:t>
      </w:r>
    </w:p>
    <w:p w:rsidR="00000000" w:rsidRPr="00504ACD" w:rsidP="00504ACD">
      <w:pPr>
        <w:pStyle w:val="ListBullet2"/>
      </w:pPr>
      <w:r w:rsidRPr="00504ACD">
        <w:t>welding technique (weaving, max run width etc.)</w:t>
      </w:r>
    </w:p>
    <w:p w:rsidR="00000000" w:rsidRPr="00504ACD" w:rsidP="00504ACD">
      <w:pPr>
        <w:pStyle w:val="ListBullet2"/>
      </w:pPr>
      <w:r w:rsidRPr="00504ACD">
        <w:t>arc energy limits and their correct application</w:t>
      </w:r>
    </w:p>
    <w:p w:rsidR="00000000" w:rsidRPr="00504ACD" w:rsidP="00504ACD">
      <w:pPr>
        <w:pStyle w:val="ListBullet2"/>
      </w:pPr>
      <w:r w:rsidRPr="00504ACD">
        <w:t>welding current and polarity</w:t>
      </w:r>
    </w:p>
    <w:p w:rsidR="00000000" w:rsidRPr="00504ACD" w:rsidP="00504ACD">
      <w:pPr>
        <w:pStyle w:val="ListBullet2"/>
      </w:pPr>
      <w:r w:rsidRPr="00504ACD">
        <w:t>arc voltage</w:t>
      </w:r>
    </w:p>
    <w:p w:rsidR="00000000" w:rsidRPr="00504ACD" w:rsidP="00504ACD">
      <w:pPr>
        <w:pStyle w:val="ListBullet2"/>
      </w:pPr>
      <w:r w:rsidRPr="00504ACD">
        <w:t>pulse parameters</w:t>
      </w:r>
    </w:p>
    <w:p w:rsidR="00000000" w:rsidRPr="00504ACD" w:rsidP="00504ACD">
      <w:pPr>
        <w:pStyle w:val="ListBullet2"/>
      </w:pPr>
      <w:r w:rsidRPr="00504ACD">
        <w:t>wire feed speed</w:t>
      </w:r>
    </w:p>
    <w:p w:rsidR="00000000" w:rsidRPr="00504ACD" w:rsidP="00504ACD">
      <w:pPr>
        <w:pStyle w:val="ListBullet2"/>
      </w:pPr>
      <w:r w:rsidRPr="00504ACD">
        <w:t>wire configuration</w:t>
      </w:r>
    </w:p>
    <w:p w:rsidR="00000000" w:rsidRPr="00504ACD" w:rsidP="00504ACD">
      <w:pPr>
        <w:pStyle w:val="ListBullet2"/>
      </w:pPr>
      <w:r w:rsidRPr="00504ACD">
        <w:t>welding electrode types and their use</w:t>
      </w:r>
    </w:p>
    <w:p w:rsidR="00000000" w:rsidRPr="00504ACD" w:rsidP="00504ACD">
      <w:pPr>
        <w:pStyle w:val="ListBullet2"/>
      </w:pPr>
      <w:r w:rsidRPr="00504ACD">
        <w:t>welding gases for shielding, fuel and purging</w:t>
      </w:r>
    </w:p>
    <w:p w:rsidR="00000000" w:rsidRPr="00504ACD" w:rsidP="00504ACD">
      <w:pPr>
        <w:pStyle w:val="ListBullet2"/>
      </w:pPr>
      <w:r w:rsidRPr="00504ACD">
        <w:t>fluxes</w:t>
      </w:r>
    </w:p>
    <w:p w:rsidR="00C87D66" w:rsidP="00504ACD">
      <w:pPr>
        <w:pStyle w:val="ListBullet2"/>
      </w:pPr>
      <w:r w:rsidRPr="00504ACD">
        <w:t>torch and nozzle types a</w:t>
      </w:r>
      <w:r w:rsidRPr="00504ACD">
        <w:t>nd applications.</w:t>
      </w:r>
    </w:p>
    <w:p w:rsidR="00C87D66" w:rsidP="00504ACD">
      <w:pPr>
        <w:pStyle w:val="ListBullet2"/>
      </w:pPr>
    </w:p>
    <w:p w:rsidR="00000000" w:rsidRPr="00504ACD" w:rsidP="00504ACD">
      <w:pPr>
        <w:pStyle w:val="Heading1"/>
      </w:pPr>
      <w:bookmarkStart w:id="4" w:name="O_1270460"/>
      <w:bookmarkEnd w:id="4"/>
      <w:r w:rsidRPr="00504ACD">
        <w:t>Assessment Conditions</w:t>
      </w:r>
    </w:p>
    <w:p w:rsidR="00000000" w:rsidRPr="00504ACD" w:rsidP="00504ACD">
      <w:pPr>
        <w:pStyle w:val="ListBullet"/>
      </w:pPr>
      <w:r w:rsidRPr="00504ACD">
        <w:t>Assessors must:</w:t>
      </w:r>
    </w:p>
    <w:p w:rsidR="00000000" w:rsidRPr="00504ACD" w:rsidP="00504ACD">
      <w:pPr>
        <w:pStyle w:val="ListBullet2"/>
      </w:pPr>
      <w:r w:rsidRPr="00504ACD">
        <w:t>have vocational competency in developing and maintaining welding procedures at least to the level being assessed with relevant industry knowledge and experience</w:t>
      </w:r>
    </w:p>
    <w:p w:rsidR="00000000" w:rsidRPr="00504ACD" w:rsidP="00504ACD">
      <w:pPr>
        <w:pStyle w:val="ListBullet2"/>
      </w:pPr>
      <w:r w:rsidRPr="00504ACD">
        <w:t xml:space="preserve">satisfy the assessor requirements in the </w:t>
      </w:r>
      <w:r w:rsidRPr="00504ACD">
        <w:rPr>
          <w:rStyle w:val="Emphasis"/>
        </w:rPr>
        <w:t xml:space="preserve">Standards for Registered Training Organisations 2015 </w:t>
      </w:r>
      <w:r w:rsidRPr="00504ACD">
        <w:t>or its replacement</w:t>
      </w:r>
      <w:r w:rsidRPr="00504ACD">
        <w:rPr>
          <w:rStyle w:val="Emphasis"/>
        </w:rPr>
        <w:t xml:space="preserve"> </w:t>
      </w:r>
      <w:r w:rsidRPr="00504ACD">
        <w:t xml:space="preserve">and comply with the </w:t>
      </w:r>
      <w:r w:rsidRPr="00504ACD">
        <w:rPr>
          <w:rStyle w:val="Emphasis"/>
        </w:rPr>
        <w:t xml:space="preserve">National Vocational Education and Training Regulator Act 2011, </w:t>
      </w:r>
      <w:r w:rsidRPr="00504ACD">
        <w:t>its replacement</w:t>
      </w:r>
      <w:r w:rsidRPr="00504ACD">
        <w:rPr>
          <w:rStyle w:val="Emphasis"/>
        </w:rPr>
        <w:t xml:space="preserve"> </w:t>
      </w:r>
      <w:r w:rsidRPr="00504ACD">
        <w:t>or equivalent legislation covering VET regul</w:t>
      </w:r>
      <w:r w:rsidRPr="00504ACD">
        <w:t>ation in a non-referring state/territory as the case requires.</w:t>
      </w:r>
    </w:p>
    <w:p w:rsidR="00000000" w:rsidRPr="00504ACD" w:rsidP="00504ACD">
      <w:pPr>
        <w:pStyle w:val="ListBullet"/>
      </w:pPr>
      <w:r w:rsidRPr="00504ACD">
        <w:t xml:space="preserve">Assessment must occur in a functioning workplace. Where assessment in the workplace would be unsafe, impractical or threatens the environment, assessment must occur in a sufficiently rigorous </w:t>
      </w:r>
      <w:r w:rsidRPr="00504ACD">
        <w:t>simulated environment that reflects the circumstances that would be experienced in a functioning workplace. Assessment must cover all aspects of workplace performance, including task skills, task management skills, contingency management skills and job rol</w:t>
      </w:r>
      <w:r w:rsidRPr="00504ACD">
        <w:t>e environment skills.</w:t>
      </w:r>
    </w:p>
    <w:p w:rsidR="00000000" w:rsidRPr="00504ACD" w:rsidP="00504ACD">
      <w:pPr>
        <w:pStyle w:val="ListBullet"/>
      </w:pPr>
      <w:r w:rsidRPr="00504ACD">
        <w:t>Knowledge assessment may be either verbal or written but must adequately reflect the knowledge requirements of the unit in a functioning workplace.</w:t>
      </w:r>
    </w:p>
    <w:p w:rsidR="00000000" w:rsidRPr="00504ACD" w:rsidP="00504ACD">
      <w:pPr>
        <w:pStyle w:val="ListBullet"/>
      </w:pPr>
      <w:r w:rsidRPr="00504ACD">
        <w:t>Conditions for assessment must include access to all tools, equipment, materials and d</w:t>
      </w:r>
      <w:r w:rsidRPr="00504ACD">
        <w:t>ocumentation required, including relevant workplace procedures, product and manufacturing specifications.</w:t>
      </w:r>
    </w:p>
    <w:p w:rsidR="00000000" w:rsidRPr="00504ACD" w:rsidP="00504ACD">
      <w:pPr>
        <w:pStyle w:val="ListBullet"/>
      </w:pPr>
      <w:r w:rsidRPr="00504ACD">
        <w:t xml:space="preserve">Assessment processes and techniques must be appropriate to the language, literacy and numeracy requirements of the work being performed and the needs </w:t>
      </w:r>
      <w:r w:rsidRPr="00504ACD">
        <w:t>of the candidate.</w:t>
      </w:r>
    </w:p>
    <w:p w:rsidR="00000000" w:rsidRPr="00504ACD" w:rsidP="00504ACD">
      <w:pPr>
        <w:pStyle w:val="AllowPageBreak"/>
      </w:pPr>
    </w:p>
    <w:p w:rsidR="00000000" w:rsidRPr="00504ACD" w:rsidP="00504ACD">
      <w:pPr>
        <w:pStyle w:val="Heading1"/>
      </w:pPr>
      <w:bookmarkStart w:id="5" w:name="O_1270463"/>
      <w:bookmarkEnd w:id="5"/>
      <w:r w:rsidRPr="00504ACD">
        <w:t>Links</w:t>
      </w:r>
    </w:p>
    <w:p w:rsidR="00000000" w:rsidRPr="00504ACD" w:rsidP="00C87D66">
      <w:pPr>
        <w:pStyle w:val="BodyText"/>
      </w:pPr>
      <w:r w:rsidRPr="00504A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A6EC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04ACD" w:rsidP="00504ACD"/>
    <w:sectPr w:rsidSect="00504A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A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ACD" w:rsidRPr="00C87D66" w:rsidP="00C87D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A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D66" w:rsidP="00504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7D66" w:rsidP="00504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87D66" w:rsidP="00504A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A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D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4ACD" w:rsidRPr="00C87D66" w:rsidP="00C87D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A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D66" w:rsidRPr="002D2AF8" w:rsidP="00504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MEM05066 Develop and maintain welding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87D66" w:rsidP="00504A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525C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EA6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E8F3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A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4A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4A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4A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4A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4A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4A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4A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4A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4A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4A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4ACD"/>
  </w:style>
  <w:style w:type="character" w:customStyle="1" w:styleId="Heading1Char">
    <w:name w:val="Heading 1 Char"/>
    <w:basedOn w:val="DefaultParagraphFont"/>
    <w:link w:val="Heading1"/>
    <w:rsid w:val="00504A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4A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4A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4A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4A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4ACD"/>
    <w:rPr>
      <w:i/>
    </w:rPr>
  </w:style>
  <w:style w:type="paragraph" w:customStyle="1" w:styleId="SuperHeading">
    <w:name w:val="SuperHeading"/>
    <w:basedOn w:val="Normal"/>
    <w:rsid w:val="00504A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4A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504ACD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504A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4A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4A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4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4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4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4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4A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4A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4A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4A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4A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4A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4A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4A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4A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4A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4A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4A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4A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4ACD"/>
    <w:rPr>
      <w:b/>
      <w:spacing w:val="0"/>
    </w:rPr>
  </w:style>
  <w:style w:type="paragraph" w:customStyle="1" w:styleId="SuperTitle">
    <w:name w:val="SuperTitle"/>
    <w:basedOn w:val="Title"/>
    <w:rsid w:val="00504A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4A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4A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4A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4A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4A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4A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4A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4A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4A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4A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4A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4A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4A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4A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4ACD"/>
  </w:style>
  <w:style w:type="paragraph" w:styleId="TableofFigures">
    <w:name w:val="table of figures"/>
    <w:basedOn w:val="Normal"/>
    <w:next w:val="Normal"/>
    <w:semiHidden/>
    <w:rsid w:val="00504A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4A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4ACD"/>
    <w:rPr>
      <w:rFonts w:ascii="Wingdings" w:hAnsi="Wingdings"/>
    </w:rPr>
  </w:style>
  <w:style w:type="paragraph" w:customStyle="1" w:styleId="TableHeading">
    <w:name w:val="Table Heading"/>
    <w:basedOn w:val="HeadingBase"/>
    <w:rsid w:val="00504A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4ACD"/>
    <w:rPr>
      <w:color w:val="0033CC"/>
      <w:u w:val="none"/>
    </w:rPr>
  </w:style>
  <w:style w:type="paragraph" w:customStyle="1" w:styleId="BodyTextRight">
    <w:name w:val="Body Text Right"/>
    <w:basedOn w:val="BodyText"/>
    <w:rsid w:val="00504A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4A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4A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4A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4A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4A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4ACD"/>
    <w:rPr>
      <w:sz w:val="32"/>
    </w:rPr>
  </w:style>
  <w:style w:type="paragraph" w:customStyle="1" w:styleId="HeadingProcedure">
    <w:name w:val="Heading Procedure"/>
    <w:basedOn w:val="HeadingBase"/>
    <w:next w:val="Normal"/>
    <w:rsid w:val="00504A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4ACD"/>
    <w:pPr>
      <w:spacing w:before="60" w:after="60"/>
    </w:pPr>
  </w:style>
  <w:style w:type="paragraph" w:customStyle="1" w:styleId="ListNote">
    <w:name w:val="List Note"/>
    <w:basedOn w:val="List"/>
    <w:rsid w:val="00504A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4A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4A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4ACD"/>
    <w:rPr>
      <w:rFonts w:ascii="Courier New" w:hAnsi="Courier New"/>
    </w:rPr>
  </w:style>
  <w:style w:type="paragraph" w:customStyle="1" w:styleId="NoteBullet">
    <w:name w:val="Note Bullet"/>
    <w:basedOn w:val="Note"/>
    <w:rsid w:val="00504A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4A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4A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4A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4A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4A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4A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4ACD"/>
    <w:rPr>
      <w:b/>
      <w:smallCaps/>
    </w:rPr>
  </w:style>
  <w:style w:type="paragraph" w:customStyle="1" w:styleId="TableListNumber">
    <w:name w:val="Table List Number"/>
    <w:basedOn w:val="ListNumber"/>
    <w:rsid w:val="00504A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4A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4ACD"/>
    <w:pPr>
      <w:numPr>
        <w:numId w:val="9"/>
      </w:numPr>
    </w:pPr>
  </w:style>
  <w:style w:type="paragraph" w:customStyle="1" w:styleId="ListAlpha2">
    <w:name w:val="List Alpha 2"/>
    <w:basedOn w:val="List2"/>
    <w:rsid w:val="00504ACD"/>
    <w:pPr>
      <w:numPr>
        <w:numId w:val="8"/>
      </w:numPr>
    </w:pPr>
  </w:style>
  <w:style w:type="paragraph" w:styleId="List2">
    <w:name w:val="List 2"/>
    <w:basedOn w:val="BodyText"/>
    <w:rsid w:val="00504A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4A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4A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4A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4A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4A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4ACD"/>
    <w:pPr>
      <w:numPr>
        <w:numId w:val="4"/>
      </w:numPr>
    </w:pPr>
  </w:style>
  <w:style w:type="paragraph" w:styleId="ListContinue2">
    <w:name w:val="List Continue 2"/>
    <w:basedOn w:val="List2"/>
    <w:rsid w:val="00504ACD"/>
    <w:pPr>
      <w:ind w:firstLine="0"/>
    </w:pPr>
  </w:style>
  <w:style w:type="paragraph" w:styleId="ListContinue3">
    <w:name w:val="List Continue 3"/>
    <w:basedOn w:val="List3"/>
    <w:rsid w:val="00504ACD"/>
    <w:pPr>
      <w:ind w:left="1021" w:firstLine="0"/>
    </w:pPr>
  </w:style>
  <w:style w:type="paragraph" w:styleId="ListContinue4">
    <w:name w:val="List Continue 4"/>
    <w:basedOn w:val="List4"/>
    <w:rsid w:val="00504ACD"/>
    <w:pPr>
      <w:ind w:firstLine="0"/>
    </w:pPr>
  </w:style>
  <w:style w:type="paragraph" w:styleId="ListContinue5">
    <w:name w:val="List Continue 5"/>
    <w:basedOn w:val="List5"/>
    <w:rsid w:val="00504ACD"/>
    <w:pPr>
      <w:ind w:firstLine="0"/>
    </w:pPr>
  </w:style>
  <w:style w:type="paragraph" w:styleId="ListNumber3">
    <w:name w:val="List Number 3"/>
    <w:basedOn w:val="List3"/>
    <w:rsid w:val="00504ACD"/>
    <w:pPr>
      <w:numPr>
        <w:numId w:val="5"/>
      </w:numPr>
    </w:pPr>
  </w:style>
  <w:style w:type="paragraph" w:styleId="ListNumber4">
    <w:name w:val="List Number 4"/>
    <w:basedOn w:val="List4"/>
    <w:rsid w:val="00504ACD"/>
    <w:pPr>
      <w:numPr>
        <w:numId w:val="6"/>
      </w:numPr>
    </w:pPr>
  </w:style>
  <w:style w:type="paragraph" w:styleId="ListNumber5">
    <w:name w:val="List Number 5"/>
    <w:basedOn w:val="List5"/>
    <w:rsid w:val="00504ACD"/>
    <w:pPr>
      <w:numPr>
        <w:numId w:val="7"/>
      </w:numPr>
    </w:pPr>
  </w:style>
  <w:style w:type="paragraph" w:styleId="BlockText">
    <w:name w:val="Block Text"/>
    <w:basedOn w:val="Normal"/>
    <w:rsid w:val="00504A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4A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4ACD"/>
    <w:rPr>
      <w:sz w:val="16"/>
      <w:vertAlign w:val="superscript"/>
    </w:rPr>
  </w:style>
  <w:style w:type="character" w:customStyle="1" w:styleId="Symbols">
    <w:name w:val="Symbols"/>
    <w:basedOn w:val="DefaultParagraphFont"/>
    <w:rsid w:val="00504ACD"/>
    <w:rPr>
      <w:rFonts w:ascii="Symbol" w:hAnsi="Symbol"/>
    </w:rPr>
  </w:style>
  <w:style w:type="character" w:customStyle="1" w:styleId="MenuOptions">
    <w:name w:val="Menu Options"/>
    <w:basedOn w:val="DefaultParagraphFont"/>
    <w:rsid w:val="00504A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4ACD"/>
    <w:rPr>
      <w:b/>
    </w:rPr>
  </w:style>
  <w:style w:type="character" w:customStyle="1" w:styleId="Underlined">
    <w:name w:val="Underlined"/>
    <w:basedOn w:val="DefaultParagraphFont"/>
    <w:rsid w:val="00504ACD"/>
    <w:rPr>
      <w:u w:val="single"/>
    </w:rPr>
  </w:style>
  <w:style w:type="paragraph" w:customStyle="1" w:styleId="TableBodyTextRight">
    <w:name w:val="Table Body Text Right"/>
    <w:basedOn w:val="TableBodyText"/>
    <w:rsid w:val="00504A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4ACD"/>
    <w:rPr>
      <w:sz w:val="18"/>
    </w:rPr>
  </w:style>
  <w:style w:type="paragraph" w:customStyle="1" w:styleId="BodySmallRight">
    <w:name w:val="Body Small Right"/>
    <w:basedOn w:val="BodyTextRight"/>
    <w:rsid w:val="00504ACD"/>
    <w:rPr>
      <w:sz w:val="18"/>
      <w:szCs w:val="18"/>
    </w:rPr>
  </w:style>
  <w:style w:type="paragraph" w:customStyle="1" w:styleId="MarginEdition">
    <w:name w:val="Margin Edition"/>
    <w:basedOn w:val="MarginNote"/>
    <w:rsid w:val="00504A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4ACD"/>
    <w:rPr>
      <w:sz w:val="2"/>
      <w:szCs w:val="2"/>
    </w:rPr>
  </w:style>
  <w:style w:type="character" w:customStyle="1" w:styleId="Small">
    <w:name w:val="Small"/>
    <w:basedOn w:val="DefaultParagraphFont"/>
    <w:rsid w:val="00504ACD"/>
    <w:rPr>
      <w:sz w:val="16"/>
    </w:rPr>
  </w:style>
  <w:style w:type="paragraph" w:customStyle="1" w:styleId="WideTable">
    <w:name w:val="Wide Table"/>
    <w:basedOn w:val="Normal"/>
    <w:rsid w:val="00504A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4ACD"/>
  </w:style>
  <w:style w:type="paragraph" w:styleId="Quote">
    <w:name w:val="Quote"/>
    <w:basedOn w:val="Heading1"/>
    <w:link w:val="QuoteChar"/>
    <w:qFormat/>
    <w:rsid w:val="00504A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4A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4ACD"/>
    <w:pPr>
      <w:pageBreakBefore/>
    </w:pPr>
  </w:style>
  <w:style w:type="paragraph" w:customStyle="1" w:styleId="Border">
    <w:name w:val="Border"/>
    <w:basedOn w:val="Normal"/>
    <w:qFormat/>
    <w:rsid w:val="00504A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4A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A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A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4A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4A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4A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4A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4A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4ACD"/>
    <w:rPr>
      <w:u w:val="single"/>
    </w:rPr>
  </w:style>
  <w:style w:type="character" w:customStyle="1" w:styleId="BoldandItalics">
    <w:name w:val="Bold and Italics"/>
    <w:qFormat/>
    <w:rsid w:val="00504ACD"/>
    <w:rPr>
      <w:b/>
      <w:i/>
      <w:u w:val="none"/>
    </w:rPr>
  </w:style>
  <w:style w:type="paragraph" w:styleId="BalloonText">
    <w:name w:val="Balloon Text"/>
    <w:basedOn w:val="Normal"/>
    <w:link w:val="BalloonTextChar"/>
    <w:rsid w:val="00504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A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4A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4A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4A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4A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4ACD"/>
    <w:pPr>
      <w:spacing w:before="0" w:after="0"/>
    </w:pPr>
  </w:style>
  <w:style w:type="paragraph" w:customStyle="1" w:styleId="BodyTextBold">
    <w:name w:val="Body Text Bold"/>
    <w:basedOn w:val="BodyText"/>
    <w:qFormat/>
    <w:rsid w:val="00504ACD"/>
    <w:rPr>
      <w:b/>
    </w:rPr>
  </w:style>
  <w:style w:type="character" w:styleId="Hyperlink">
    <w:name w:val="Hyperlink"/>
    <w:basedOn w:val="DefaultParagraphFont"/>
    <w:uiPriority w:val="99"/>
    <w:unhideWhenUsed/>
    <w:rsid w:val="00C87D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4549</Characters>
  <Application>Microsoft Office Word</Application>
  <DocSecurity>0</DocSecurity>
  <Lines>105</Lines>
  <Paragraphs>83</Paragraphs>
  <ScaleCrop>false</ScaleCrop>
  <Company>Author-it Software Corporation Ltd.</Company>
  <LinksUpToDate>false</LinksUpToDate>
  <CharactersWithSpaces>5178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MEM05066 Develop and maintain welding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2023-02-03T06:48:00Z</dcterms:created>
  <dcterms:modified xsi:type="dcterms:W3CDTF">2023-02-03T06:48:00Z</dcterms:modified>
</cp:coreProperties>
</file>