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88C" w:rsidP="00460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MEM05047 Weld using flux core arc welding process</w:t>
      </w:r>
      <w:r>
        <w:fldChar w:fldCharType="end"/>
      </w:r>
    </w:p>
    <w:p w:rsidR="0046088C" w:rsidP="0046088C">
      <w:pPr>
        <w:pStyle w:val="Version"/>
        <w:sectPr w:rsidSect="007F1E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E2D" w:rsidP="007F1E2D">
      <w:pPr>
        <w:pStyle w:val="SuperHeading"/>
      </w:pPr>
      <w:r w:rsidRPr="007F1E2D">
        <w:t>MEM05047 Weld using flux core arc welding process</w:t>
      </w:r>
    </w:p>
    <w:p w:rsidR="00000000" w:rsidRPr="007F1E2D" w:rsidP="007F1E2D">
      <w:pPr>
        <w:pStyle w:val="Heading1"/>
      </w:pPr>
      <w:bookmarkStart w:id="1" w:name="O_942662"/>
      <w:bookmarkEnd w:id="1"/>
      <w:r w:rsidRPr="007F1E2D">
        <w:t>Modification History</w:t>
      </w:r>
    </w:p>
    <w:p w:rsidR="00000000" w:rsidRPr="007F1E2D" w:rsidP="0046088C">
      <w:pPr>
        <w:pStyle w:val="BodyText"/>
      </w:pPr>
      <w:r w:rsidRPr="007F1E2D">
        <w:t xml:space="preserve">Release 1. Supersedes and is equivalent to MEM05047B Weld using flux core arc welding process </w:t>
      </w:r>
    </w:p>
    <w:p w:rsidR="00000000" w:rsidRPr="007F1E2D" w:rsidP="007F1E2D">
      <w:pPr>
        <w:pStyle w:val="Heading1"/>
      </w:pPr>
      <w:bookmarkStart w:id="2" w:name="O_942670"/>
      <w:bookmarkEnd w:id="2"/>
      <w:r w:rsidRPr="007F1E2D">
        <w:t>Application</w:t>
      </w:r>
    </w:p>
    <w:p w:rsidR="00000000" w:rsidRPr="007F1E2D" w:rsidP="0046088C">
      <w:pPr>
        <w:pStyle w:val="BodyText"/>
      </w:pPr>
      <w:r w:rsidRPr="007F1E2D">
        <w:t>This unit of competency defines the skills and knowledge required to perform flux core arc welding (FCA</w:t>
      </w:r>
      <w:r w:rsidRPr="007F1E2D">
        <w:t>W) on heavy or light metal fabrications.</w:t>
      </w:r>
    </w:p>
    <w:p w:rsidR="00000000" w:rsidRPr="007F1E2D" w:rsidP="0046088C">
      <w:pPr>
        <w:pStyle w:val="BodyText"/>
      </w:pPr>
      <w:r w:rsidRPr="007F1E2D">
        <w:t>Weld quality would conform to AS 1554 General Purpose and American Bureau of Shipping (ABS) or equivalent.</w:t>
      </w:r>
    </w:p>
    <w:p w:rsidR="00000000" w:rsidRPr="007F1E2D" w:rsidP="0046088C">
      <w:pPr>
        <w:pStyle w:val="BodyText"/>
      </w:pPr>
      <w:r w:rsidRPr="007F1E2D">
        <w:t>Where the interpretation of technical drawings is required unit MEM09002 Interpret technical drawing shoul</w:t>
      </w:r>
      <w:r w:rsidRPr="007F1E2D">
        <w:t>d also be selected.</w:t>
      </w:r>
    </w:p>
    <w:p w:rsidR="00000000" w:rsidRPr="007F1E2D" w:rsidP="0046088C">
      <w:pPr>
        <w:pStyle w:val="BodyText"/>
      </w:pPr>
      <w:r w:rsidRPr="007F1E2D">
        <w:t>Where thermal processes, hand and/or power tools are required the appropriate specialisation units should also be selected.</w:t>
      </w:r>
    </w:p>
    <w:p w:rsidR="00000000" w:rsidRPr="007F1E2D" w:rsidP="0046088C">
      <w:pPr>
        <w:pStyle w:val="BodyText"/>
      </w:pPr>
      <w:r w:rsidRPr="007F1E2D">
        <w:t>No licensing, legislative or certification requirements apply to this unit at the time of publication.</w:t>
      </w:r>
    </w:p>
    <w:p w:rsidR="00000000" w:rsidRPr="007F1E2D" w:rsidP="007F1E2D">
      <w:pPr>
        <w:pStyle w:val="BodyText"/>
      </w:pPr>
      <w:r w:rsidRPr="007F1E2D">
        <w:rPr>
          <w:rStyle w:val="SpecialBold"/>
        </w:rPr>
        <w:t>Band:</w:t>
      </w:r>
      <w:r w:rsidRPr="007F1E2D">
        <w:rPr>
          <w:rStyle w:val="SpecialBold"/>
        </w:rPr>
        <w:tab/>
      </w:r>
      <w:r w:rsidRPr="007F1E2D">
        <w:rPr>
          <w:rStyle w:val="SpecialBold"/>
        </w:rPr>
        <w:t>A</w:t>
      </w:r>
    </w:p>
    <w:p w:rsidR="00000000" w:rsidRPr="007F1E2D" w:rsidP="007F1E2D">
      <w:pPr>
        <w:pStyle w:val="BodyText"/>
      </w:pPr>
      <w:r w:rsidRPr="007F1E2D">
        <w:rPr>
          <w:rStyle w:val="SpecialBold"/>
        </w:rPr>
        <w:t>Unit Weight:</w:t>
      </w:r>
      <w:r w:rsidRPr="007F1E2D">
        <w:rPr>
          <w:rStyle w:val="SpecialBold"/>
        </w:rPr>
        <w:tab/>
        <w:t>4</w:t>
      </w:r>
    </w:p>
    <w:p w:rsidR="00000000" w:rsidRPr="007F1E2D" w:rsidP="007F1E2D">
      <w:pPr>
        <w:pStyle w:val="AllowPageBreak"/>
      </w:pPr>
    </w:p>
    <w:p w:rsidR="00000000" w:rsidRPr="007F1E2D" w:rsidP="007F1E2D">
      <w:pPr>
        <w:pStyle w:val="Heading1"/>
      </w:pPr>
      <w:bookmarkStart w:id="3" w:name="O_942669"/>
      <w:bookmarkEnd w:id="3"/>
      <w:r w:rsidRPr="007F1E2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5"/>
        <w:gridCol w:w="7307"/>
      </w:tblGrid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MEM05051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Select welding processes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MEM05052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Apply safe welding practices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MEM05056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Perform routine flux core arc welding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MEM11011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Undertake manual handling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MEM12023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Perform engineering measurements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MEM12024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Perform computations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MEM13015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Work safely and effectively in manufacturing and engineering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MEM14006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Plan work activities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MEM16006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Organise and communicate information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MEM18001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Use hand tools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MEM18002</w:t>
            </w: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BodyText"/>
            </w:pPr>
            <w:r w:rsidRPr="007F1E2D">
              <w:t>Use power tools/hand held operations</w:t>
            </w:r>
          </w:p>
        </w:tc>
      </w:tr>
    </w:tbl>
    <w:p w:rsidR="0046088C" w:rsidP="007F1E2D">
      <w:pPr>
        <w:pStyle w:val="BodyText"/>
      </w:pPr>
    </w:p>
    <w:p w:rsidR="0046088C" w:rsidP="007F1E2D">
      <w:pPr>
        <w:pStyle w:val="BodyText"/>
      </w:pPr>
    </w:p>
    <w:p w:rsidR="00000000" w:rsidRPr="007F1E2D" w:rsidP="007F1E2D">
      <w:pPr>
        <w:pStyle w:val="Heading1"/>
      </w:pPr>
      <w:bookmarkStart w:id="4" w:name="O_942668"/>
      <w:bookmarkEnd w:id="4"/>
      <w:r w:rsidRPr="007F1E2D">
        <w:t>Competency Field</w:t>
      </w:r>
    </w:p>
    <w:p w:rsidR="00000000" w:rsidRPr="007F1E2D" w:rsidP="0046088C">
      <w:pPr>
        <w:pStyle w:val="BodyText"/>
      </w:pPr>
      <w:r w:rsidRPr="007F1E2D">
        <w:t>Fabrication</w:t>
      </w:r>
    </w:p>
    <w:p w:rsidR="00000000" w:rsidRPr="007F1E2D" w:rsidP="007F1E2D">
      <w:pPr>
        <w:pStyle w:val="Heading1"/>
      </w:pPr>
      <w:bookmarkStart w:id="5" w:name="O_942666"/>
      <w:bookmarkEnd w:id="5"/>
      <w:r w:rsidRPr="007F1E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Performance criteria describe the performance needed to demonstrate achievement of the element.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BodyText"/>
            </w:pPr>
            <w:r w:rsidRPr="007F1E2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Follow standard operating procedures (SOPs)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Comply with work health and safety (WHS) requirements at all times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Use appropriate personal protective equipment (PPE) in accordance with SOPs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Identify job requirements from specifications, sketches, job sheets or work instructions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BodyText"/>
            </w:pPr>
            <w:r w:rsidRPr="007F1E2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rPr>
                <w:rStyle w:val="SpecialBold"/>
              </w:rPr>
              <w:t>Prepare materials for FCAW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Prepare materials to achieve the required weld requirements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Assemble/align materials to specification, where required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BodyText"/>
            </w:pPr>
            <w:r w:rsidRPr="007F1E2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rPr>
                <w:rStyle w:val="SpecialBold"/>
              </w:rPr>
              <w:t>Select, assemble and set up 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Identify and select welding machine settings, accessories and consumables appropriate to the material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Assemble and set up semi-automatic machines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BodyText"/>
            </w:pPr>
            <w:r w:rsidRPr="007F1E2D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BodyText"/>
            </w:pPr>
            <w:r w:rsidRPr="007F1E2D">
              <w:rPr>
                <w:rStyle w:val="SpecialBold"/>
              </w:rPr>
              <w:t>Minimise and rectify distortion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Apply appropriate distortion prevention measures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Rectify any distortion using appropriate techniques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BodyText"/>
            </w:pPr>
            <w:r w:rsidRPr="007F1E2D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rPr>
                <w:rStyle w:val="SpecialBold"/>
              </w:rPr>
              <w:t>Weld to job specification using FCAW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Ensure weld deposit is to specification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Clean joints to specifications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BodyText"/>
            </w:pPr>
            <w:r w:rsidRPr="007F1E2D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Inspect weld joints visually for conformance to specifications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Rectify any weld defects with minimum loss of sound metal using correct techniques and tools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BodyText"/>
            </w:pPr>
            <w:r w:rsidRPr="007F1E2D">
              <w:t>Maintain weld r</w:t>
            </w:r>
            <w:r w:rsidRPr="007F1E2D">
              <w:t>ecords according to SOPs</w:t>
            </w:r>
          </w:p>
        </w:tc>
      </w:tr>
    </w:tbl>
    <w:p w:rsidR="00000000" w:rsidRPr="007F1E2D" w:rsidP="007F1E2D">
      <w:pPr>
        <w:pStyle w:val="BodyText"/>
      </w:pPr>
    </w:p>
    <w:p w:rsidR="00000000" w:rsidRPr="007F1E2D" w:rsidP="007F1E2D">
      <w:pPr>
        <w:pStyle w:val="AllowPageBreak"/>
      </w:pPr>
    </w:p>
    <w:p w:rsidR="00000000" w:rsidRPr="007F1E2D" w:rsidP="007F1E2D">
      <w:pPr>
        <w:pStyle w:val="Heading1"/>
      </w:pPr>
      <w:bookmarkStart w:id="6" w:name="O_942665"/>
      <w:bookmarkEnd w:id="6"/>
      <w:r w:rsidRPr="007F1E2D">
        <w:t>Foundation Skills</w:t>
      </w:r>
    </w:p>
    <w:p w:rsidR="00000000" w:rsidRPr="007F1E2D" w:rsidP="0046088C">
      <w:pPr>
        <w:pStyle w:val="BodyText"/>
      </w:pPr>
      <w:r w:rsidRPr="007F1E2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F1E2D" w:rsidP="0046088C">
      <w:pPr>
        <w:pStyle w:val="BodyText"/>
      </w:pPr>
      <w:r w:rsidRPr="007F1E2D">
        <w:t>Foundation skills essential to performance are explicit in the performance criteria of this unit of competency.</w:t>
      </w:r>
    </w:p>
    <w:p w:rsidR="00000000" w:rsidRPr="007F1E2D" w:rsidP="007F1E2D">
      <w:pPr>
        <w:pStyle w:val="Heading1"/>
      </w:pPr>
      <w:bookmarkStart w:id="7" w:name="O_942664"/>
      <w:bookmarkEnd w:id="7"/>
      <w:r w:rsidRPr="007F1E2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t>This field allows for different work environments and conditions that may affect performance. Essential ope</w:t>
            </w:r>
            <w:r w:rsidRPr="007F1E2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rPr>
                <w:rStyle w:val="SpecialBold"/>
              </w:rPr>
              <w:t>Welds include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ListBullet"/>
            </w:pPr>
            <w:r w:rsidRPr="007F1E2D">
              <w:t>fillet and butt welds carried out in all posi</w:t>
            </w:r>
            <w:r w:rsidRPr="007F1E2D">
              <w:t xml:space="preserve">tions </w:t>
            </w:r>
          </w:p>
          <w:p w:rsidR="00000000" w:rsidP="007F1E2D">
            <w:pPr>
              <w:pStyle w:val="BodyText"/>
              <w:rPr>
                <w:lang w:val="en-NZ"/>
              </w:rPr>
            </w:pP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ListBullet"/>
            </w:pPr>
            <w:r w:rsidRPr="007F1E2D">
              <w:t>carbon steel</w:t>
            </w:r>
          </w:p>
          <w:p w:rsidR="00000000" w:rsidRPr="007F1E2D" w:rsidP="007F1E2D">
            <w:pPr>
              <w:pStyle w:val="ListBullet"/>
            </w:pPr>
            <w:r w:rsidRPr="007F1E2D">
              <w:t>stainless steel</w:t>
            </w:r>
          </w:p>
          <w:p w:rsidR="00000000" w:rsidP="007F1E2D">
            <w:pPr>
              <w:pStyle w:val="BodyText"/>
              <w:rPr>
                <w:lang w:val="en-NZ"/>
              </w:rPr>
            </w:pP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ListBullet"/>
            </w:pPr>
            <w:r w:rsidRPr="007F1E2D">
              <w:t>pre-heating</w:t>
            </w:r>
          </w:p>
          <w:p w:rsidR="00000000" w:rsidRPr="007F1E2D" w:rsidP="007F1E2D">
            <w:pPr>
              <w:pStyle w:val="ListBullet"/>
            </w:pPr>
            <w:r w:rsidRPr="007F1E2D">
              <w:t>setting up of jigs</w:t>
            </w:r>
          </w:p>
          <w:p w:rsidR="00000000" w:rsidRPr="007F1E2D" w:rsidP="007F1E2D">
            <w:pPr>
              <w:pStyle w:val="ListBullet"/>
            </w:pPr>
            <w:r w:rsidRPr="007F1E2D">
              <w:t>fixtures and clamps</w:t>
            </w:r>
          </w:p>
          <w:p w:rsidR="00000000" w:rsidP="007F1E2D">
            <w:pPr>
              <w:pStyle w:val="BodyText"/>
              <w:rPr>
                <w:lang w:val="en-NZ"/>
              </w:rPr>
            </w:pP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rPr>
                <w:rStyle w:val="SpecialBold"/>
              </w:rPr>
              <w:t>Consumables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ListBullet"/>
            </w:pPr>
            <w:r w:rsidRPr="007F1E2D">
              <w:t>gas or gasless wire</w:t>
            </w:r>
          </w:p>
          <w:p w:rsidR="00000000" w:rsidRPr="007F1E2D" w:rsidP="007F1E2D">
            <w:pPr>
              <w:pStyle w:val="ListBullet"/>
            </w:pPr>
            <w:r w:rsidRPr="007F1E2D">
              <w:t>a range of gases</w:t>
            </w:r>
          </w:p>
          <w:p w:rsidR="00000000" w:rsidP="007F1E2D">
            <w:pPr>
              <w:pStyle w:val="BodyText"/>
              <w:rPr>
                <w:lang w:val="en-NZ"/>
              </w:rPr>
            </w:pP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ListBullet"/>
            </w:pPr>
            <w:r w:rsidRPr="007F1E2D">
              <w:t>pre-heating</w:t>
            </w:r>
          </w:p>
          <w:p w:rsidR="00000000" w:rsidRPr="007F1E2D" w:rsidP="007F1E2D">
            <w:pPr>
              <w:pStyle w:val="ListBullet"/>
            </w:pPr>
            <w:r w:rsidRPr="007F1E2D">
              <w:t>setting up of jigs</w:t>
            </w:r>
          </w:p>
          <w:p w:rsidR="00000000" w:rsidRPr="007F1E2D" w:rsidP="007F1E2D">
            <w:pPr>
              <w:pStyle w:val="ListBullet"/>
            </w:pPr>
            <w:r w:rsidRPr="007F1E2D">
              <w:t>fixtures and clamps</w:t>
            </w:r>
          </w:p>
          <w:p w:rsidR="00000000" w:rsidP="007F1E2D">
            <w:pPr>
              <w:pStyle w:val="BodyText"/>
              <w:rPr>
                <w:lang w:val="en-NZ"/>
              </w:rPr>
            </w:pPr>
          </w:p>
        </w:tc>
      </w:tr>
      <w:tr w:rsidTr="007F1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E2D">
            <w:pPr>
              <w:pStyle w:val="BodyText"/>
              <w:rPr>
                <w:lang w:val="en-NZ"/>
              </w:rPr>
            </w:pPr>
            <w:r w:rsidRPr="007F1E2D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E2D" w:rsidP="007F1E2D">
            <w:pPr>
              <w:pStyle w:val="ListBullet"/>
            </w:pPr>
            <w:r w:rsidRPr="007F1E2D">
              <w:t>oxy acetylene</w:t>
            </w:r>
          </w:p>
          <w:p w:rsidR="00000000" w:rsidRPr="007F1E2D" w:rsidP="007F1E2D">
            <w:pPr>
              <w:pStyle w:val="ListBullet"/>
            </w:pPr>
            <w:r w:rsidRPr="007F1E2D">
              <w:t xml:space="preserve">air arc equipment </w:t>
            </w:r>
          </w:p>
          <w:p w:rsidR="00000000" w:rsidRPr="007F1E2D" w:rsidP="007F1E2D">
            <w:pPr>
              <w:pStyle w:val="ListBullet"/>
            </w:pPr>
            <w:r w:rsidRPr="007F1E2D">
              <w:t>grinding devices</w:t>
            </w:r>
          </w:p>
          <w:p w:rsidR="00000000" w:rsidRPr="007F1E2D" w:rsidP="007F1E2D">
            <w:pPr>
              <w:pStyle w:val="BodyText"/>
            </w:pPr>
          </w:p>
        </w:tc>
      </w:tr>
    </w:tbl>
    <w:p w:rsidR="00000000" w:rsidRPr="007F1E2D" w:rsidP="007F1E2D">
      <w:pPr>
        <w:pStyle w:val="BodyText"/>
      </w:pPr>
    </w:p>
    <w:p w:rsidR="00000000" w:rsidRPr="007F1E2D" w:rsidP="007F1E2D">
      <w:pPr>
        <w:pStyle w:val="AllowPageBreak"/>
      </w:pPr>
    </w:p>
    <w:p w:rsidR="00000000" w:rsidRPr="007F1E2D" w:rsidP="007F1E2D">
      <w:pPr>
        <w:pStyle w:val="Heading1"/>
      </w:pPr>
      <w:bookmarkStart w:id="8" w:name="O_942663"/>
      <w:bookmarkEnd w:id="8"/>
      <w:r w:rsidRPr="007F1E2D">
        <w:t>Unit Mapping Information</w:t>
      </w:r>
    </w:p>
    <w:p w:rsidR="00000000" w:rsidRPr="007F1E2D" w:rsidP="0046088C">
      <w:pPr>
        <w:pStyle w:val="BodyText"/>
      </w:pPr>
      <w:r w:rsidRPr="007F1E2D">
        <w:t xml:space="preserve">Release 1. Supersedes and is equivalent to MEM05047B Weld using flux core arc welding process </w:t>
      </w:r>
    </w:p>
    <w:p w:rsidR="00000000" w:rsidRPr="007F1E2D" w:rsidP="007F1E2D">
      <w:pPr>
        <w:pStyle w:val="Heading1"/>
      </w:pPr>
      <w:bookmarkStart w:id="9" w:name="O_942656"/>
      <w:bookmarkEnd w:id="9"/>
      <w:r w:rsidRPr="007F1E2D">
        <w:t>Links</w:t>
      </w:r>
    </w:p>
    <w:p w:rsidR="00000000" w:rsidRPr="007F1E2D" w:rsidP="0046088C">
      <w:pPr>
        <w:pStyle w:val="BodyText"/>
      </w:pPr>
      <w:r w:rsidRPr="007F1E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0050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F1E2D" w:rsidP="007F1E2D"/>
    <w:sectPr w:rsidSect="007F1E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E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E2D" w:rsidRPr="0046088C" w:rsidP="00460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E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8C" w:rsidP="007F1E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88C" w:rsidP="007F1E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088C" w:rsidP="007F1E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E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E2D" w:rsidRPr="0046088C" w:rsidP="00460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E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88C" w:rsidRPr="002D2AF8" w:rsidP="007F1E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MEM05047 Weld using flux core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46088C" w:rsidP="007F1E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E42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2A0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E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E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E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E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E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E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E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E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E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E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E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E2D"/>
  </w:style>
  <w:style w:type="character" w:customStyle="1" w:styleId="Heading1Char">
    <w:name w:val="Heading 1 Char"/>
    <w:basedOn w:val="DefaultParagraphFont"/>
    <w:link w:val="Heading1"/>
    <w:rsid w:val="007F1E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E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E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1E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1E2D"/>
    <w:rPr>
      <w:b/>
      <w:spacing w:val="0"/>
    </w:rPr>
  </w:style>
  <w:style w:type="paragraph" w:customStyle="1" w:styleId="SuperHeading">
    <w:name w:val="SuperHeading"/>
    <w:basedOn w:val="Normal"/>
    <w:rsid w:val="007F1E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E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1E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E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E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E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E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E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E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E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E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E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E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E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E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E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E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1E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E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E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E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1E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1E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E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E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E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E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E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E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E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E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1E2D"/>
    <w:rPr>
      <w:i/>
    </w:rPr>
  </w:style>
  <w:style w:type="paragraph" w:styleId="Caption">
    <w:name w:val="caption"/>
    <w:basedOn w:val="BodyText"/>
    <w:next w:val="Normal"/>
    <w:qFormat/>
    <w:rsid w:val="007F1E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E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E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E2D"/>
  </w:style>
  <w:style w:type="paragraph" w:styleId="TableofFigures">
    <w:name w:val="table of figures"/>
    <w:basedOn w:val="Normal"/>
    <w:next w:val="Normal"/>
    <w:semiHidden/>
    <w:rsid w:val="007F1E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E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1E2D"/>
    <w:rPr>
      <w:rFonts w:ascii="Wingdings" w:hAnsi="Wingdings"/>
    </w:rPr>
  </w:style>
  <w:style w:type="paragraph" w:customStyle="1" w:styleId="TableHeading">
    <w:name w:val="Table Heading"/>
    <w:basedOn w:val="HeadingBase"/>
    <w:rsid w:val="007F1E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E2D"/>
    <w:rPr>
      <w:color w:val="0033CC"/>
      <w:u w:val="none"/>
    </w:rPr>
  </w:style>
  <w:style w:type="paragraph" w:customStyle="1" w:styleId="BodyTextRight">
    <w:name w:val="Body Text Right"/>
    <w:basedOn w:val="BodyText"/>
    <w:rsid w:val="007F1E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E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E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E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E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E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E2D"/>
    <w:rPr>
      <w:sz w:val="32"/>
    </w:rPr>
  </w:style>
  <w:style w:type="paragraph" w:customStyle="1" w:styleId="HeadingProcedure">
    <w:name w:val="Heading Procedure"/>
    <w:basedOn w:val="HeadingBase"/>
    <w:next w:val="Normal"/>
    <w:rsid w:val="007F1E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E2D"/>
    <w:pPr>
      <w:spacing w:before="60" w:after="60"/>
    </w:pPr>
  </w:style>
  <w:style w:type="paragraph" w:styleId="ListContinue">
    <w:name w:val="List Continue"/>
    <w:basedOn w:val="List"/>
    <w:rsid w:val="007F1E2D"/>
    <w:pPr>
      <w:ind w:firstLine="0"/>
    </w:pPr>
  </w:style>
  <w:style w:type="paragraph" w:customStyle="1" w:styleId="ListNote">
    <w:name w:val="List Note"/>
    <w:basedOn w:val="List"/>
    <w:rsid w:val="007F1E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E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E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E2D"/>
    <w:rPr>
      <w:rFonts w:ascii="Courier New" w:hAnsi="Courier New"/>
    </w:rPr>
  </w:style>
  <w:style w:type="paragraph" w:customStyle="1" w:styleId="NoteBullet">
    <w:name w:val="Note Bullet"/>
    <w:basedOn w:val="Note"/>
    <w:rsid w:val="007F1E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E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E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E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E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1E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E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E2D"/>
    <w:rPr>
      <w:b/>
      <w:smallCaps/>
    </w:rPr>
  </w:style>
  <w:style w:type="paragraph" w:customStyle="1" w:styleId="TableListNumber">
    <w:name w:val="Table List Number"/>
    <w:basedOn w:val="ListNumber"/>
    <w:rsid w:val="007F1E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E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E2D"/>
    <w:pPr>
      <w:numPr>
        <w:numId w:val="8"/>
      </w:numPr>
    </w:pPr>
  </w:style>
  <w:style w:type="paragraph" w:customStyle="1" w:styleId="ListAlpha2">
    <w:name w:val="List Alpha 2"/>
    <w:basedOn w:val="List2"/>
    <w:rsid w:val="007F1E2D"/>
    <w:pPr>
      <w:numPr>
        <w:numId w:val="7"/>
      </w:numPr>
    </w:pPr>
  </w:style>
  <w:style w:type="paragraph" w:styleId="List2">
    <w:name w:val="List 2"/>
    <w:basedOn w:val="BodyText"/>
    <w:rsid w:val="007F1E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E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E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E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E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E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1E2D"/>
    <w:pPr>
      <w:numPr>
        <w:numId w:val="3"/>
      </w:numPr>
    </w:pPr>
  </w:style>
  <w:style w:type="paragraph" w:styleId="ListContinue2">
    <w:name w:val="List Continue 2"/>
    <w:basedOn w:val="List2"/>
    <w:rsid w:val="007F1E2D"/>
    <w:pPr>
      <w:ind w:firstLine="0"/>
    </w:pPr>
  </w:style>
  <w:style w:type="paragraph" w:styleId="ListContinue3">
    <w:name w:val="List Continue 3"/>
    <w:basedOn w:val="List3"/>
    <w:rsid w:val="007F1E2D"/>
    <w:pPr>
      <w:ind w:left="1021" w:firstLine="0"/>
    </w:pPr>
  </w:style>
  <w:style w:type="paragraph" w:styleId="ListContinue4">
    <w:name w:val="List Continue 4"/>
    <w:basedOn w:val="List4"/>
    <w:rsid w:val="007F1E2D"/>
    <w:pPr>
      <w:ind w:firstLine="0"/>
    </w:pPr>
  </w:style>
  <w:style w:type="paragraph" w:styleId="ListContinue5">
    <w:name w:val="List Continue 5"/>
    <w:basedOn w:val="List5"/>
    <w:rsid w:val="007F1E2D"/>
    <w:pPr>
      <w:ind w:firstLine="0"/>
    </w:pPr>
  </w:style>
  <w:style w:type="paragraph" w:styleId="ListNumber3">
    <w:name w:val="List Number 3"/>
    <w:basedOn w:val="List3"/>
    <w:rsid w:val="007F1E2D"/>
    <w:pPr>
      <w:numPr>
        <w:numId w:val="4"/>
      </w:numPr>
    </w:pPr>
  </w:style>
  <w:style w:type="paragraph" w:styleId="ListNumber4">
    <w:name w:val="List Number 4"/>
    <w:basedOn w:val="List4"/>
    <w:rsid w:val="007F1E2D"/>
    <w:pPr>
      <w:numPr>
        <w:numId w:val="5"/>
      </w:numPr>
    </w:pPr>
  </w:style>
  <w:style w:type="paragraph" w:styleId="ListNumber5">
    <w:name w:val="List Number 5"/>
    <w:basedOn w:val="List5"/>
    <w:rsid w:val="007F1E2D"/>
    <w:pPr>
      <w:numPr>
        <w:numId w:val="6"/>
      </w:numPr>
    </w:pPr>
  </w:style>
  <w:style w:type="paragraph" w:styleId="BlockText">
    <w:name w:val="Block Text"/>
    <w:basedOn w:val="Normal"/>
    <w:rsid w:val="007F1E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E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E2D"/>
    <w:rPr>
      <w:sz w:val="16"/>
      <w:vertAlign w:val="superscript"/>
    </w:rPr>
  </w:style>
  <w:style w:type="character" w:customStyle="1" w:styleId="Symbols">
    <w:name w:val="Symbols"/>
    <w:basedOn w:val="DefaultParagraphFont"/>
    <w:rsid w:val="007F1E2D"/>
    <w:rPr>
      <w:rFonts w:ascii="Symbol" w:hAnsi="Symbol"/>
    </w:rPr>
  </w:style>
  <w:style w:type="character" w:customStyle="1" w:styleId="MenuOptions">
    <w:name w:val="Menu Options"/>
    <w:basedOn w:val="DefaultParagraphFont"/>
    <w:rsid w:val="007F1E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E2D"/>
    <w:rPr>
      <w:b/>
    </w:rPr>
  </w:style>
  <w:style w:type="character" w:customStyle="1" w:styleId="Underlined">
    <w:name w:val="Underlined"/>
    <w:basedOn w:val="DefaultParagraphFont"/>
    <w:rsid w:val="007F1E2D"/>
    <w:rPr>
      <w:u w:val="single"/>
    </w:rPr>
  </w:style>
  <w:style w:type="paragraph" w:customStyle="1" w:styleId="TableBodyTextRight">
    <w:name w:val="Table Body Text Right"/>
    <w:basedOn w:val="TableBodyText"/>
    <w:rsid w:val="007F1E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E2D"/>
    <w:rPr>
      <w:sz w:val="18"/>
    </w:rPr>
  </w:style>
  <w:style w:type="paragraph" w:customStyle="1" w:styleId="BodySmallRight">
    <w:name w:val="Body Small Right"/>
    <w:basedOn w:val="BodyTextRight"/>
    <w:rsid w:val="007F1E2D"/>
    <w:rPr>
      <w:sz w:val="18"/>
      <w:szCs w:val="18"/>
    </w:rPr>
  </w:style>
  <w:style w:type="paragraph" w:customStyle="1" w:styleId="MarginEdition">
    <w:name w:val="Margin Edition"/>
    <w:basedOn w:val="MarginNote"/>
    <w:rsid w:val="007F1E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E2D"/>
    <w:rPr>
      <w:sz w:val="2"/>
      <w:szCs w:val="2"/>
    </w:rPr>
  </w:style>
  <w:style w:type="character" w:customStyle="1" w:styleId="Small">
    <w:name w:val="Small"/>
    <w:basedOn w:val="DefaultParagraphFont"/>
    <w:rsid w:val="007F1E2D"/>
    <w:rPr>
      <w:sz w:val="16"/>
    </w:rPr>
  </w:style>
  <w:style w:type="paragraph" w:customStyle="1" w:styleId="WideTable">
    <w:name w:val="Wide Table"/>
    <w:basedOn w:val="Normal"/>
    <w:rsid w:val="007F1E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E2D"/>
  </w:style>
  <w:style w:type="paragraph" w:styleId="Quote">
    <w:name w:val="Quote"/>
    <w:basedOn w:val="Heading1"/>
    <w:link w:val="QuoteChar"/>
    <w:qFormat/>
    <w:rsid w:val="007F1E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E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E2D"/>
    <w:pPr>
      <w:pageBreakBefore/>
    </w:pPr>
  </w:style>
  <w:style w:type="paragraph" w:customStyle="1" w:styleId="Border">
    <w:name w:val="Border"/>
    <w:basedOn w:val="Normal"/>
    <w:qFormat/>
    <w:rsid w:val="007F1E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E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E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E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E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E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E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E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E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E2D"/>
    <w:rPr>
      <w:u w:val="single"/>
    </w:rPr>
  </w:style>
  <w:style w:type="character" w:customStyle="1" w:styleId="BoldandItalics">
    <w:name w:val="Bold and Italics"/>
    <w:qFormat/>
    <w:rsid w:val="007F1E2D"/>
    <w:rPr>
      <w:b/>
      <w:i/>
      <w:u w:val="none"/>
    </w:rPr>
  </w:style>
  <w:style w:type="paragraph" w:styleId="BalloonText">
    <w:name w:val="Balloon Text"/>
    <w:basedOn w:val="Normal"/>
    <w:link w:val="BalloonTextChar"/>
    <w:rsid w:val="007F1E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E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E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E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E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E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E2D"/>
    <w:pPr>
      <w:spacing w:before="0" w:after="0"/>
    </w:pPr>
  </w:style>
  <w:style w:type="paragraph" w:customStyle="1" w:styleId="BodyTextBold">
    <w:name w:val="Body Text Bold"/>
    <w:basedOn w:val="BodyText"/>
    <w:qFormat/>
    <w:rsid w:val="007F1E2D"/>
    <w:rPr>
      <w:b/>
    </w:rPr>
  </w:style>
  <w:style w:type="character" w:styleId="Hyperlink">
    <w:name w:val="Hyperlink"/>
    <w:basedOn w:val="DefaultParagraphFont"/>
    <w:uiPriority w:val="99"/>
    <w:unhideWhenUsed/>
    <w:rsid w:val="00460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3812</Characters>
  <Application>Microsoft Office Word</Application>
  <DocSecurity>0</DocSecurity>
  <Lines>224</Lines>
  <Paragraphs>134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MEM05047 Weld using flux core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2021-03-31T03:27:00Z</dcterms:created>
  <dcterms:modified xsi:type="dcterms:W3CDTF">2021-03-31T03:27:00Z</dcterms:modified>
</cp:coreProperties>
</file>