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CC3" w:rsidP="00AE2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MEM05037 Perform geometric development</w:t>
      </w:r>
      <w:r>
        <w:fldChar w:fldCharType="end"/>
      </w:r>
    </w:p>
    <w:p w:rsidR="00AE2CC3" w:rsidP="00AE2CC3">
      <w:pPr>
        <w:pStyle w:val="Version"/>
        <w:sectPr w:rsidSect="000E7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79C6" w:rsidP="000E79C6">
      <w:pPr>
        <w:pStyle w:val="SuperHeading"/>
      </w:pPr>
      <w:r w:rsidRPr="000E79C6">
        <w:t>MEM05037 Perform geometric development</w:t>
      </w:r>
    </w:p>
    <w:p w:rsidR="00000000" w:rsidRPr="000E79C6" w:rsidP="000E79C6">
      <w:pPr>
        <w:pStyle w:val="Heading1"/>
      </w:pPr>
      <w:bookmarkStart w:id="1" w:name="O_1169149"/>
      <w:bookmarkEnd w:id="1"/>
      <w:r w:rsidRPr="000E79C6">
        <w:t>Modification History</w:t>
      </w:r>
    </w:p>
    <w:p w:rsidR="00000000" w:rsidRPr="000E79C6" w:rsidP="00AE2CC3">
      <w:pPr>
        <w:pStyle w:val="BodyText"/>
      </w:pPr>
      <w:r w:rsidRPr="000E79C6">
        <w:t>Release 2. Quantum of hours of workplace practice removed. Supersedes and is equivalent to MEM05037 Perform geometric development (Release 1).</w:t>
      </w:r>
    </w:p>
    <w:p w:rsidR="00000000" w:rsidRPr="000E79C6" w:rsidP="00AE2CC3">
      <w:pPr>
        <w:pStyle w:val="BodyText"/>
      </w:pPr>
      <w:r w:rsidRPr="000E79C6">
        <w:t>Release 1. Supersedes and is equivalent to MEM05037C Perform geometric development.</w:t>
      </w:r>
    </w:p>
    <w:p w:rsidR="00000000" w:rsidRPr="000E79C6" w:rsidP="000E79C6">
      <w:pPr>
        <w:pStyle w:val="Heading1"/>
      </w:pPr>
      <w:bookmarkStart w:id="2" w:name="O_1169148"/>
      <w:bookmarkEnd w:id="2"/>
      <w:r w:rsidRPr="000E79C6">
        <w:t>Application</w:t>
      </w:r>
    </w:p>
    <w:p w:rsidR="00000000" w:rsidRPr="000E79C6" w:rsidP="00AE2CC3">
      <w:pPr>
        <w:pStyle w:val="BodyText"/>
      </w:pPr>
      <w:r w:rsidRPr="000E79C6">
        <w:t>This unit of competency has been developed for Engineering Tradesperson – Fabrication apprenticeship training and the recognition of trade-level skills in marking out general fabrications using geometric development techniques.</w:t>
      </w:r>
    </w:p>
    <w:p w:rsidR="00000000" w:rsidRPr="000E79C6" w:rsidP="00AE2CC3">
      <w:pPr>
        <w:pStyle w:val="BodyText"/>
      </w:pPr>
      <w:r w:rsidRPr="000E79C6">
        <w:t>Mark</w:t>
      </w:r>
      <w:r w:rsidRPr="000E79C6">
        <w:t xml:space="preserve">ing out associated with geometric development is done to specifications interpreted from technical drawings and job specifications. </w:t>
      </w:r>
    </w:p>
    <w:p w:rsidR="00000000" w:rsidRPr="000E79C6" w:rsidP="00AE2CC3">
      <w:pPr>
        <w:pStyle w:val="BodyText"/>
      </w:pPr>
      <w:r w:rsidRPr="000E79C6">
        <w:t>This unit applies in jobbing workshops and involves the development of templates and general fabricating using geometrical</w:t>
      </w:r>
      <w:r w:rsidRPr="000E79C6">
        <w:t xml:space="preserve"> layout techniques. </w:t>
      </w:r>
    </w:p>
    <w:p w:rsidR="00000000" w:rsidRPr="000E79C6" w:rsidP="00AE2CC3">
      <w:pPr>
        <w:pStyle w:val="BodyText"/>
      </w:pPr>
      <w:r w:rsidRPr="000E79C6">
        <w:t>Skills covered by this unit are generally applied in occupational and work situations associated with steel fabrication, boiler making or sheet metal work.</w:t>
      </w:r>
    </w:p>
    <w:p w:rsidR="00000000" w:rsidRPr="000E79C6" w:rsidP="00AE2CC3">
      <w:pPr>
        <w:pStyle w:val="BodyText"/>
      </w:pPr>
      <w:r w:rsidRPr="000E79C6">
        <w:t>For skills required for marking out activities associated with general engine</w:t>
      </w:r>
      <w:r w:rsidRPr="000E79C6">
        <w:t xml:space="preserve">ering and maintenance functions, see the following units: </w:t>
      </w:r>
    </w:p>
    <w:p w:rsidR="00000000" w:rsidRPr="000E79C6" w:rsidP="000E79C6">
      <w:pPr>
        <w:pStyle w:val="ListBullet"/>
      </w:pPr>
      <w:r w:rsidRPr="000E79C6">
        <w:t>MEM07005 Perform general machining</w:t>
      </w:r>
    </w:p>
    <w:p w:rsidR="00000000" w:rsidRPr="000E79C6" w:rsidP="000E79C6">
      <w:pPr>
        <w:pStyle w:val="ListBullet"/>
      </w:pPr>
      <w:r w:rsidRPr="000E79C6">
        <w:t>MEM12006 Mark off/out (general engineering)</w:t>
      </w:r>
    </w:p>
    <w:p w:rsidR="00000000" w:rsidRPr="000E79C6" w:rsidP="000E79C6">
      <w:pPr>
        <w:pStyle w:val="ListBullet"/>
      </w:pPr>
      <w:r w:rsidRPr="000E79C6">
        <w:t>MEM18006 Perform precision fitting of engineering components.</w:t>
      </w:r>
    </w:p>
    <w:p w:rsidR="00000000" w:rsidRPr="000E79C6" w:rsidP="000E79C6">
      <w:pPr>
        <w:pStyle w:val="BodyText"/>
      </w:pPr>
    </w:p>
    <w:p w:rsidR="00000000" w:rsidRPr="000E79C6" w:rsidP="00AE2CC3">
      <w:pPr>
        <w:pStyle w:val="BodyText"/>
      </w:pPr>
      <w:r w:rsidRPr="000E79C6">
        <w:t>No licensing, legislative or certification requirement</w:t>
      </w:r>
      <w:r w:rsidRPr="000E79C6">
        <w:t>s apply to this unit at the time of publication.</w:t>
      </w:r>
    </w:p>
    <w:p w:rsidR="00000000" w:rsidRPr="000E79C6" w:rsidP="000E79C6">
      <w:pPr>
        <w:pStyle w:val="BodyText"/>
      </w:pPr>
      <w:r w:rsidRPr="000E79C6">
        <w:rPr>
          <w:rStyle w:val="SpecialBold"/>
        </w:rPr>
        <w:t>Band:</w:t>
      </w:r>
      <w:r w:rsidRPr="000E79C6">
        <w:rPr>
          <w:rStyle w:val="SpecialBold"/>
        </w:rPr>
        <w:tab/>
        <w:t>A</w:t>
      </w:r>
    </w:p>
    <w:p w:rsidR="00000000" w:rsidRPr="000E79C6" w:rsidP="000E79C6">
      <w:pPr>
        <w:pStyle w:val="BodyText"/>
      </w:pPr>
      <w:r w:rsidRPr="000E79C6">
        <w:rPr>
          <w:rStyle w:val="SpecialBold"/>
        </w:rPr>
        <w:t>Unit Weight:</w:t>
      </w:r>
      <w:r w:rsidRPr="000E79C6">
        <w:rPr>
          <w:rStyle w:val="SpecialBold"/>
        </w:rPr>
        <w:tab/>
        <w:t>6</w:t>
      </w:r>
    </w:p>
    <w:p w:rsidR="00000000" w:rsidRPr="000E79C6" w:rsidP="000E79C6">
      <w:pPr>
        <w:pStyle w:val="AllowPageBreak"/>
      </w:pPr>
    </w:p>
    <w:p w:rsidR="00000000" w:rsidRPr="000E79C6" w:rsidP="000E79C6">
      <w:pPr>
        <w:pStyle w:val="Heading1"/>
      </w:pPr>
      <w:bookmarkStart w:id="3" w:name="O_1169147"/>
      <w:bookmarkEnd w:id="3"/>
      <w:r w:rsidRPr="000E79C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Interpret technical drawing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Perform engineering measurements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Perform computations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Work safely and effectively in manufacturing and engineering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Plan work activities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Organise and communicate information</w:t>
            </w:r>
          </w:p>
        </w:tc>
      </w:tr>
    </w:tbl>
    <w:p w:rsidR="00000000" w:rsidRPr="000E79C6" w:rsidP="000E79C6">
      <w:pPr>
        <w:pStyle w:val="BodyText"/>
      </w:pPr>
    </w:p>
    <w:p w:rsidR="00000000" w:rsidRPr="000E79C6" w:rsidP="000E79C6">
      <w:pPr>
        <w:pStyle w:val="AllowPageBreak"/>
      </w:pPr>
    </w:p>
    <w:p w:rsidR="00000000" w:rsidRPr="000E79C6" w:rsidP="000E79C6">
      <w:pPr>
        <w:pStyle w:val="Heading1"/>
      </w:pPr>
      <w:bookmarkStart w:id="4" w:name="O_1169146"/>
      <w:bookmarkEnd w:id="4"/>
      <w:r w:rsidRPr="000E79C6">
        <w:t>Competency Field</w:t>
      </w:r>
    </w:p>
    <w:p w:rsidR="00000000" w:rsidRPr="000E79C6" w:rsidP="00AE2CC3">
      <w:pPr>
        <w:pStyle w:val="BodyText"/>
      </w:pPr>
      <w:r w:rsidRPr="000E79C6">
        <w:t>Fabrication</w:t>
      </w:r>
    </w:p>
    <w:p w:rsidR="00000000" w:rsidRPr="000E79C6" w:rsidP="000E79C6">
      <w:pPr>
        <w:pStyle w:val="Heading1"/>
      </w:pPr>
      <w:bookmarkStart w:id="5" w:name="O_1169145"/>
      <w:bookmarkEnd w:id="5"/>
      <w:r w:rsidRPr="000E79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Performance criteria describe the performance needed to demonstrate achievement of the element.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Follow standard operating procedures (SOPs)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Co</w:t>
            </w:r>
            <w:r w:rsidRPr="000E79C6">
              <w:t>mply with work health and safety (WHS) requirements at all times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Use appropriate personal protective equipment (PPE) in accordance with SOPs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Identify job requirements from specifications, drawings, job sheets or work instructions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Transfer dimensions from a detail drawing to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Determine and apply specifications and work requirements using appropriate calculations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 xml:space="preserve">Carry out development to specifications or procedures using appropriate tools and equipment 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Establish datum points and mark appropriate to task requirements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Select appropriate template material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Produce templates to specification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Follow correct storage procedures, including labe</w:t>
            </w:r>
            <w:r w:rsidRPr="000E79C6">
              <w:t>lling and identification to procedures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Select and apply parallel line, radial line and triangulation development methods as appropriate to the work requirements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 xml:space="preserve">Determine and transfer allowances for fabrication and assembly 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Interpret relevant standards/codes and symbols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Interpret requirements of standards/codes and apply to materials and processes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Estimate quantities of materials from detail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Identify materials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Estimate quantities from drawings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BodyText"/>
            </w:pPr>
            <w:r w:rsidRPr="000E79C6">
              <w:t>Minimise material wastage</w:t>
            </w:r>
          </w:p>
        </w:tc>
      </w:tr>
    </w:tbl>
    <w:p w:rsidR="00000000" w:rsidRPr="000E79C6" w:rsidP="000E79C6">
      <w:pPr>
        <w:pStyle w:val="BodyText"/>
      </w:pPr>
    </w:p>
    <w:p w:rsidR="00000000" w:rsidRPr="000E79C6" w:rsidP="000E79C6">
      <w:pPr>
        <w:pStyle w:val="AllowPageBreak"/>
      </w:pPr>
    </w:p>
    <w:p w:rsidR="00000000" w:rsidRPr="000E79C6" w:rsidP="000E79C6">
      <w:pPr>
        <w:pStyle w:val="Heading1"/>
      </w:pPr>
      <w:bookmarkStart w:id="6" w:name="O_1169144"/>
      <w:bookmarkEnd w:id="6"/>
      <w:r w:rsidRPr="000E79C6">
        <w:t>Foundation Skills</w:t>
      </w:r>
    </w:p>
    <w:p w:rsidR="00000000" w:rsidRPr="000E79C6" w:rsidP="00AE2CC3">
      <w:pPr>
        <w:pStyle w:val="BodyText"/>
      </w:pPr>
      <w:r w:rsidRPr="000E79C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E79C6" w:rsidP="00AE2CC3">
      <w:pPr>
        <w:pStyle w:val="BodyText"/>
      </w:pPr>
      <w:r w:rsidRPr="000E79C6">
        <w:t xml:space="preserve">Foundation skills essential to performance are explicit in the performance criteria </w:t>
      </w:r>
      <w:r w:rsidRPr="000E79C6">
        <w:t>of this unit of competency.</w:t>
      </w:r>
    </w:p>
    <w:p w:rsidR="00000000" w:rsidRPr="000E79C6" w:rsidP="000E79C6">
      <w:pPr>
        <w:pStyle w:val="Heading1"/>
      </w:pPr>
      <w:bookmarkStart w:id="7" w:name="O_1169143"/>
      <w:bookmarkEnd w:id="7"/>
      <w:r w:rsidRPr="000E79C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t>This field allows for different work environments and conditions that may affect performance. Essential operating conditions that may be present (depending on the work situation, needs of t</w:t>
            </w:r>
            <w:r w:rsidRPr="000E79C6">
              <w:t>he candidate, accessibility of the item, and local industry and regional contexts) are included.</w:t>
            </w: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Template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ListBullet"/>
            </w:pPr>
            <w:r w:rsidRPr="000E79C6">
              <w:t>steel plate</w:t>
            </w:r>
          </w:p>
          <w:p w:rsidR="00000000" w:rsidRPr="000E79C6" w:rsidP="000E79C6">
            <w:pPr>
              <w:pStyle w:val="ListBullet"/>
            </w:pPr>
            <w:r w:rsidRPr="000E79C6">
              <w:t>perspex</w:t>
            </w:r>
          </w:p>
          <w:p w:rsidR="00000000" w:rsidRPr="000E79C6" w:rsidP="000E79C6">
            <w:pPr>
              <w:pStyle w:val="ListBullet"/>
            </w:pPr>
            <w:r w:rsidRPr="000E79C6">
              <w:t>timber</w:t>
            </w:r>
          </w:p>
          <w:p w:rsidR="00000000" w:rsidRPr="000E79C6" w:rsidP="000E79C6">
            <w:pPr>
              <w:pStyle w:val="ListBullet"/>
            </w:pPr>
            <w:r w:rsidRPr="000E79C6">
              <w:t>cardboard</w:t>
            </w:r>
          </w:p>
          <w:p w:rsidR="00000000" w:rsidRPr="000E79C6" w:rsidP="000E79C6">
            <w:pPr>
              <w:pStyle w:val="ListBullet"/>
            </w:pPr>
            <w:r w:rsidRPr="000E79C6">
              <w:t>paper</w:t>
            </w:r>
          </w:p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Storage procedures</w:t>
            </w:r>
            <w:r w:rsidRPr="000E79C6">
              <w:rPr>
                <w:rStyle w:val="SpecialBold"/>
              </w:rPr>
              <w:t xml:space="preserve">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ListBullet"/>
            </w:pPr>
            <w:r w:rsidRPr="000E79C6">
              <w:t>labelling</w:t>
            </w:r>
          </w:p>
          <w:p w:rsidR="00000000" w:rsidRPr="000E79C6" w:rsidP="000E79C6">
            <w:pPr>
              <w:pStyle w:val="ListBullet"/>
            </w:pPr>
            <w:r w:rsidRPr="000E79C6">
              <w:t>identification (e.g. template lofts)</w:t>
            </w:r>
          </w:p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Development 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ListBullet"/>
            </w:pPr>
            <w:r w:rsidRPr="000E79C6">
              <w:t>parallel line</w:t>
            </w:r>
          </w:p>
          <w:p w:rsidR="00000000" w:rsidRPr="000E79C6" w:rsidP="000E79C6">
            <w:pPr>
              <w:pStyle w:val="ListBullet"/>
            </w:pPr>
            <w:r w:rsidRPr="000E79C6">
              <w:t xml:space="preserve">radial line </w:t>
            </w:r>
          </w:p>
          <w:p w:rsidR="00000000" w:rsidRPr="000E79C6" w:rsidP="000E79C6">
            <w:pPr>
              <w:pStyle w:val="ListBullet"/>
            </w:pPr>
            <w:r w:rsidRPr="000E79C6">
              <w:t>triangulation</w:t>
            </w:r>
          </w:p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ListBullet"/>
            </w:pPr>
            <w:r w:rsidRPr="000E79C6">
              <w:t>thickness</w:t>
            </w:r>
          </w:p>
          <w:p w:rsidR="00000000" w:rsidRPr="000E79C6" w:rsidP="000E79C6">
            <w:pPr>
              <w:pStyle w:val="ListBullet"/>
            </w:pPr>
            <w:r w:rsidRPr="000E79C6">
              <w:t>bend</w:t>
            </w:r>
          </w:p>
          <w:p w:rsidR="00000000" w:rsidRPr="000E79C6" w:rsidP="000E79C6">
            <w:pPr>
              <w:pStyle w:val="ListBullet"/>
            </w:pPr>
            <w:r w:rsidRPr="000E79C6">
              <w:t>pitch</w:t>
            </w:r>
          </w:p>
          <w:p w:rsidR="00000000" w:rsidRPr="000E79C6" w:rsidP="000E79C6">
            <w:pPr>
              <w:pStyle w:val="ListBullet"/>
            </w:pPr>
            <w:r w:rsidRPr="000E79C6">
              <w:t>angle</w:t>
            </w:r>
          </w:p>
          <w:p w:rsidR="00000000" w:rsidRPr="000E79C6" w:rsidP="000E79C6">
            <w:pPr>
              <w:pStyle w:val="ListBullet"/>
            </w:pPr>
            <w:r w:rsidRPr="000E79C6">
              <w:t>circumference</w:t>
            </w:r>
          </w:p>
          <w:p w:rsidR="00000000" w:rsidRPr="000E79C6" w:rsidP="000E79C6">
            <w:pPr>
              <w:pStyle w:val="ListBullet"/>
            </w:pPr>
            <w:r w:rsidRPr="000E79C6">
              <w:t>perimeter</w:t>
            </w:r>
          </w:p>
          <w:p w:rsidR="00000000" w:rsidP="000E79C6">
            <w:pPr>
              <w:pStyle w:val="BodyText"/>
              <w:rPr>
                <w:lang w:val="en-NZ"/>
              </w:rPr>
            </w:pPr>
          </w:p>
        </w:tc>
      </w:tr>
      <w:tr w:rsidTr="000E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C6">
            <w:pPr>
              <w:pStyle w:val="BodyText"/>
              <w:rPr>
                <w:lang w:val="en-NZ"/>
              </w:rPr>
            </w:pPr>
            <w:r w:rsidRPr="000E79C6">
              <w:rPr>
                <w:rStyle w:val="SpecialBold"/>
              </w:rPr>
              <w:t>Standards/codes and symbols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C6" w:rsidP="000E79C6">
            <w:pPr>
              <w:pStyle w:val="ListBullet"/>
            </w:pPr>
            <w:r w:rsidRPr="000E79C6">
              <w:t>carrying out all work in accordance with legislative and regulatory requirements</w:t>
            </w:r>
          </w:p>
        </w:tc>
      </w:tr>
    </w:tbl>
    <w:p w:rsidR="00000000" w:rsidRPr="000E79C6" w:rsidP="000E79C6">
      <w:pPr>
        <w:pStyle w:val="BodyText"/>
      </w:pPr>
    </w:p>
    <w:p w:rsidR="00000000" w:rsidRPr="000E79C6" w:rsidP="000E79C6">
      <w:pPr>
        <w:pStyle w:val="AllowPageBreak"/>
      </w:pPr>
    </w:p>
    <w:p w:rsidR="00000000" w:rsidRPr="000E79C6" w:rsidP="000E79C6">
      <w:pPr>
        <w:pStyle w:val="Heading1"/>
      </w:pPr>
      <w:bookmarkStart w:id="8" w:name="O_1169142"/>
      <w:bookmarkEnd w:id="8"/>
      <w:r w:rsidRPr="000E79C6">
        <w:t>Unit Mapping Information</w:t>
      </w:r>
    </w:p>
    <w:p w:rsidR="00000000" w:rsidRPr="000E79C6" w:rsidP="00AE2CC3">
      <w:pPr>
        <w:pStyle w:val="BodyText"/>
      </w:pPr>
      <w:r w:rsidRPr="000E79C6">
        <w:t>Release 2. Supersedes and is equivalent to MEM05037 Perform geometric development (Release 1).</w:t>
      </w:r>
    </w:p>
    <w:p w:rsidR="00000000" w:rsidRPr="000E79C6" w:rsidP="00AE2CC3">
      <w:pPr>
        <w:pStyle w:val="BodyText"/>
      </w:pPr>
      <w:r w:rsidRPr="000E79C6">
        <w:t>Release 1. Supersedes and is equivalent to MEM05037C Perform geometric development.</w:t>
      </w:r>
    </w:p>
    <w:p w:rsidR="00000000" w:rsidRPr="000E79C6" w:rsidP="000E79C6">
      <w:pPr>
        <w:pStyle w:val="Heading1"/>
      </w:pPr>
      <w:bookmarkStart w:id="9" w:name="O_1169150"/>
      <w:bookmarkEnd w:id="9"/>
      <w:r w:rsidRPr="000E79C6">
        <w:t>Links</w:t>
      </w:r>
    </w:p>
    <w:p w:rsidR="00000000" w:rsidRPr="000E79C6" w:rsidP="00AE2CC3">
      <w:pPr>
        <w:pStyle w:val="BodyText"/>
      </w:pPr>
      <w:r w:rsidRPr="000E79C6">
        <w:t xml:space="preserve">Companion Volume implementation guides are found in </w:t>
      </w:r>
      <w:r w:rsidRPr="000E79C6">
        <w:t xml:space="preserve">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4D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79C6" w:rsidP="000E79C6"/>
    <w:sectPr w:rsidSect="000E7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6" w:rsidRPr="00AE2CC3" w:rsidP="00AE2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C3" w:rsidP="000E7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CC3" w:rsidP="000E7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2CC3" w:rsidP="000E7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9C6" w:rsidRPr="00AE2CC3" w:rsidP="00AE2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C3" w:rsidRPr="002D2AF8" w:rsidP="000E7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MEM05037 Perform geometric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2CC3" w:rsidP="000E7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C3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5CA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9C6"/>
  </w:style>
  <w:style w:type="character" w:customStyle="1" w:styleId="Heading1Char">
    <w:name w:val="Heading 1 Char"/>
    <w:basedOn w:val="DefaultParagraphFont"/>
    <w:link w:val="Heading1"/>
    <w:rsid w:val="000E7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9C6"/>
    <w:rPr>
      <w:b/>
      <w:spacing w:val="0"/>
    </w:rPr>
  </w:style>
  <w:style w:type="paragraph" w:customStyle="1" w:styleId="SuperHeading">
    <w:name w:val="SuperHeading"/>
    <w:basedOn w:val="Normal"/>
    <w:rsid w:val="000E7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9C6"/>
    <w:rPr>
      <w:i/>
    </w:rPr>
  </w:style>
  <w:style w:type="paragraph" w:styleId="Caption">
    <w:name w:val="caption"/>
    <w:basedOn w:val="BodyText"/>
    <w:next w:val="Normal"/>
    <w:qFormat/>
    <w:rsid w:val="000E7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9C6"/>
  </w:style>
  <w:style w:type="paragraph" w:styleId="TableofFigures">
    <w:name w:val="table of figures"/>
    <w:basedOn w:val="Normal"/>
    <w:next w:val="Normal"/>
    <w:semiHidden/>
    <w:rsid w:val="000E7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9C6"/>
    <w:rPr>
      <w:rFonts w:ascii="Wingdings" w:hAnsi="Wingdings"/>
    </w:rPr>
  </w:style>
  <w:style w:type="paragraph" w:customStyle="1" w:styleId="TableHeading">
    <w:name w:val="Table Heading"/>
    <w:basedOn w:val="HeadingBase"/>
    <w:rsid w:val="000E7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9C6"/>
    <w:rPr>
      <w:color w:val="0033CC"/>
      <w:u w:val="none"/>
    </w:rPr>
  </w:style>
  <w:style w:type="paragraph" w:customStyle="1" w:styleId="BodyTextRight">
    <w:name w:val="Body Text Right"/>
    <w:basedOn w:val="BodyText"/>
    <w:rsid w:val="000E7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9C6"/>
    <w:rPr>
      <w:sz w:val="32"/>
    </w:rPr>
  </w:style>
  <w:style w:type="paragraph" w:customStyle="1" w:styleId="HeadingProcedure">
    <w:name w:val="Heading Procedure"/>
    <w:basedOn w:val="HeadingBase"/>
    <w:next w:val="Normal"/>
    <w:rsid w:val="000E7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9C6"/>
    <w:pPr>
      <w:spacing w:before="60" w:after="60"/>
    </w:pPr>
  </w:style>
  <w:style w:type="paragraph" w:styleId="ListContinue">
    <w:name w:val="List Continue"/>
    <w:basedOn w:val="List"/>
    <w:rsid w:val="000E79C6"/>
    <w:pPr>
      <w:ind w:firstLine="0"/>
    </w:pPr>
  </w:style>
  <w:style w:type="paragraph" w:customStyle="1" w:styleId="ListNote">
    <w:name w:val="List Note"/>
    <w:basedOn w:val="List"/>
    <w:rsid w:val="000E7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9C6"/>
    <w:rPr>
      <w:rFonts w:ascii="Courier New" w:hAnsi="Courier New"/>
    </w:rPr>
  </w:style>
  <w:style w:type="paragraph" w:customStyle="1" w:styleId="NoteBullet">
    <w:name w:val="Note Bullet"/>
    <w:basedOn w:val="Note"/>
    <w:rsid w:val="000E7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9C6"/>
    <w:rPr>
      <w:b/>
      <w:smallCaps/>
    </w:rPr>
  </w:style>
  <w:style w:type="paragraph" w:customStyle="1" w:styleId="TableListNumber">
    <w:name w:val="Table List Number"/>
    <w:basedOn w:val="ListNumber"/>
    <w:rsid w:val="000E7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9C6"/>
    <w:pPr>
      <w:numPr>
        <w:numId w:val="8"/>
      </w:numPr>
    </w:pPr>
  </w:style>
  <w:style w:type="paragraph" w:customStyle="1" w:styleId="ListAlpha2">
    <w:name w:val="List Alpha 2"/>
    <w:basedOn w:val="List2"/>
    <w:rsid w:val="000E79C6"/>
    <w:pPr>
      <w:numPr>
        <w:numId w:val="7"/>
      </w:numPr>
    </w:pPr>
  </w:style>
  <w:style w:type="paragraph" w:styleId="List2">
    <w:name w:val="List 2"/>
    <w:basedOn w:val="BodyText"/>
    <w:rsid w:val="000E7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9C6"/>
    <w:pPr>
      <w:numPr>
        <w:numId w:val="3"/>
      </w:numPr>
    </w:pPr>
  </w:style>
  <w:style w:type="paragraph" w:styleId="ListContinue2">
    <w:name w:val="List Continue 2"/>
    <w:basedOn w:val="List2"/>
    <w:rsid w:val="000E79C6"/>
    <w:pPr>
      <w:ind w:firstLine="0"/>
    </w:pPr>
  </w:style>
  <w:style w:type="paragraph" w:styleId="ListContinue3">
    <w:name w:val="List Continue 3"/>
    <w:basedOn w:val="List3"/>
    <w:rsid w:val="000E79C6"/>
    <w:pPr>
      <w:ind w:left="1021" w:firstLine="0"/>
    </w:pPr>
  </w:style>
  <w:style w:type="paragraph" w:styleId="ListContinue4">
    <w:name w:val="List Continue 4"/>
    <w:basedOn w:val="List4"/>
    <w:rsid w:val="000E79C6"/>
    <w:pPr>
      <w:ind w:firstLine="0"/>
    </w:pPr>
  </w:style>
  <w:style w:type="paragraph" w:styleId="ListContinue5">
    <w:name w:val="List Continue 5"/>
    <w:basedOn w:val="List5"/>
    <w:rsid w:val="000E79C6"/>
    <w:pPr>
      <w:ind w:firstLine="0"/>
    </w:pPr>
  </w:style>
  <w:style w:type="paragraph" w:styleId="ListNumber3">
    <w:name w:val="List Number 3"/>
    <w:basedOn w:val="List3"/>
    <w:rsid w:val="000E79C6"/>
    <w:pPr>
      <w:numPr>
        <w:numId w:val="4"/>
      </w:numPr>
    </w:pPr>
  </w:style>
  <w:style w:type="paragraph" w:styleId="ListNumber4">
    <w:name w:val="List Number 4"/>
    <w:basedOn w:val="List4"/>
    <w:rsid w:val="000E79C6"/>
    <w:pPr>
      <w:numPr>
        <w:numId w:val="5"/>
      </w:numPr>
    </w:pPr>
  </w:style>
  <w:style w:type="paragraph" w:styleId="ListNumber5">
    <w:name w:val="List Number 5"/>
    <w:basedOn w:val="List5"/>
    <w:rsid w:val="000E79C6"/>
    <w:pPr>
      <w:numPr>
        <w:numId w:val="6"/>
      </w:numPr>
    </w:pPr>
  </w:style>
  <w:style w:type="paragraph" w:styleId="BlockText">
    <w:name w:val="Block Text"/>
    <w:basedOn w:val="Normal"/>
    <w:rsid w:val="000E7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9C6"/>
    <w:rPr>
      <w:sz w:val="16"/>
      <w:vertAlign w:val="superscript"/>
    </w:rPr>
  </w:style>
  <w:style w:type="character" w:customStyle="1" w:styleId="Symbols">
    <w:name w:val="Symbols"/>
    <w:basedOn w:val="DefaultParagraphFont"/>
    <w:rsid w:val="000E79C6"/>
    <w:rPr>
      <w:rFonts w:ascii="Symbol" w:hAnsi="Symbol"/>
    </w:rPr>
  </w:style>
  <w:style w:type="character" w:customStyle="1" w:styleId="MenuOptions">
    <w:name w:val="Menu Options"/>
    <w:basedOn w:val="DefaultParagraphFont"/>
    <w:rsid w:val="000E7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9C6"/>
    <w:rPr>
      <w:b/>
    </w:rPr>
  </w:style>
  <w:style w:type="character" w:customStyle="1" w:styleId="Underlined">
    <w:name w:val="Underlined"/>
    <w:basedOn w:val="DefaultParagraphFont"/>
    <w:rsid w:val="000E79C6"/>
    <w:rPr>
      <w:u w:val="single"/>
    </w:rPr>
  </w:style>
  <w:style w:type="paragraph" w:customStyle="1" w:styleId="TableBodyTextRight">
    <w:name w:val="Table Body Text Right"/>
    <w:basedOn w:val="TableBodyText"/>
    <w:rsid w:val="000E7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9C6"/>
    <w:rPr>
      <w:sz w:val="18"/>
    </w:rPr>
  </w:style>
  <w:style w:type="paragraph" w:customStyle="1" w:styleId="BodySmallRight">
    <w:name w:val="Body Small Right"/>
    <w:basedOn w:val="BodyTextRight"/>
    <w:rsid w:val="000E79C6"/>
    <w:rPr>
      <w:sz w:val="18"/>
      <w:szCs w:val="18"/>
    </w:rPr>
  </w:style>
  <w:style w:type="paragraph" w:customStyle="1" w:styleId="MarginEdition">
    <w:name w:val="Margin Edition"/>
    <w:basedOn w:val="MarginNote"/>
    <w:rsid w:val="000E7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9C6"/>
    <w:rPr>
      <w:sz w:val="2"/>
      <w:szCs w:val="2"/>
    </w:rPr>
  </w:style>
  <w:style w:type="character" w:customStyle="1" w:styleId="Small">
    <w:name w:val="Small"/>
    <w:basedOn w:val="DefaultParagraphFont"/>
    <w:rsid w:val="000E79C6"/>
    <w:rPr>
      <w:sz w:val="16"/>
    </w:rPr>
  </w:style>
  <w:style w:type="paragraph" w:customStyle="1" w:styleId="WideTable">
    <w:name w:val="Wide Table"/>
    <w:basedOn w:val="Normal"/>
    <w:rsid w:val="000E7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9C6"/>
  </w:style>
  <w:style w:type="paragraph" w:styleId="Quote">
    <w:name w:val="Quote"/>
    <w:basedOn w:val="Heading1"/>
    <w:link w:val="QuoteChar"/>
    <w:qFormat/>
    <w:rsid w:val="000E7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9C6"/>
    <w:pPr>
      <w:pageBreakBefore/>
    </w:pPr>
  </w:style>
  <w:style w:type="paragraph" w:customStyle="1" w:styleId="Border">
    <w:name w:val="Border"/>
    <w:basedOn w:val="Normal"/>
    <w:qFormat/>
    <w:rsid w:val="000E7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9C6"/>
    <w:rPr>
      <w:u w:val="single"/>
    </w:rPr>
  </w:style>
  <w:style w:type="character" w:customStyle="1" w:styleId="BoldandItalics">
    <w:name w:val="Bold and Italics"/>
    <w:qFormat/>
    <w:rsid w:val="000E79C6"/>
    <w:rPr>
      <w:b/>
      <w:i/>
      <w:u w:val="none"/>
    </w:rPr>
  </w:style>
  <w:style w:type="paragraph" w:styleId="BalloonText">
    <w:name w:val="Balloon Text"/>
    <w:basedOn w:val="Normal"/>
    <w:link w:val="BalloonTextChar"/>
    <w:rsid w:val="000E7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9C6"/>
    <w:pPr>
      <w:spacing w:before="0" w:after="0"/>
    </w:pPr>
  </w:style>
  <w:style w:type="paragraph" w:customStyle="1" w:styleId="BodyTextBold">
    <w:name w:val="Body Text Bold"/>
    <w:basedOn w:val="BodyText"/>
    <w:qFormat/>
    <w:rsid w:val="000E79C6"/>
    <w:rPr>
      <w:b/>
    </w:rPr>
  </w:style>
  <w:style w:type="character" w:styleId="Hyperlink">
    <w:name w:val="Hyperlink"/>
    <w:basedOn w:val="DefaultParagraphFont"/>
    <w:uiPriority w:val="99"/>
    <w:unhideWhenUsed/>
    <w:rsid w:val="00AE2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4365</Characters>
  <Application>Microsoft Office Word</Application>
  <DocSecurity>0</DocSecurity>
  <Lines>229</Lines>
  <Paragraphs>135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MEM05037 Perform geometric development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