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433" w:rsidP="00343433">
      <w:pPr>
        <w:pStyle w:val="Title"/>
      </w:pPr>
      <w:r>
        <w:fldChar w:fldCharType="begin"/>
      </w:r>
      <w:r>
        <w:instrText xml:space="preserve"> TITLE   \* MERGEFORMAT </w:instrText>
      </w:r>
      <w:r>
        <w:fldChar w:fldCharType="separate"/>
      </w:r>
      <w:r>
        <w:t>MEM05027 Perform aluminothermic welding</w:t>
      </w:r>
      <w:r>
        <w:fldChar w:fldCharType="end"/>
      </w:r>
    </w:p>
    <w:p w:rsidR="00343433" w:rsidP="00343433">
      <w:pPr>
        <w:pStyle w:val="Version"/>
        <w:sectPr w:rsidSect="00201A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A30" w:rsidP="00201A30">
      <w:pPr>
        <w:pStyle w:val="SuperHeading"/>
      </w:pPr>
      <w:r w:rsidRPr="00201A30">
        <w:t>MEM05027 Perform aluminothermic welding</w:t>
      </w:r>
    </w:p>
    <w:p w:rsidR="00000000" w:rsidRPr="00201A30" w:rsidP="00201A30">
      <w:pPr>
        <w:pStyle w:val="Heading1"/>
      </w:pPr>
      <w:bookmarkStart w:id="1" w:name="O_942434"/>
      <w:bookmarkEnd w:id="1"/>
      <w:r w:rsidRPr="00201A30">
        <w:t>Modification History</w:t>
      </w:r>
    </w:p>
    <w:p w:rsidR="00000000" w:rsidRPr="00201A30" w:rsidP="00343433">
      <w:pPr>
        <w:pStyle w:val="BodyText"/>
      </w:pPr>
      <w:r w:rsidRPr="00201A30">
        <w:t>Release 1. Supersedes and is equivalent to MEM05027A Perform aluminothermic welding</w:t>
      </w:r>
    </w:p>
    <w:p w:rsidR="00000000" w:rsidRPr="00201A30" w:rsidP="00201A30">
      <w:pPr>
        <w:pStyle w:val="Heading1"/>
      </w:pPr>
      <w:bookmarkStart w:id="2" w:name="O_942442"/>
      <w:bookmarkEnd w:id="2"/>
      <w:r w:rsidRPr="00201A30">
        <w:t>Application</w:t>
      </w:r>
    </w:p>
    <w:p w:rsidR="00000000" w:rsidRPr="00201A30" w:rsidP="00343433">
      <w:pPr>
        <w:pStyle w:val="BodyText"/>
      </w:pPr>
      <w:r w:rsidRPr="00201A30">
        <w:t>This unit of competency defines the skills and knowledge required to weld using the aluminothermic welding process. It inc</w:t>
      </w:r>
      <w:r w:rsidRPr="00201A30">
        <w:t>ludes planning and preparing the welding method, preparing materials and the site for aluminothermic welding, carrying out the welding process in accordance with safe working/regulatory requirements and workplace procedures, checking weld conformance and c</w:t>
      </w:r>
      <w:r w:rsidRPr="00201A30">
        <w:t>ompleting all required documentation.</w:t>
      </w:r>
    </w:p>
    <w:p w:rsidR="00000000" w:rsidRPr="00201A30" w:rsidP="00343433">
      <w:pPr>
        <w:pStyle w:val="BodyText"/>
      </w:pPr>
      <w:r w:rsidRPr="00201A30">
        <w:t>This unit applies in a maintenance or site environment where the weld quality is not required to meet an Australian Standard. The aluminothermic welding process (commonly referred to as the CADWELD process) is pre-eng</w:t>
      </w:r>
      <w:r w:rsidRPr="00201A30">
        <w:t>ineered and is used to make welded connections of copper to copper or copper to steel or other metals. It is also used for header cable taps, conductor splices and terminations, and ground rod connections, or for attaching cathodic protection leads to pipe</w:t>
      </w:r>
      <w:r w:rsidRPr="00201A30">
        <w:t>s (steel or cast iron), tanks and structures in which no outside source of heat or power is required. A common use is to join copper cables (wire) for use in direct burial (grounding/earthing) applications.</w:t>
      </w:r>
    </w:p>
    <w:p w:rsidR="00000000" w:rsidRPr="00201A30" w:rsidP="00343433">
      <w:pPr>
        <w:pStyle w:val="BodyText"/>
      </w:pPr>
      <w:r w:rsidRPr="00201A30">
        <w:t>Where the interpretation of technical drawings i</w:t>
      </w:r>
      <w:r w:rsidRPr="00201A30">
        <w:t>s required unit MEM09002 Interpret technical drawing should also be selected.</w:t>
      </w:r>
    </w:p>
    <w:p w:rsidR="00000000" w:rsidRPr="00201A30" w:rsidP="00343433">
      <w:pPr>
        <w:pStyle w:val="BodyText"/>
      </w:pPr>
      <w:r w:rsidRPr="00201A30">
        <w:t>Where the selection and use of engineering measurement is required unit MEM12023 Perform engineering measurements should also be selected.</w:t>
      </w:r>
    </w:p>
    <w:p w:rsidR="00000000" w:rsidRPr="00201A30" w:rsidP="00343433">
      <w:pPr>
        <w:pStyle w:val="BodyText"/>
      </w:pPr>
      <w:r w:rsidRPr="00201A30">
        <w:t xml:space="preserve">Where the selection and use of tools </w:t>
      </w:r>
      <w:r w:rsidRPr="00201A30">
        <w:t>is required unit MEM18001 Use hand tools and unit MEM18002 Use power tools/hand held operations, should also be selected as appropriate.</w:t>
      </w:r>
    </w:p>
    <w:p w:rsidR="00000000" w:rsidRPr="00201A30" w:rsidP="00343433">
      <w:pPr>
        <w:pStyle w:val="BodyText"/>
      </w:pPr>
      <w:r w:rsidRPr="00201A30">
        <w:t>Work may be undertaken in the field/on-site (as distinct from a production/manufacturing facility) and may be undertak</w:t>
      </w:r>
      <w:r w:rsidRPr="00201A30">
        <w:t>en in a trench. In those situations, MSMOPS363 Organise on-site work, for work on site and MSMPER205 Enter confined space, for work in a trench should also be selected as appropriate. Work will often be undertaken under a permit to work system in which cas</w:t>
      </w:r>
      <w:r w:rsidRPr="00201A30">
        <w:t>e MSMPER200 Work in accordance with an issued permit and possibly other related permit units should also be selected as appropriate.</w:t>
      </w:r>
    </w:p>
    <w:p w:rsidR="00000000" w:rsidRPr="00201A30" w:rsidP="00343433">
      <w:pPr>
        <w:pStyle w:val="BodyText"/>
      </w:pPr>
      <w:r w:rsidRPr="00201A30">
        <w:t>Where the aluminothermic welding process is required for rail track welding, TLIW3015 Weld rail using aluminothermic weldi</w:t>
      </w:r>
      <w:r w:rsidRPr="00201A30">
        <w:t>ng process should be selected from the TLI Transport and Logistics Training Package.</w:t>
      </w:r>
    </w:p>
    <w:p w:rsidR="00000000" w:rsidRPr="00201A30" w:rsidP="00343433">
      <w:pPr>
        <w:pStyle w:val="BodyText"/>
      </w:pPr>
      <w:r w:rsidRPr="00201A30">
        <w:t>No licensing, legislative or certification requirements apply to this unit at the time of publication.</w:t>
      </w:r>
    </w:p>
    <w:p w:rsidR="00000000" w:rsidRPr="00201A30" w:rsidP="00201A30">
      <w:pPr>
        <w:pStyle w:val="BodyText"/>
      </w:pPr>
      <w:r w:rsidRPr="00201A30">
        <w:rPr>
          <w:rStyle w:val="SpecialBold"/>
        </w:rPr>
        <w:t>Band:</w:t>
      </w:r>
      <w:r w:rsidRPr="00201A30">
        <w:rPr>
          <w:rStyle w:val="SpecialBold"/>
        </w:rPr>
        <w:tab/>
        <w:t>A</w:t>
      </w:r>
    </w:p>
    <w:p w:rsidR="00000000" w:rsidRPr="00201A30" w:rsidP="00201A30">
      <w:pPr>
        <w:pStyle w:val="BodyText"/>
      </w:pPr>
      <w:r w:rsidRPr="00201A30">
        <w:rPr>
          <w:rStyle w:val="SpecialBold"/>
        </w:rPr>
        <w:t>Unit Weight:</w:t>
      </w:r>
      <w:r w:rsidRPr="00201A30">
        <w:rPr>
          <w:rStyle w:val="SpecialBold"/>
        </w:rPr>
        <w:tab/>
        <w:t>2</w:t>
      </w:r>
    </w:p>
    <w:p w:rsidR="00000000" w:rsidRPr="00201A30" w:rsidP="00201A30">
      <w:pPr>
        <w:pStyle w:val="AllowPageBreak"/>
      </w:pPr>
    </w:p>
    <w:p w:rsidR="00000000" w:rsidRPr="00201A30" w:rsidP="00201A30">
      <w:pPr>
        <w:pStyle w:val="Heading1"/>
      </w:pPr>
      <w:bookmarkStart w:id="3" w:name="O_942441"/>
      <w:bookmarkEnd w:id="3"/>
      <w:r w:rsidRPr="00201A30">
        <w:t>Pre-requisite Unit</w:t>
      </w:r>
    </w:p>
    <w:tbl>
      <w:tblPr>
        <w:tblW w:w="0" w:type="auto"/>
        <w:tblLayout w:type="fixed"/>
        <w:tblCellMar>
          <w:left w:w="62" w:type="dxa"/>
          <w:right w:w="62" w:type="dxa"/>
        </w:tblCellMar>
        <w:tblLook w:val="0000"/>
      </w:tblPr>
      <w:tblGrid>
        <w:gridCol w:w="1757"/>
        <w:gridCol w:w="5713"/>
      </w:tblGrid>
      <w:tr w:rsidTr="00201A30">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MEM1101</w:t>
            </w:r>
            <w:r w:rsidRPr="00201A30">
              <w:t>1</w:t>
            </w:r>
          </w:p>
        </w:tc>
        <w:tc>
          <w:tcPr>
            <w:tcW w:w="5713"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Undertake manual handling</w:t>
            </w:r>
          </w:p>
        </w:tc>
      </w:tr>
      <w:tr w:rsidTr="00201A30">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MEM13015</w:t>
            </w:r>
          </w:p>
        </w:tc>
        <w:tc>
          <w:tcPr>
            <w:tcW w:w="5713"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Work safely and effectively in manufacturing and engineering</w:t>
            </w:r>
          </w:p>
        </w:tc>
      </w:tr>
      <w:tr w:rsidTr="00201A30">
        <w:tblPrEx>
          <w:tblW w:w="0" w:type="auto"/>
          <w:tblLayout w:type="fixed"/>
          <w:tblCellMar>
            <w:left w:w="62" w:type="dxa"/>
            <w:right w:w="62" w:type="dxa"/>
          </w:tblCellMar>
          <w:tblLook w:val="0000"/>
        </w:tblPrEx>
        <w:tc>
          <w:tcPr>
            <w:tcW w:w="1757"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MEM16006</w:t>
            </w:r>
          </w:p>
        </w:tc>
        <w:tc>
          <w:tcPr>
            <w:tcW w:w="5713"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Organise and communicate information</w:t>
            </w:r>
          </w:p>
        </w:tc>
      </w:tr>
    </w:tbl>
    <w:p w:rsidR="00000000" w:rsidRPr="00201A30" w:rsidP="00201A30">
      <w:pPr>
        <w:pStyle w:val="BodyText"/>
      </w:pPr>
    </w:p>
    <w:p w:rsidR="00000000" w:rsidRPr="00201A30" w:rsidP="00201A30">
      <w:pPr>
        <w:pStyle w:val="AllowPageBreak"/>
      </w:pPr>
    </w:p>
    <w:p w:rsidR="00000000" w:rsidRPr="00201A30" w:rsidP="00201A30">
      <w:pPr>
        <w:pStyle w:val="Heading1"/>
      </w:pPr>
      <w:bookmarkStart w:id="4" w:name="O_942440"/>
      <w:bookmarkEnd w:id="4"/>
      <w:r w:rsidRPr="00201A30">
        <w:t>Competency Field</w:t>
      </w:r>
    </w:p>
    <w:p w:rsidR="00000000" w:rsidRPr="00201A30" w:rsidP="00343433">
      <w:pPr>
        <w:pStyle w:val="BodyText"/>
      </w:pPr>
      <w:r w:rsidRPr="00201A30">
        <w:t>Fabrication</w:t>
      </w:r>
    </w:p>
    <w:p w:rsidR="00000000" w:rsidRPr="00201A30" w:rsidP="00201A30">
      <w:pPr>
        <w:pStyle w:val="Heading1"/>
      </w:pPr>
      <w:bookmarkStart w:id="5" w:name="O_942438"/>
      <w:bookmarkEnd w:id="5"/>
      <w:r w:rsidRPr="00201A30">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01A30">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Performance criteria describe the performance needed to demonstrate achievement of the element.</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1</w:t>
            </w:r>
          </w:p>
        </w:tc>
        <w:tc>
          <w:tcPr>
            <w:tcW w:w="1986" w:type="dxa"/>
            <w:vMerge w:val="restart"/>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1.1</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Follow standard operating procedures (SOPs)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1.2</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Comply with work health and safety (WHS) requirements at all times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1.3</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Use appropriate personal protective equipment (PPE) in accordance with SOPs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1.4</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Identify job requirements from specifications, sketches, job sheets or work instructions</w:t>
            </w:r>
          </w:p>
        </w:tc>
      </w:tr>
      <w:tr w:rsidTr="00201A3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2</w:t>
            </w:r>
          </w:p>
        </w:tc>
        <w:tc>
          <w:tcPr>
            <w:tcW w:w="1986" w:type="dxa"/>
            <w:vMerge w:val="restart"/>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 xml:space="preserve">Prepare and plan </w:t>
            </w:r>
            <w:r w:rsidRPr="00201A30">
              <w:rPr>
                <w:rStyle w:val="SpecialBold"/>
              </w:rPr>
              <w:t>for welding</w:t>
            </w: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2.1</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 xml:space="preserve">Identify weld requirements from job instructions </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2.2</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 xml:space="preserve">Obtain permits and other required authorities </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2.3</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Identify site and job hazards and implement appropriate hazard control measures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2.4</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Complete pre-site preparations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2.5</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Identify the locations of welds and assess in accordance with SOPs and specifications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2.6</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Clean and prepare surfaces ready for welding</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2.7</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Clear site of obstructions and combustible material to minimise risk of a</w:t>
            </w:r>
            <w:r w:rsidRPr="00201A30">
              <w:t>ccidents and fire</w:t>
            </w:r>
          </w:p>
        </w:tc>
      </w:tr>
      <w:tr w:rsidTr="00201A3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3</w:t>
            </w:r>
          </w:p>
        </w:tc>
        <w:tc>
          <w:tcPr>
            <w:tcW w:w="1986" w:type="dxa"/>
            <w:vMerge w:val="restart"/>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Prepare equipment for welding</w:t>
            </w: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3.1</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 xml:space="preserve">Set up welding equipment </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3.2</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Select consumables to suit application</w:t>
            </w:r>
          </w:p>
        </w:tc>
      </w:tr>
      <w:tr w:rsidTr="00201A3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4</w:t>
            </w:r>
          </w:p>
        </w:tc>
        <w:tc>
          <w:tcPr>
            <w:tcW w:w="1986" w:type="dxa"/>
            <w:vMerge w:val="restart"/>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Perform aluminothermic welding</w:t>
            </w: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4.1</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Apply safe welding practices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4.2</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Ensure moulds are fitted and shimmed, sleeved or sealed, as required</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4.3</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Pre-heat materials to standard</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4.4</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Ensure materials are welded using aluminothermic method in accordance with approved procedures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4.5</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 xml:space="preserve">Clean welds </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4.6</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 xml:space="preserve">Clean and inspect mould </w:t>
            </w:r>
          </w:p>
        </w:tc>
      </w:tr>
      <w:tr w:rsidTr="00201A30">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5</w:t>
            </w:r>
          </w:p>
        </w:tc>
        <w:tc>
          <w:tcPr>
            <w:tcW w:w="1986" w:type="dxa"/>
            <w:vMerge w:val="restart"/>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Complete documentation</w:t>
            </w: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5.1</w:t>
            </w:r>
          </w:p>
        </w:tc>
        <w:tc>
          <w:tcPr>
            <w:tcW w:w="5678"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Assess weld conformance in accordance with specifications</w:t>
            </w:r>
          </w:p>
        </w:tc>
      </w:tr>
      <w:tr w:rsidTr="00201A3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5.2</w:t>
            </w:r>
          </w:p>
        </w:tc>
        <w:tc>
          <w:tcPr>
            <w:tcW w:w="5678" w:type="dxa"/>
            <w:tcBorders>
              <w:top w:val="nil"/>
              <w:left w:val="nil"/>
              <w:bottom w:val="nil"/>
              <w:right w:val="nil"/>
            </w:tcBorders>
            <w:tcMar>
              <w:top w:w="0" w:type="dxa"/>
              <w:left w:w="62" w:type="dxa"/>
              <w:bottom w:w="0" w:type="dxa"/>
              <w:right w:w="62" w:type="dxa"/>
            </w:tcMar>
          </w:tcPr>
          <w:p w:rsidR="00000000" w:rsidRPr="00201A30" w:rsidP="00201A30">
            <w:pPr>
              <w:pStyle w:val="BodyText"/>
            </w:pPr>
            <w:r w:rsidRPr="00201A30">
              <w:t>Complete required reports, documentation and/or records in accordance with workplace requirements</w:t>
            </w:r>
          </w:p>
        </w:tc>
      </w:tr>
    </w:tbl>
    <w:p w:rsidR="00000000" w:rsidRPr="00201A30" w:rsidP="00201A30">
      <w:pPr>
        <w:pStyle w:val="BodyText"/>
      </w:pPr>
    </w:p>
    <w:p w:rsidR="00000000" w:rsidRPr="00201A30" w:rsidP="00201A30">
      <w:pPr>
        <w:pStyle w:val="AllowPageBreak"/>
      </w:pPr>
    </w:p>
    <w:p w:rsidR="00000000" w:rsidRPr="00201A30" w:rsidP="00201A30">
      <w:pPr>
        <w:pStyle w:val="Heading1"/>
      </w:pPr>
      <w:bookmarkStart w:id="6" w:name="O_942437"/>
      <w:bookmarkEnd w:id="6"/>
      <w:r w:rsidRPr="00201A30">
        <w:t>Foundation Skills</w:t>
      </w:r>
    </w:p>
    <w:p w:rsidR="00000000" w:rsidRPr="00201A30" w:rsidP="00343433">
      <w:pPr>
        <w:pStyle w:val="BodyText"/>
      </w:pPr>
      <w:r w:rsidRPr="00201A30">
        <w:t xml:space="preserve">This section describes those required skills (reading, writing, oral communication and numeracy) that are essential to workplace performance in this unit of competency.  </w:t>
      </w:r>
    </w:p>
    <w:p w:rsidR="00000000" w:rsidRPr="00201A30" w:rsidP="00343433">
      <w:pPr>
        <w:pStyle w:val="BodyText"/>
      </w:pPr>
      <w:r w:rsidRPr="00201A30">
        <w:t>Foundation skills essential to performance are explicit in the per</w:t>
      </w:r>
      <w:r w:rsidRPr="00201A30">
        <w:t>formance criteria of this unit of competency.</w:t>
      </w:r>
    </w:p>
    <w:p w:rsidR="00000000" w:rsidRPr="00201A30" w:rsidP="00201A30">
      <w:pPr>
        <w:pStyle w:val="Heading1"/>
      </w:pPr>
      <w:bookmarkStart w:id="7" w:name="O_942436"/>
      <w:bookmarkEnd w:id="7"/>
      <w:r w:rsidRPr="00201A30">
        <w:t>Range of Conditions</w:t>
      </w:r>
    </w:p>
    <w:tbl>
      <w:tblPr>
        <w:tblW w:w="0" w:type="auto"/>
        <w:tblLayout w:type="fixed"/>
        <w:tblCellMar>
          <w:left w:w="62" w:type="dxa"/>
          <w:right w:w="62" w:type="dxa"/>
        </w:tblCellMar>
        <w:tblLook w:val="0000"/>
      </w:tblPr>
      <w:tblGrid>
        <w:gridCol w:w="2760"/>
        <w:gridCol w:w="6382"/>
      </w:tblGrid>
      <w:tr w:rsidTr="00201A3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t>This field allows for different work environments and conditions that may affect performance. Essential operating conditions that may be present (dep</w:t>
            </w:r>
            <w:r w:rsidRPr="00201A30">
              <w:t>ending on the work situation, needs of the candidate, accessibility of the item, and local industry and regional contexts) are included.</w:t>
            </w: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Work environment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restricted spaces</w:t>
            </w:r>
          </w:p>
          <w:p w:rsidR="00000000" w:rsidRPr="00201A30" w:rsidP="00201A30">
            <w:pPr>
              <w:pStyle w:val="ListBullet"/>
            </w:pPr>
            <w:r w:rsidRPr="00201A30">
              <w:t>exposed conditions</w:t>
            </w:r>
          </w:p>
          <w:p w:rsidR="00000000" w:rsidRPr="00201A30" w:rsidP="00201A30">
            <w:pPr>
              <w:pStyle w:val="ListBullet"/>
            </w:pPr>
            <w:r w:rsidRPr="00201A30">
              <w:t xml:space="preserve">controlled or open </w:t>
            </w:r>
            <w:r w:rsidRPr="00201A30">
              <w:t>environments</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Pre-site preparations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checking all required equipment and materials</w:t>
            </w:r>
          </w:p>
          <w:p w:rsidR="00000000" w:rsidRPr="00201A30" w:rsidP="00201A30">
            <w:pPr>
              <w:pStyle w:val="ListBullet"/>
            </w:pPr>
            <w:r w:rsidRPr="00201A30">
              <w:t>identifying required personal protective equipment</w:t>
            </w:r>
          </w:p>
          <w:p w:rsidR="00000000" w:rsidRPr="00201A30" w:rsidP="00201A30">
            <w:pPr>
              <w:pStyle w:val="ListBullet"/>
            </w:pPr>
            <w:r w:rsidRPr="00201A30">
              <w:t>loading all requirements for the job</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Materials to be joined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common steel</w:t>
            </w:r>
          </w:p>
          <w:p w:rsidR="00000000" w:rsidRPr="00201A30" w:rsidP="00201A30">
            <w:pPr>
              <w:pStyle w:val="ListBullet"/>
            </w:pPr>
            <w:r w:rsidRPr="00201A30">
              <w:t>copper-clad steel</w:t>
            </w:r>
          </w:p>
          <w:p w:rsidR="00000000" w:rsidRPr="00201A30" w:rsidP="00201A30">
            <w:pPr>
              <w:pStyle w:val="ListBullet"/>
            </w:pPr>
            <w:r w:rsidRPr="00201A30">
              <w:t>Columbium</w:t>
            </w:r>
          </w:p>
          <w:p w:rsidR="00000000" w:rsidRPr="00201A30" w:rsidP="00201A30">
            <w:pPr>
              <w:pStyle w:val="ListBullet"/>
            </w:pPr>
            <w:r w:rsidRPr="00201A30">
              <w:t>Niobium</w:t>
            </w:r>
          </w:p>
          <w:p w:rsidR="00000000" w:rsidRPr="00201A30" w:rsidP="00201A30">
            <w:pPr>
              <w:pStyle w:val="ListBullet"/>
            </w:pPr>
            <w:r w:rsidRPr="00201A30">
              <w:t>brass</w:t>
            </w:r>
          </w:p>
          <w:p w:rsidR="00000000" w:rsidRPr="00201A30" w:rsidP="00201A30">
            <w:pPr>
              <w:pStyle w:val="ListBullet"/>
            </w:pPr>
            <w:r w:rsidRPr="00201A30">
              <w:t>wrought iron</w:t>
            </w:r>
          </w:p>
          <w:p w:rsidR="00000000" w:rsidRPr="00201A30" w:rsidP="00201A30">
            <w:pPr>
              <w:pStyle w:val="ListBullet"/>
            </w:pPr>
            <w:r w:rsidRPr="00201A30">
              <w:t>stainless steel</w:t>
            </w:r>
          </w:p>
          <w:p w:rsidR="00000000" w:rsidRPr="00201A30" w:rsidP="00201A30">
            <w:pPr>
              <w:pStyle w:val="ListBullet"/>
            </w:pPr>
            <w:r w:rsidRPr="00201A30">
              <w:t>cast iron</w:t>
            </w:r>
          </w:p>
          <w:p w:rsidR="00000000" w:rsidRPr="00201A30" w:rsidP="00201A30">
            <w:pPr>
              <w:pStyle w:val="ListBullet"/>
            </w:pPr>
            <w:r w:rsidRPr="00201A30">
              <w:t>galvanised and bethanised steel</w:t>
            </w:r>
          </w:p>
          <w:p w:rsidR="00000000" w:rsidRPr="00201A30" w:rsidP="00201A30">
            <w:pPr>
              <w:pStyle w:val="ListBullet"/>
            </w:pPr>
            <w:r w:rsidRPr="00201A30">
              <w:t>bronze</w:t>
            </w:r>
          </w:p>
          <w:p w:rsidR="00000000" w:rsidRPr="00201A30" w:rsidP="00201A30">
            <w:pPr>
              <w:pStyle w:val="ListBullet"/>
            </w:pPr>
            <w:r w:rsidRPr="00201A30">
              <w:t>silicon bronze</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Assessment of weld locations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proximity to existing welds or repairs</w:t>
            </w:r>
          </w:p>
          <w:p w:rsidR="00000000" w:rsidRPr="00201A30" w:rsidP="00201A30">
            <w:pPr>
              <w:pStyle w:val="ListBullet"/>
            </w:pPr>
            <w:r w:rsidRPr="00201A30">
              <w:t>substrate integrity issues</w:t>
            </w:r>
          </w:p>
          <w:p w:rsidR="00000000" w:rsidRPr="00201A30" w:rsidP="00201A30">
            <w:pPr>
              <w:pStyle w:val="ListBullet"/>
            </w:pPr>
            <w:r w:rsidRPr="00201A30">
              <w:t>preparation of pre-qualification samples</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Weld consumables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 xml:space="preserve">aluminothermic </w:t>
            </w:r>
            <w:r w:rsidRPr="00201A30">
              <w:t>powder</w:t>
            </w:r>
          </w:p>
          <w:p w:rsidR="00000000" w:rsidRPr="00201A30" w:rsidP="00201A30">
            <w:pPr>
              <w:pStyle w:val="ListBullet"/>
            </w:pPr>
            <w:r w:rsidRPr="00201A30">
              <w:t xml:space="preserve">starting powder </w:t>
            </w:r>
          </w:p>
          <w:p w:rsidR="00000000" w:rsidRPr="00201A30" w:rsidP="00201A30">
            <w:pPr>
              <w:pStyle w:val="ListBullet"/>
            </w:pPr>
            <w:r w:rsidRPr="00201A30">
              <w:t>metallic disc</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Equipment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mould</w:t>
            </w:r>
          </w:p>
          <w:p w:rsidR="00000000" w:rsidRPr="00201A30" w:rsidP="00201A30">
            <w:pPr>
              <w:pStyle w:val="ListBullet"/>
            </w:pPr>
            <w:r w:rsidRPr="00201A30">
              <w:t>lute (sealant)</w:t>
            </w:r>
          </w:p>
          <w:p w:rsidR="00000000" w:rsidRPr="00201A30" w:rsidP="00201A30">
            <w:pPr>
              <w:pStyle w:val="ListBullet"/>
            </w:pPr>
            <w:r w:rsidRPr="00201A30">
              <w:t>ignition source</w:t>
            </w:r>
          </w:p>
          <w:p w:rsidR="00000000" w:rsidRPr="00201A30" w:rsidP="00201A30">
            <w:pPr>
              <w:pStyle w:val="ListBullet"/>
            </w:pPr>
            <w:r w:rsidRPr="00201A30">
              <w:t>handle clamps</w:t>
            </w:r>
          </w:p>
          <w:p w:rsidR="00000000" w:rsidRPr="00201A30" w:rsidP="00201A30">
            <w:pPr>
              <w:pStyle w:val="ListBullet"/>
            </w:pPr>
            <w:r w:rsidRPr="00201A30">
              <w:t>wire brush</w:t>
            </w:r>
          </w:p>
          <w:p w:rsidR="00000000" w:rsidRPr="00201A30" w:rsidP="00201A30">
            <w:pPr>
              <w:pStyle w:val="ListBullet"/>
            </w:pPr>
            <w:r w:rsidRPr="00201A30">
              <w:t>mould scraper</w:t>
            </w:r>
          </w:p>
          <w:p w:rsidR="00000000" w:rsidRPr="00201A30" w:rsidP="00201A30">
            <w:pPr>
              <w:pStyle w:val="ListBullet"/>
            </w:pPr>
            <w:r w:rsidRPr="00201A30">
              <w:t>gas pre-heating/cutting equipment</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PPE includes one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high visibility clothing</w:t>
            </w:r>
          </w:p>
          <w:p w:rsidR="00000000" w:rsidRPr="00201A30" w:rsidP="00201A30">
            <w:pPr>
              <w:pStyle w:val="ListBullet"/>
            </w:pPr>
            <w:r w:rsidRPr="00201A30">
              <w:t>fire retardant overalls or long sleeved shirts and long pants</w:t>
            </w:r>
          </w:p>
          <w:p w:rsidR="00000000" w:rsidRPr="00201A30" w:rsidP="00201A30">
            <w:pPr>
              <w:pStyle w:val="ListBullet"/>
            </w:pPr>
            <w:r w:rsidRPr="00201A30">
              <w:t>hearing protection</w:t>
            </w:r>
          </w:p>
          <w:p w:rsidR="00000000" w:rsidRPr="00201A30" w:rsidP="00201A30">
            <w:pPr>
              <w:pStyle w:val="ListBullet"/>
            </w:pPr>
            <w:r w:rsidRPr="00201A30">
              <w:t>gauntlet type gloves</w:t>
            </w:r>
          </w:p>
          <w:p w:rsidR="00000000" w:rsidRPr="00201A30" w:rsidP="00201A30">
            <w:pPr>
              <w:pStyle w:val="ListBullet"/>
            </w:pPr>
            <w:r w:rsidRPr="00201A30">
              <w:t>welding goggles</w:t>
            </w:r>
          </w:p>
          <w:p w:rsidR="00000000" w:rsidRPr="00201A30" w:rsidP="00201A30">
            <w:pPr>
              <w:pStyle w:val="ListBullet"/>
            </w:pPr>
            <w:r w:rsidRPr="00201A30">
              <w:t>safety glasses</w:t>
            </w:r>
          </w:p>
          <w:p w:rsidR="00000000" w:rsidRPr="00201A30" w:rsidP="00201A30">
            <w:pPr>
              <w:pStyle w:val="ListBullet"/>
            </w:pPr>
            <w:r w:rsidRPr="00201A30">
              <w:t>safety headwear</w:t>
            </w:r>
          </w:p>
          <w:p w:rsidR="00000000" w:rsidRPr="00201A30" w:rsidP="00201A30">
            <w:pPr>
              <w:pStyle w:val="ListBullet"/>
            </w:pPr>
            <w:r w:rsidRPr="00201A30">
              <w:t>safety footwear</w:t>
            </w:r>
          </w:p>
          <w:p w:rsidR="00000000" w:rsidRPr="00201A30" w:rsidP="00201A30">
            <w:pPr>
              <w:pStyle w:val="ListBullet"/>
            </w:pPr>
            <w:r w:rsidRPr="00201A30">
              <w:t>portable radios/mobile phones</w:t>
            </w:r>
          </w:p>
          <w:p w:rsidR="00000000" w:rsidRPr="00201A30" w:rsidP="00201A30">
            <w:pPr>
              <w:pStyle w:val="ListBullet"/>
            </w:pPr>
            <w:r w:rsidRPr="00201A30">
              <w:t>other safety devices</w:t>
            </w:r>
          </w:p>
          <w:p w:rsidR="00000000" w:rsidP="00201A30">
            <w:pPr>
              <w:pStyle w:val="BodyText"/>
              <w:rPr>
                <w:lang w:val="en-NZ"/>
              </w:rPr>
            </w:pPr>
          </w:p>
        </w:tc>
      </w:tr>
      <w:tr w:rsidTr="00201A3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01A30">
            <w:pPr>
              <w:pStyle w:val="BodyText"/>
              <w:rPr>
                <w:lang w:val="en-NZ"/>
              </w:rPr>
            </w:pPr>
            <w:r w:rsidRPr="00201A30">
              <w:rPr>
                <w:rStyle w:val="SpecialBold"/>
              </w:rPr>
              <w:t>Procedures and codes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201A30" w:rsidP="00201A30">
            <w:pPr>
              <w:pStyle w:val="ListBullet"/>
            </w:pPr>
            <w:r w:rsidRPr="00201A30">
              <w:t>relevant state/territory WHS legislation together with any nationally approved compliance codes and/or guidelines</w:t>
            </w:r>
          </w:p>
          <w:p w:rsidR="00000000" w:rsidRPr="00201A30" w:rsidP="00201A30">
            <w:pPr>
              <w:pStyle w:val="ListBullet"/>
            </w:pPr>
            <w:r w:rsidRPr="00201A30">
              <w:t>relevant state/territory environmental protection requirements</w:t>
            </w:r>
          </w:p>
          <w:p w:rsidR="00000000" w:rsidRPr="00201A30" w:rsidP="00201A30">
            <w:pPr>
              <w:pStyle w:val="ListBullet"/>
            </w:pPr>
            <w:r w:rsidRPr="00201A30">
              <w:t>legislation</w:t>
            </w:r>
          </w:p>
          <w:p w:rsidR="00000000" w:rsidRPr="00201A30" w:rsidP="00201A30">
            <w:pPr>
              <w:pStyle w:val="ListBullet"/>
            </w:pPr>
            <w:r w:rsidRPr="00201A30">
              <w:t>rel</w:t>
            </w:r>
            <w:r w:rsidRPr="00201A30">
              <w:t>evant fire regulations</w:t>
            </w:r>
          </w:p>
        </w:tc>
      </w:tr>
    </w:tbl>
    <w:p w:rsidR="00000000" w:rsidRPr="00201A30" w:rsidP="00201A30">
      <w:pPr>
        <w:pStyle w:val="BodyText"/>
      </w:pPr>
    </w:p>
    <w:p w:rsidR="00000000" w:rsidRPr="00201A30" w:rsidP="00201A30">
      <w:pPr>
        <w:pStyle w:val="AllowPageBreak"/>
      </w:pPr>
    </w:p>
    <w:p w:rsidR="00000000" w:rsidRPr="00201A30" w:rsidP="00201A30">
      <w:pPr>
        <w:pStyle w:val="Heading1"/>
      </w:pPr>
      <w:bookmarkStart w:id="8" w:name="O_942435"/>
      <w:bookmarkEnd w:id="8"/>
      <w:r w:rsidRPr="00201A30">
        <w:t>Unit Mapping Information</w:t>
      </w:r>
    </w:p>
    <w:p w:rsidR="00000000" w:rsidRPr="00201A30" w:rsidP="00343433">
      <w:pPr>
        <w:pStyle w:val="BodyText"/>
      </w:pPr>
      <w:r w:rsidRPr="00201A30">
        <w:t>Release 1. Supersedes and is equivalent to MEM05027A Perform aluminothermic welding</w:t>
      </w:r>
    </w:p>
    <w:p w:rsidR="00000000" w:rsidRPr="00201A30" w:rsidP="00201A30">
      <w:pPr>
        <w:pStyle w:val="Heading1"/>
      </w:pPr>
      <w:bookmarkStart w:id="9" w:name="O_942428"/>
      <w:bookmarkEnd w:id="9"/>
      <w:r w:rsidRPr="00201A30">
        <w:t>Links</w:t>
      </w:r>
    </w:p>
    <w:p w:rsidR="00000000" w:rsidRPr="00201A30" w:rsidP="00343433">
      <w:pPr>
        <w:pStyle w:val="BodyText"/>
      </w:pPr>
      <w:r w:rsidRPr="00201A3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E68FC">
        <w:rPr>
          <w:rStyle w:val="Hyperlink"/>
        </w:rPr>
        <w:t>https://vetnet.gov.au/Pages/TrainingDocs.aspx?q=b7050d37-5fd0-4740-8f7d-3b7a49c10bb2</w:t>
      </w:r>
      <w:r>
        <w:fldChar w:fldCharType="end"/>
      </w:r>
    </w:p>
    <w:p w:rsidR="00000000" w:rsidRPr="00201A30" w:rsidP="00201A30"/>
    <w:sectPr w:rsidSect="00201A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0" w:rsidRPr="00343433" w:rsidP="00343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3" w:rsidP="00201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3433" w:rsidP="00201A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3433" w:rsidP="00201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A30" w:rsidRPr="00343433" w:rsidP="00343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433" w:rsidRPr="002D2AF8" w:rsidP="00201A30">
    <w:pPr>
      <w:pStyle w:val="Header"/>
      <w:framePr w:wrap="around"/>
    </w:pPr>
    <w:r>
      <w:fldChar w:fldCharType="begin"/>
    </w:r>
    <w:r>
      <w:instrText xml:space="preserve"> TITLE   \* MERGEFORMAT </w:instrText>
    </w:r>
    <w:r>
      <w:fldChar w:fldCharType="separate"/>
    </w:r>
    <w:r>
      <w:t>MEM05027 Perform aluminothermic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43433" w:rsidP="00201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86A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121F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A30"/>
    <w:pPr>
      <w:spacing w:before="360" w:after="60"/>
      <w:outlineLvl w:val="0"/>
    </w:pPr>
    <w:rPr>
      <w:sz w:val="32"/>
    </w:rPr>
  </w:style>
  <w:style w:type="paragraph" w:styleId="Heading2">
    <w:name w:val="heading 2"/>
    <w:basedOn w:val="HeadingBase"/>
    <w:next w:val="BodyText"/>
    <w:link w:val="Heading2Char"/>
    <w:qFormat/>
    <w:rsid w:val="00201A30"/>
    <w:pPr>
      <w:keepLines/>
      <w:spacing w:before="240" w:after="120"/>
      <w:outlineLvl w:val="1"/>
    </w:pPr>
    <w:rPr>
      <w:sz w:val="28"/>
      <w:szCs w:val="40"/>
    </w:rPr>
  </w:style>
  <w:style w:type="paragraph" w:styleId="Heading3">
    <w:name w:val="heading 3"/>
    <w:basedOn w:val="HeadingBase"/>
    <w:next w:val="BodyText"/>
    <w:link w:val="Heading3Char"/>
    <w:qFormat/>
    <w:rsid w:val="00201A30"/>
    <w:pPr>
      <w:spacing w:before="180" w:after="120"/>
      <w:outlineLvl w:val="2"/>
    </w:pPr>
    <w:rPr>
      <w:spacing w:val="-10"/>
      <w:kern w:val="32"/>
    </w:rPr>
  </w:style>
  <w:style w:type="paragraph" w:styleId="Heading4">
    <w:name w:val="heading 4"/>
    <w:basedOn w:val="HeadingBase"/>
    <w:next w:val="BodyText"/>
    <w:link w:val="Heading4Char"/>
    <w:qFormat/>
    <w:rsid w:val="00201A30"/>
    <w:pPr>
      <w:spacing w:before="160" w:after="120"/>
      <w:outlineLvl w:val="3"/>
    </w:pPr>
    <w:rPr>
      <w:sz w:val="22"/>
    </w:rPr>
  </w:style>
  <w:style w:type="paragraph" w:styleId="Heading5">
    <w:name w:val="heading 5"/>
    <w:basedOn w:val="HeadingBase"/>
    <w:next w:val="Normal"/>
    <w:link w:val="Heading5Char"/>
    <w:qFormat/>
    <w:rsid w:val="00201A30"/>
    <w:pPr>
      <w:spacing w:before="80"/>
      <w:outlineLvl w:val="4"/>
    </w:pPr>
    <w:rPr>
      <w:color w:val="918585"/>
      <w:sz w:val="20"/>
    </w:rPr>
  </w:style>
  <w:style w:type="paragraph" w:styleId="Heading6">
    <w:name w:val="heading 6"/>
    <w:basedOn w:val="HeadingBase"/>
    <w:next w:val="Normal"/>
    <w:link w:val="Heading6Char"/>
    <w:qFormat/>
    <w:rsid w:val="00201A30"/>
    <w:pPr>
      <w:spacing w:before="60"/>
      <w:outlineLvl w:val="5"/>
    </w:pPr>
    <w:rPr>
      <w:color w:val="918585"/>
      <w:sz w:val="20"/>
    </w:rPr>
  </w:style>
  <w:style w:type="paragraph" w:styleId="Heading7">
    <w:name w:val="heading 7"/>
    <w:basedOn w:val="Normal"/>
    <w:next w:val="Normal"/>
    <w:link w:val="Heading7Char"/>
    <w:qFormat/>
    <w:rsid w:val="00201A30"/>
    <w:pPr>
      <w:ind w:left="720"/>
      <w:outlineLvl w:val="6"/>
    </w:pPr>
    <w:rPr>
      <w:i/>
    </w:rPr>
  </w:style>
  <w:style w:type="paragraph" w:styleId="Heading8">
    <w:name w:val="heading 8"/>
    <w:basedOn w:val="Normal"/>
    <w:next w:val="Normal"/>
    <w:link w:val="Heading8Char"/>
    <w:qFormat/>
    <w:rsid w:val="00201A30"/>
    <w:pPr>
      <w:ind w:left="720"/>
      <w:outlineLvl w:val="7"/>
    </w:pPr>
    <w:rPr>
      <w:i/>
    </w:rPr>
  </w:style>
  <w:style w:type="paragraph" w:styleId="Heading9">
    <w:name w:val="heading 9"/>
    <w:basedOn w:val="Normal"/>
    <w:next w:val="Normal"/>
    <w:link w:val="Heading9Char"/>
    <w:qFormat/>
    <w:rsid w:val="00201A30"/>
    <w:pPr>
      <w:ind w:left="720"/>
      <w:outlineLvl w:val="8"/>
    </w:pPr>
    <w:rPr>
      <w:i/>
    </w:rPr>
  </w:style>
  <w:style w:type="character" w:default="1" w:styleId="DefaultParagraphFont">
    <w:name w:val="Default Paragraph Font"/>
    <w:uiPriority w:val="1"/>
    <w:unhideWhenUsed/>
    <w:rsid w:val="00201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A30"/>
  </w:style>
  <w:style w:type="character" w:customStyle="1" w:styleId="Heading1Char">
    <w:name w:val="Heading 1 Char"/>
    <w:basedOn w:val="DefaultParagraphFont"/>
    <w:link w:val="Heading1"/>
    <w:rsid w:val="00201A30"/>
    <w:rPr>
      <w:rFonts w:ascii="Times New Roman" w:eastAsia="Times New Roman" w:hAnsi="Times New Roman" w:cs="Times New Roman"/>
      <w:b/>
      <w:sz w:val="32"/>
      <w:szCs w:val="20"/>
      <w:lang w:eastAsia="en-US"/>
    </w:rPr>
  </w:style>
  <w:style w:type="paragraph" w:styleId="BodyText">
    <w:name w:val="Body Text"/>
    <w:basedOn w:val="Normal"/>
    <w:link w:val="BodyTextChar"/>
    <w:rsid w:val="00201A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A30"/>
    <w:rPr>
      <w:rFonts w:ascii="Times New Roman" w:eastAsia="Times New Roman" w:hAnsi="Times New Roman" w:cs="Times New Roman"/>
      <w:sz w:val="24"/>
      <w:lang w:eastAsia="en-US"/>
    </w:rPr>
  </w:style>
  <w:style w:type="paragraph" w:styleId="ListBullet">
    <w:name w:val="List Bullet"/>
    <w:basedOn w:val="List"/>
    <w:rsid w:val="00201A30"/>
    <w:pPr>
      <w:numPr>
        <w:numId w:val="11"/>
      </w:numPr>
      <w:tabs>
        <w:tab w:val="clear" w:pos="340"/>
      </w:tabs>
      <w:spacing w:before="40" w:after="40"/>
    </w:pPr>
  </w:style>
  <w:style w:type="character" w:customStyle="1" w:styleId="SpecialBold">
    <w:name w:val="Special Bold"/>
    <w:basedOn w:val="DefaultParagraphFont"/>
    <w:rsid w:val="00201A30"/>
    <w:rPr>
      <w:b/>
      <w:spacing w:val="0"/>
    </w:rPr>
  </w:style>
  <w:style w:type="paragraph" w:customStyle="1" w:styleId="SuperHeading">
    <w:name w:val="SuperHeading"/>
    <w:basedOn w:val="Normal"/>
    <w:rsid w:val="00201A30"/>
    <w:pPr>
      <w:spacing w:before="240" w:after="120"/>
      <w:outlineLvl w:val="0"/>
    </w:pPr>
    <w:rPr>
      <w:rFonts w:ascii="Times New Roman" w:hAnsi="Times New Roman"/>
      <w:b/>
      <w:sz w:val="32"/>
    </w:rPr>
  </w:style>
  <w:style w:type="paragraph" w:customStyle="1" w:styleId="AllowPageBreak">
    <w:name w:val="AllowPageBreak"/>
    <w:rsid w:val="00201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A30"/>
    <w:rPr>
      <w:rFonts w:ascii="Courier New" w:eastAsia="Times New Roman" w:hAnsi="Courier New" w:cs="Times New Roman"/>
      <w:i/>
      <w:szCs w:val="20"/>
      <w:lang w:eastAsia="en-US"/>
    </w:rPr>
  </w:style>
  <w:style w:type="paragraph" w:customStyle="1" w:styleId="HeadingBase">
    <w:name w:val="Heading Base"/>
    <w:rsid w:val="00201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A30"/>
    <w:pPr>
      <w:tabs>
        <w:tab w:val="right" w:leader="dot" w:pos="9072"/>
      </w:tabs>
      <w:ind w:left="567"/>
    </w:pPr>
    <w:rPr>
      <w:szCs w:val="22"/>
    </w:rPr>
  </w:style>
  <w:style w:type="paragraph" w:customStyle="1" w:styleId="TOCBase">
    <w:name w:val="TOC Base"/>
    <w:rsid w:val="00201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A30"/>
    <w:pPr>
      <w:tabs>
        <w:tab w:val="right" w:leader="dot" w:pos="9072"/>
      </w:tabs>
      <w:spacing w:before="40" w:after="40"/>
      <w:ind w:left="284"/>
    </w:pPr>
    <w:rPr>
      <w:rFonts w:ascii="Times New Roman" w:hAnsi="Times New Roman"/>
    </w:rPr>
  </w:style>
  <w:style w:type="paragraph" w:styleId="TOC1">
    <w:name w:val="toc 1"/>
    <w:basedOn w:val="TOCBase"/>
    <w:next w:val="Normal"/>
    <w:rsid w:val="00201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A30"/>
    <w:rPr>
      <w:rFonts w:ascii="Times New Roman" w:eastAsia="Times New Roman" w:hAnsi="Times New Roman" w:cs="Times New Roman"/>
      <w:sz w:val="16"/>
      <w:lang w:eastAsia="en-US"/>
    </w:rPr>
  </w:style>
  <w:style w:type="paragraph" w:styleId="Title">
    <w:name w:val="Title"/>
    <w:basedOn w:val="HeadingBase"/>
    <w:link w:val="TitleChar"/>
    <w:qFormat/>
    <w:rsid w:val="00201A30"/>
    <w:pPr>
      <w:spacing w:before="5040"/>
      <w:jc w:val="center"/>
    </w:pPr>
    <w:rPr>
      <w:sz w:val="48"/>
      <w:szCs w:val="72"/>
      <w:lang w:val="en-US"/>
    </w:rPr>
  </w:style>
  <w:style w:type="character" w:customStyle="1" w:styleId="TitleChar">
    <w:name w:val="Title Char"/>
    <w:basedOn w:val="DefaultParagraphFont"/>
    <w:link w:val="Title"/>
    <w:rsid w:val="00201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A30"/>
    <w:pPr>
      <w:tabs>
        <w:tab w:val="left" w:pos="3600"/>
        <w:tab w:val="left" w:pos="3958"/>
      </w:tabs>
    </w:pPr>
  </w:style>
  <w:style w:type="paragraph" w:styleId="List">
    <w:name w:val="List"/>
    <w:basedOn w:val="BodyText"/>
    <w:next w:val="BodyText"/>
    <w:rsid w:val="00201A30"/>
    <w:pPr>
      <w:tabs>
        <w:tab w:val="left" w:pos="340"/>
      </w:tabs>
      <w:spacing w:before="60" w:after="60"/>
      <w:ind w:left="340" w:hanging="340"/>
    </w:pPr>
  </w:style>
  <w:style w:type="paragraph" w:customStyle="1" w:styleId="Note">
    <w:name w:val="Note"/>
    <w:basedOn w:val="BodyText"/>
    <w:rsid w:val="00201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A30"/>
    <w:pPr>
      <w:framePr w:wrap="auto" w:hAnchor="text" w:y="6049"/>
    </w:pPr>
    <w:rPr>
      <w:color w:val="000000"/>
      <w:sz w:val="40"/>
    </w:rPr>
  </w:style>
  <w:style w:type="paragraph" w:customStyle="1" w:styleId="TOCTitle">
    <w:name w:val="TOCTitle"/>
    <w:basedOn w:val="Heading1"/>
    <w:rsid w:val="00201A30"/>
    <w:pPr>
      <w:spacing w:after="240"/>
      <w:jc w:val="center"/>
      <w:outlineLvl w:val="9"/>
    </w:pPr>
    <w:rPr>
      <w:caps/>
    </w:rPr>
  </w:style>
  <w:style w:type="paragraph" w:customStyle="1" w:styleId="Version">
    <w:name w:val="Version"/>
    <w:rsid w:val="00201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A30"/>
    <w:pPr>
      <w:numPr>
        <w:numId w:val="12"/>
      </w:numPr>
      <w:tabs>
        <w:tab w:val="clear" w:pos="680"/>
      </w:tabs>
    </w:pPr>
  </w:style>
  <w:style w:type="paragraph" w:styleId="Index1">
    <w:name w:val="index 1"/>
    <w:basedOn w:val="Normal"/>
    <w:next w:val="Normal"/>
    <w:semiHidden/>
    <w:rsid w:val="00201A30"/>
    <w:pPr>
      <w:keepNext w:val="0"/>
      <w:tabs>
        <w:tab w:val="right" w:pos="4176"/>
      </w:tabs>
      <w:ind w:left="198" w:hanging="198"/>
    </w:pPr>
    <w:rPr>
      <w:rFonts w:ascii="Garamond" w:hAnsi="Garamond"/>
    </w:rPr>
  </w:style>
  <w:style w:type="paragraph" w:styleId="IndexHeading">
    <w:name w:val="index heading"/>
    <w:basedOn w:val="Normal"/>
    <w:next w:val="Index1"/>
    <w:semiHidden/>
    <w:rsid w:val="00201A30"/>
    <w:pPr>
      <w:spacing w:before="120" w:after="120"/>
    </w:pPr>
    <w:rPr>
      <w:rFonts w:ascii="Arial" w:hAnsi="Arial"/>
      <w:b/>
      <w:color w:val="918585"/>
      <w:sz w:val="24"/>
    </w:rPr>
  </w:style>
  <w:style w:type="paragraph" w:styleId="Header">
    <w:name w:val="header"/>
    <w:basedOn w:val="Normal"/>
    <w:link w:val="HeaderChar"/>
    <w:rsid w:val="00201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A30"/>
    <w:rPr>
      <w:rFonts w:ascii="Times New Roman" w:eastAsia="Times New Roman" w:hAnsi="Times New Roman" w:cs="Times New Roman"/>
      <w:sz w:val="16"/>
      <w:szCs w:val="20"/>
      <w:lang w:val="en-GB" w:eastAsia="en-US"/>
    </w:rPr>
  </w:style>
  <w:style w:type="paragraph" w:customStyle="1" w:styleId="Chapter">
    <w:name w:val="Chapter"/>
    <w:basedOn w:val="Normal"/>
    <w:rsid w:val="00201A30"/>
    <w:pPr>
      <w:spacing w:before="240"/>
    </w:pPr>
    <w:rPr>
      <w:rFonts w:ascii="Times New Roman" w:hAnsi="Times New Roman"/>
      <w:smallCaps/>
      <w:spacing w:val="80"/>
      <w:sz w:val="28"/>
    </w:rPr>
  </w:style>
  <w:style w:type="paragraph" w:customStyle="1" w:styleId="InChapter">
    <w:name w:val="InChapter"/>
    <w:basedOn w:val="Heading3"/>
    <w:rsid w:val="00201A30"/>
    <w:pPr>
      <w:spacing w:after="240"/>
      <w:outlineLvl w:val="9"/>
    </w:pPr>
    <w:rPr>
      <w:noProof/>
    </w:rPr>
  </w:style>
  <w:style w:type="paragraph" w:styleId="Index2">
    <w:name w:val="index 2"/>
    <w:basedOn w:val="Normal"/>
    <w:next w:val="Normal"/>
    <w:semiHidden/>
    <w:rsid w:val="00201A30"/>
    <w:pPr>
      <w:tabs>
        <w:tab w:val="right" w:pos="4176"/>
      </w:tabs>
      <w:ind w:left="568" w:hanging="284"/>
    </w:pPr>
    <w:rPr>
      <w:rFonts w:ascii="Garamond" w:hAnsi="Garamond"/>
    </w:rPr>
  </w:style>
  <w:style w:type="paragraph" w:customStyle="1" w:styleId="Byline">
    <w:name w:val="Byline"/>
    <w:rsid w:val="00201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A30"/>
    <w:pPr>
      <w:tabs>
        <w:tab w:val="clear" w:pos="3600"/>
        <w:tab w:val="clear" w:pos="3958"/>
      </w:tabs>
      <w:jc w:val="right"/>
    </w:pPr>
  </w:style>
  <w:style w:type="character" w:styleId="Emphasis">
    <w:name w:val="Emphasis"/>
    <w:basedOn w:val="DefaultParagraphFont"/>
    <w:qFormat/>
    <w:rsid w:val="00201A30"/>
    <w:rPr>
      <w:i/>
    </w:rPr>
  </w:style>
  <w:style w:type="paragraph" w:styleId="Caption">
    <w:name w:val="caption"/>
    <w:basedOn w:val="BodyText"/>
    <w:next w:val="Normal"/>
    <w:qFormat/>
    <w:rsid w:val="00201A30"/>
    <w:pPr>
      <w:framePr w:w="2268" w:hSpace="181" w:vSpace="181" w:wrap="around" w:vAnchor="text" w:hAnchor="page" w:x="1135" w:y="285" w:anchorLock="1"/>
    </w:pPr>
    <w:rPr>
      <w:i/>
    </w:rPr>
  </w:style>
  <w:style w:type="paragraph" w:customStyle="1" w:styleId="MiniTOCTitle">
    <w:name w:val="MiniTOCTitle"/>
    <w:basedOn w:val="Heading4"/>
    <w:rsid w:val="00201A30"/>
    <w:pPr>
      <w:spacing w:before="240"/>
      <w:outlineLvl w:val="9"/>
    </w:pPr>
    <w:rPr>
      <w:noProof/>
      <w:sz w:val="24"/>
    </w:rPr>
  </w:style>
  <w:style w:type="paragraph" w:customStyle="1" w:styleId="MiniTOCItem">
    <w:name w:val="MiniTOCItem"/>
    <w:basedOn w:val="ListBullet"/>
    <w:rsid w:val="00201A30"/>
    <w:pPr>
      <w:numPr>
        <w:numId w:val="0"/>
      </w:numPr>
      <w:tabs>
        <w:tab w:val="right" w:leader="dot" w:pos="6521"/>
      </w:tabs>
      <w:spacing w:before="0" w:after="0"/>
    </w:pPr>
  </w:style>
  <w:style w:type="paragraph" w:customStyle="1" w:styleId="TOFTitle">
    <w:name w:val="TOFTitle"/>
    <w:basedOn w:val="TOCTitle"/>
    <w:rsid w:val="00201A30"/>
  </w:style>
  <w:style w:type="paragraph" w:styleId="TableofFigures">
    <w:name w:val="table of figures"/>
    <w:basedOn w:val="Normal"/>
    <w:next w:val="Normal"/>
    <w:semiHidden/>
    <w:rsid w:val="00201A30"/>
    <w:pPr>
      <w:tabs>
        <w:tab w:val="right" w:leader="dot" w:pos="9072"/>
      </w:tabs>
      <w:ind w:left="970" w:hanging="403"/>
    </w:pPr>
    <w:rPr>
      <w:rFonts w:ascii="Times New Roman" w:hAnsi="Times New Roman"/>
      <w:b/>
    </w:rPr>
  </w:style>
  <w:style w:type="paragraph" w:styleId="ListNumber">
    <w:name w:val="List Number"/>
    <w:basedOn w:val="List"/>
    <w:rsid w:val="00201A30"/>
    <w:pPr>
      <w:numPr>
        <w:numId w:val="14"/>
      </w:numPr>
      <w:tabs>
        <w:tab w:val="clear" w:pos="340"/>
      </w:tabs>
    </w:pPr>
  </w:style>
  <w:style w:type="character" w:customStyle="1" w:styleId="WingdingSymbols">
    <w:name w:val="Wingding Symbols"/>
    <w:rsid w:val="00201A30"/>
    <w:rPr>
      <w:rFonts w:ascii="Wingdings" w:hAnsi="Wingdings"/>
    </w:rPr>
  </w:style>
  <w:style w:type="paragraph" w:customStyle="1" w:styleId="TableHeading">
    <w:name w:val="Table Heading"/>
    <w:basedOn w:val="HeadingBase"/>
    <w:rsid w:val="00201A30"/>
    <w:pPr>
      <w:keepLines/>
      <w:pBdr>
        <w:bottom w:val="single" w:sz="6" w:space="1" w:color="918585"/>
      </w:pBdr>
      <w:spacing w:before="240"/>
    </w:pPr>
  </w:style>
  <w:style w:type="character" w:customStyle="1" w:styleId="HotSpot">
    <w:name w:val="HotSpot"/>
    <w:rsid w:val="00201A30"/>
    <w:rPr>
      <w:color w:val="0033CC"/>
      <w:u w:val="none"/>
    </w:rPr>
  </w:style>
  <w:style w:type="paragraph" w:customStyle="1" w:styleId="BodyTextRight">
    <w:name w:val="Body Text Right"/>
    <w:basedOn w:val="BodyText"/>
    <w:rsid w:val="00201A30"/>
    <w:pPr>
      <w:spacing w:before="0" w:after="0"/>
      <w:jc w:val="right"/>
    </w:pPr>
  </w:style>
  <w:style w:type="paragraph" w:styleId="Index3">
    <w:name w:val="index 3"/>
    <w:basedOn w:val="ListNumber2"/>
    <w:next w:val="Normal"/>
    <w:semiHidden/>
    <w:rsid w:val="00201A30"/>
    <w:pPr>
      <w:numPr>
        <w:numId w:val="0"/>
      </w:numPr>
      <w:tabs>
        <w:tab w:val="right" w:leader="dot" w:pos="4176"/>
      </w:tabs>
    </w:pPr>
  </w:style>
  <w:style w:type="paragraph" w:styleId="ListNumber2">
    <w:name w:val="List Number 2"/>
    <w:basedOn w:val="List2"/>
    <w:rsid w:val="00201A30"/>
    <w:pPr>
      <w:numPr>
        <w:numId w:val="9"/>
      </w:numPr>
      <w:tabs>
        <w:tab w:val="clear" w:pos="1060"/>
      </w:tabs>
    </w:pPr>
  </w:style>
  <w:style w:type="paragraph" w:customStyle="1" w:styleId="MarginNote">
    <w:name w:val="Margin Note"/>
    <w:basedOn w:val="BodyText"/>
    <w:rsid w:val="00201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A30"/>
    <w:rPr>
      <w:sz w:val="32"/>
    </w:rPr>
  </w:style>
  <w:style w:type="paragraph" w:customStyle="1" w:styleId="HeadingProcedure">
    <w:name w:val="Heading Procedure"/>
    <w:basedOn w:val="HeadingBase"/>
    <w:next w:val="Normal"/>
    <w:rsid w:val="00201A30"/>
    <w:pPr>
      <w:tabs>
        <w:tab w:val="left" w:pos="0"/>
      </w:tabs>
      <w:spacing w:before="120" w:after="60"/>
    </w:pPr>
    <w:rPr>
      <w:i/>
      <w:color w:val="918585"/>
      <w:sz w:val="22"/>
    </w:rPr>
  </w:style>
  <w:style w:type="paragraph" w:customStyle="1" w:styleId="TableBodyText">
    <w:name w:val="Table Body Text"/>
    <w:basedOn w:val="BodyText"/>
    <w:rsid w:val="00201A30"/>
    <w:pPr>
      <w:spacing w:before="60" w:after="60"/>
    </w:pPr>
  </w:style>
  <w:style w:type="paragraph" w:styleId="ListContinue">
    <w:name w:val="List Continue"/>
    <w:basedOn w:val="List"/>
    <w:rsid w:val="00201A30"/>
    <w:pPr>
      <w:ind w:firstLine="0"/>
    </w:pPr>
  </w:style>
  <w:style w:type="paragraph" w:customStyle="1" w:styleId="ListNote">
    <w:name w:val="List Note"/>
    <w:basedOn w:val="List"/>
    <w:rsid w:val="00201A30"/>
    <w:pPr>
      <w:pBdr>
        <w:top w:val="single" w:sz="6" w:space="2" w:color="918585"/>
        <w:bottom w:val="single" w:sz="6" w:space="2" w:color="918585"/>
      </w:pBdr>
      <w:tabs>
        <w:tab w:val="left" w:pos="1021"/>
      </w:tabs>
      <w:ind w:firstLine="0"/>
    </w:pPr>
  </w:style>
  <w:style w:type="paragraph" w:customStyle="1" w:styleId="Warning">
    <w:name w:val="Warning"/>
    <w:basedOn w:val="BodyText"/>
    <w:rsid w:val="00201A30"/>
    <w:pPr>
      <w:shd w:val="clear" w:color="auto" w:fill="D9D9D9"/>
      <w:tabs>
        <w:tab w:val="left" w:pos="992"/>
      </w:tabs>
      <w:ind w:left="119" w:right="119"/>
    </w:pPr>
    <w:rPr>
      <w:sz w:val="20"/>
    </w:rPr>
  </w:style>
  <w:style w:type="paragraph" w:customStyle="1" w:styleId="MarginIcons">
    <w:name w:val="Margin Icons"/>
    <w:basedOn w:val="BodyText"/>
    <w:rsid w:val="00201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A30"/>
    <w:rPr>
      <w:rFonts w:ascii="Courier New" w:hAnsi="Courier New"/>
    </w:rPr>
  </w:style>
  <w:style w:type="paragraph" w:customStyle="1" w:styleId="NoteBullet">
    <w:name w:val="Note Bullet"/>
    <w:basedOn w:val="Note"/>
    <w:rsid w:val="00201A30"/>
    <w:pPr>
      <w:tabs>
        <w:tab w:val="clear" w:pos="680"/>
      </w:tabs>
      <w:spacing w:before="60" w:after="60"/>
    </w:pPr>
  </w:style>
  <w:style w:type="paragraph" w:customStyle="1" w:styleId="SubHeading2">
    <w:name w:val="SubHeading2"/>
    <w:basedOn w:val="HeadingBase"/>
    <w:rsid w:val="00201A30"/>
    <w:pPr>
      <w:spacing w:before="240" w:after="60"/>
    </w:pPr>
    <w:rPr>
      <w:sz w:val="20"/>
    </w:rPr>
  </w:style>
  <w:style w:type="paragraph" w:customStyle="1" w:styleId="SubHeading1">
    <w:name w:val="SubHeading1"/>
    <w:basedOn w:val="HeadingBase"/>
    <w:rsid w:val="00201A30"/>
    <w:pPr>
      <w:spacing w:before="240" w:after="60"/>
    </w:pPr>
    <w:rPr>
      <w:color w:val="918585"/>
      <w:sz w:val="22"/>
    </w:rPr>
  </w:style>
  <w:style w:type="paragraph" w:customStyle="1" w:styleId="SideHeading">
    <w:name w:val="Side Heading"/>
    <w:basedOn w:val="HeadingBase"/>
    <w:rsid w:val="00201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A30"/>
    <w:pPr>
      <w:numPr>
        <w:numId w:val="10"/>
      </w:numPr>
    </w:pPr>
  </w:style>
  <w:style w:type="paragraph" w:styleId="PlainText">
    <w:name w:val="Plain Text"/>
    <w:basedOn w:val="Normal"/>
    <w:link w:val="PlainTextChar"/>
    <w:rsid w:val="00201A30"/>
    <w:rPr>
      <w:sz w:val="20"/>
    </w:rPr>
  </w:style>
  <w:style w:type="character" w:customStyle="1" w:styleId="PlainTextChar">
    <w:name w:val="Plain Text Char"/>
    <w:basedOn w:val="DefaultParagraphFont"/>
    <w:link w:val="PlainText"/>
    <w:rsid w:val="00201A30"/>
    <w:rPr>
      <w:rFonts w:ascii="Courier New" w:eastAsia="Times New Roman" w:hAnsi="Courier New" w:cs="Times New Roman"/>
      <w:sz w:val="20"/>
      <w:szCs w:val="20"/>
      <w:lang w:eastAsia="en-US"/>
    </w:rPr>
  </w:style>
  <w:style w:type="character" w:customStyle="1" w:styleId="MenuOption">
    <w:name w:val="Menu Option"/>
    <w:basedOn w:val="DefaultParagraphFont"/>
    <w:rsid w:val="00201A30"/>
    <w:rPr>
      <w:b/>
      <w:smallCaps/>
    </w:rPr>
  </w:style>
  <w:style w:type="paragraph" w:customStyle="1" w:styleId="TableListNumber">
    <w:name w:val="Table List Number"/>
    <w:basedOn w:val="ListNumber"/>
    <w:rsid w:val="00201A30"/>
    <w:pPr>
      <w:numPr>
        <w:numId w:val="0"/>
      </w:numPr>
    </w:pPr>
  </w:style>
  <w:style w:type="paragraph" w:styleId="TOC4">
    <w:name w:val="toc 4"/>
    <w:basedOn w:val="TOCBase"/>
    <w:next w:val="Normal"/>
    <w:semiHidden/>
    <w:rsid w:val="00201A30"/>
    <w:pPr>
      <w:tabs>
        <w:tab w:val="right" w:leader="dot" w:pos="9071"/>
      </w:tabs>
      <w:ind w:left="1701"/>
    </w:pPr>
  </w:style>
  <w:style w:type="paragraph" w:customStyle="1" w:styleId="ListAlpha">
    <w:name w:val="List Alpha"/>
    <w:basedOn w:val="List"/>
    <w:rsid w:val="00201A30"/>
    <w:pPr>
      <w:numPr>
        <w:numId w:val="8"/>
      </w:numPr>
    </w:pPr>
  </w:style>
  <w:style w:type="paragraph" w:customStyle="1" w:styleId="ListAlpha2">
    <w:name w:val="List Alpha 2"/>
    <w:basedOn w:val="List2"/>
    <w:rsid w:val="00201A30"/>
    <w:pPr>
      <w:numPr>
        <w:numId w:val="7"/>
      </w:numPr>
    </w:pPr>
  </w:style>
  <w:style w:type="paragraph" w:styleId="List2">
    <w:name w:val="List 2"/>
    <w:basedOn w:val="BodyText"/>
    <w:rsid w:val="00201A30"/>
    <w:pPr>
      <w:tabs>
        <w:tab w:val="left" w:pos="680"/>
      </w:tabs>
      <w:spacing w:before="60" w:after="60"/>
      <w:ind w:left="680" w:hanging="340"/>
    </w:pPr>
  </w:style>
  <w:style w:type="paragraph" w:styleId="List3">
    <w:name w:val="List 3"/>
    <w:basedOn w:val="BodyText"/>
    <w:rsid w:val="00201A30"/>
    <w:pPr>
      <w:tabs>
        <w:tab w:val="left" w:pos="1021"/>
      </w:tabs>
      <w:spacing w:before="60" w:after="60"/>
      <w:ind w:left="1020" w:hanging="340"/>
    </w:pPr>
  </w:style>
  <w:style w:type="paragraph" w:styleId="List4">
    <w:name w:val="List 4"/>
    <w:basedOn w:val="BodyText"/>
    <w:rsid w:val="00201A30"/>
    <w:pPr>
      <w:tabs>
        <w:tab w:val="left" w:pos="1361"/>
      </w:tabs>
      <w:spacing w:before="60" w:after="60"/>
      <w:ind w:left="1361" w:hanging="340"/>
    </w:pPr>
  </w:style>
  <w:style w:type="paragraph" w:styleId="List5">
    <w:name w:val="List 5"/>
    <w:basedOn w:val="BodyText"/>
    <w:rsid w:val="00201A30"/>
    <w:pPr>
      <w:tabs>
        <w:tab w:val="left" w:pos="1701"/>
      </w:tabs>
      <w:spacing w:before="60" w:after="60"/>
      <w:ind w:left="1701" w:hanging="340"/>
    </w:pPr>
  </w:style>
  <w:style w:type="paragraph" w:styleId="ListBullet3">
    <w:name w:val="List Bullet 3"/>
    <w:basedOn w:val="List3"/>
    <w:rsid w:val="00201A30"/>
    <w:pPr>
      <w:numPr>
        <w:numId w:val="13"/>
      </w:numPr>
      <w:tabs>
        <w:tab w:val="clear" w:pos="1021"/>
      </w:tabs>
      <w:ind w:left="1037" w:hanging="357"/>
    </w:pPr>
  </w:style>
  <w:style w:type="paragraph" w:styleId="ListBullet4">
    <w:name w:val="List Bullet 4"/>
    <w:basedOn w:val="List4"/>
    <w:rsid w:val="00201A30"/>
    <w:pPr>
      <w:numPr>
        <w:numId w:val="2"/>
      </w:numPr>
      <w:tabs>
        <w:tab w:val="clear" w:pos="1361"/>
      </w:tabs>
    </w:pPr>
  </w:style>
  <w:style w:type="paragraph" w:styleId="ListBullet5">
    <w:name w:val="List Bullet 5"/>
    <w:basedOn w:val="List5"/>
    <w:rsid w:val="00201A30"/>
    <w:pPr>
      <w:numPr>
        <w:numId w:val="3"/>
      </w:numPr>
    </w:pPr>
  </w:style>
  <w:style w:type="paragraph" w:styleId="ListContinue2">
    <w:name w:val="List Continue 2"/>
    <w:basedOn w:val="List2"/>
    <w:rsid w:val="00201A30"/>
    <w:pPr>
      <w:ind w:firstLine="0"/>
    </w:pPr>
  </w:style>
  <w:style w:type="paragraph" w:styleId="ListContinue3">
    <w:name w:val="List Continue 3"/>
    <w:basedOn w:val="List3"/>
    <w:rsid w:val="00201A30"/>
    <w:pPr>
      <w:ind w:left="1021" w:firstLine="0"/>
    </w:pPr>
  </w:style>
  <w:style w:type="paragraph" w:styleId="ListContinue4">
    <w:name w:val="List Continue 4"/>
    <w:basedOn w:val="List4"/>
    <w:rsid w:val="00201A30"/>
    <w:pPr>
      <w:ind w:firstLine="0"/>
    </w:pPr>
  </w:style>
  <w:style w:type="paragraph" w:styleId="ListContinue5">
    <w:name w:val="List Continue 5"/>
    <w:basedOn w:val="List5"/>
    <w:rsid w:val="00201A30"/>
    <w:pPr>
      <w:ind w:firstLine="0"/>
    </w:pPr>
  </w:style>
  <w:style w:type="paragraph" w:styleId="ListNumber3">
    <w:name w:val="List Number 3"/>
    <w:basedOn w:val="List3"/>
    <w:rsid w:val="00201A30"/>
    <w:pPr>
      <w:numPr>
        <w:numId w:val="4"/>
      </w:numPr>
    </w:pPr>
  </w:style>
  <w:style w:type="paragraph" w:styleId="ListNumber4">
    <w:name w:val="List Number 4"/>
    <w:basedOn w:val="List4"/>
    <w:rsid w:val="00201A30"/>
    <w:pPr>
      <w:numPr>
        <w:numId w:val="5"/>
      </w:numPr>
    </w:pPr>
  </w:style>
  <w:style w:type="paragraph" w:styleId="ListNumber5">
    <w:name w:val="List Number 5"/>
    <w:basedOn w:val="List5"/>
    <w:rsid w:val="00201A30"/>
    <w:pPr>
      <w:numPr>
        <w:numId w:val="6"/>
      </w:numPr>
    </w:pPr>
  </w:style>
  <w:style w:type="paragraph" w:styleId="BlockText">
    <w:name w:val="Block Text"/>
    <w:basedOn w:val="Normal"/>
    <w:rsid w:val="00201A30"/>
    <w:pPr>
      <w:spacing w:after="120"/>
      <w:ind w:left="1440" w:right="1440"/>
    </w:pPr>
  </w:style>
  <w:style w:type="character" w:customStyle="1" w:styleId="Subscript">
    <w:name w:val="Subscript"/>
    <w:basedOn w:val="DefaultParagraphFont"/>
    <w:rsid w:val="00201A30"/>
    <w:rPr>
      <w:sz w:val="16"/>
      <w:vertAlign w:val="subscript"/>
    </w:rPr>
  </w:style>
  <w:style w:type="character" w:customStyle="1" w:styleId="Superscript">
    <w:name w:val="Superscript"/>
    <w:basedOn w:val="DefaultParagraphFont"/>
    <w:rsid w:val="00201A30"/>
    <w:rPr>
      <w:sz w:val="16"/>
      <w:vertAlign w:val="superscript"/>
    </w:rPr>
  </w:style>
  <w:style w:type="character" w:customStyle="1" w:styleId="Symbols">
    <w:name w:val="Symbols"/>
    <w:basedOn w:val="DefaultParagraphFont"/>
    <w:rsid w:val="00201A30"/>
    <w:rPr>
      <w:rFonts w:ascii="Symbol" w:hAnsi="Symbol"/>
    </w:rPr>
  </w:style>
  <w:style w:type="character" w:customStyle="1" w:styleId="MenuOptions">
    <w:name w:val="Menu Options"/>
    <w:basedOn w:val="DefaultParagraphFont"/>
    <w:rsid w:val="00201A30"/>
    <w:rPr>
      <w:rFonts w:ascii="Arial Narrow" w:hAnsi="Arial Narrow"/>
      <w:smallCaps/>
    </w:rPr>
  </w:style>
  <w:style w:type="character" w:customStyle="1" w:styleId="Buttons">
    <w:name w:val="Buttons"/>
    <w:basedOn w:val="DefaultParagraphFont"/>
    <w:rsid w:val="00201A30"/>
    <w:rPr>
      <w:b/>
    </w:rPr>
  </w:style>
  <w:style w:type="character" w:customStyle="1" w:styleId="Underlined">
    <w:name w:val="Underlined"/>
    <w:basedOn w:val="DefaultParagraphFont"/>
    <w:rsid w:val="00201A30"/>
    <w:rPr>
      <w:u w:val="single"/>
    </w:rPr>
  </w:style>
  <w:style w:type="paragraph" w:customStyle="1" w:styleId="TableBodyTextRight">
    <w:name w:val="Table Body Text Right"/>
    <w:basedOn w:val="TableBodyText"/>
    <w:rsid w:val="00201A30"/>
    <w:pPr>
      <w:widowControl w:val="0"/>
      <w:autoSpaceDE w:val="0"/>
      <w:autoSpaceDN w:val="0"/>
      <w:adjustRightInd w:val="0"/>
      <w:jc w:val="right"/>
    </w:pPr>
    <w:rPr>
      <w:rFonts w:cs="Arial"/>
      <w:szCs w:val="18"/>
    </w:rPr>
  </w:style>
  <w:style w:type="paragraph" w:customStyle="1" w:styleId="CopyrightText">
    <w:name w:val="Copyright Text"/>
    <w:basedOn w:val="BodyText"/>
    <w:rsid w:val="00201A30"/>
    <w:rPr>
      <w:sz w:val="18"/>
    </w:rPr>
  </w:style>
  <w:style w:type="paragraph" w:customStyle="1" w:styleId="BodySmallRight">
    <w:name w:val="Body Small Right"/>
    <w:basedOn w:val="BodyTextRight"/>
    <w:rsid w:val="00201A30"/>
    <w:rPr>
      <w:sz w:val="18"/>
      <w:szCs w:val="18"/>
    </w:rPr>
  </w:style>
  <w:style w:type="paragraph" w:customStyle="1" w:styleId="MarginEdition">
    <w:name w:val="Margin Edition"/>
    <w:basedOn w:val="MarginNote"/>
    <w:rsid w:val="00201A30"/>
    <w:pPr>
      <w:spacing w:before="0" w:after="0"/>
    </w:pPr>
    <w:rPr>
      <w:rFonts w:ascii="Times New Roman" w:hAnsi="Times New Roman"/>
      <w:color w:val="999999"/>
    </w:rPr>
  </w:style>
  <w:style w:type="paragraph" w:customStyle="1" w:styleId="Spacer">
    <w:name w:val="Spacer"/>
    <w:basedOn w:val="Normal"/>
    <w:rsid w:val="00201A30"/>
    <w:rPr>
      <w:sz w:val="2"/>
      <w:szCs w:val="2"/>
    </w:rPr>
  </w:style>
  <w:style w:type="character" w:customStyle="1" w:styleId="Small">
    <w:name w:val="Small"/>
    <w:basedOn w:val="DefaultParagraphFont"/>
    <w:rsid w:val="00201A30"/>
    <w:rPr>
      <w:sz w:val="16"/>
    </w:rPr>
  </w:style>
  <w:style w:type="paragraph" w:customStyle="1" w:styleId="WideTable">
    <w:name w:val="Wide Table"/>
    <w:basedOn w:val="Normal"/>
    <w:rsid w:val="00201A30"/>
    <w:pPr>
      <w:ind w:left="-1418"/>
    </w:pPr>
    <w:rPr>
      <w:sz w:val="2"/>
      <w:szCs w:val="2"/>
    </w:rPr>
  </w:style>
  <w:style w:type="character" w:styleId="PageNumber">
    <w:name w:val="page number"/>
    <w:basedOn w:val="DefaultParagraphFont"/>
    <w:rsid w:val="00201A30"/>
  </w:style>
  <w:style w:type="paragraph" w:styleId="Quote">
    <w:name w:val="Quote"/>
    <w:basedOn w:val="Heading1"/>
    <w:link w:val="QuoteChar"/>
    <w:qFormat/>
    <w:rsid w:val="00201A30"/>
    <w:rPr>
      <w:b w:val="0"/>
      <w:sz w:val="72"/>
      <w:szCs w:val="72"/>
      <w:lang w:val="en-NZ"/>
    </w:rPr>
  </w:style>
  <w:style w:type="character" w:customStyle="1" w:styleId="QuoteChar">
    <w:name w:val="Quote Char"/>
    <w:basedOn w:val="DefaultParagraphFont"/>
    <w:link w:val="Quote"/>
    <w:rsid w:val="00201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A30"/>
    <w:pPr>
      <w:pageBreakBefore/>
    </w:pPr>
  </w:style>
  <w:style w:type="paragraph" w:customStyle="1" w:styleId="Border">
    <w:name w:val="Border"/>
    <w:basedOn w:val="Normal"/>
    <w:qFormat/>
    <w:rsid w:val="00201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A30"/>
    <w:rPr>
      <w:b/>
      <w:bCs/>
      <w:i/>
      <w:iCs/>
      <w:color w:val="auto"/>
    </w:rPr>
  </w:style>
  <w:style w:type="paragraph" w:styleId="IntenseQuote">
    <w:name w:val="Intense Quote"/>
    <w:basedOn w:val="Normal"/>
    <w:next w:val="Normal"/>
    <w:link w:val="IntenseQuoteChar"/>
    <w:uiPriority w:val="30"/>
    <w:qFormat/>
    <w:rsid w:val="00201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A30"/>
    <w:rPr>
      <w:smallCaps/>
      <w:color w:val="auto"/>
      <w:u w:val="single"/>
    </w:rPr>
  </w:style>
  <w:style w:type="character" w:styleId="IntenseReference">
    <w:name w:val="Intense Reference"/>
    <w:basedOn w:val="DefaultParagraphFont"/>
    <w:uiPriority w:val="32"/>
    <w:qFormat/>
    <w:rsid w:val="00201A30"/>
    <w:rPr>
      <w:b/>
      <w:bCs/>
      <w:smallCaps/>
      <w:color w:val="auto"/>
      <w:spacing w:val="5"/>
      <w:u w:val="single"/>
    </w:rPr>
  </w:style>
  <w:style w:type="paragraph" w:customStyle="1" w:styleId="2ColumnHeading">
    <w:name w:val="2Column Heading"/>
    <w:basedOn w:val="BodyText"/>
    <w:qFormat/>
    <w:rsid w:val="00201A30"/>
    <w:pPr>
      <w:spacing w:after="60"/>
      <w:ind w:left="-2268"/>
    </w:pPr>
    <w:rPr>
      <w:b/>
    </w:rPr>
  </w:style>
  <w:style w:type="paragraph" w:customStyle="1" w:styleId="Heading1TOC">
    <w:name w:val="Heading1 TOC"/>
    <w:basedOn w:val="Normal"/>
    <w:qFormat/>
    <w:rsid w:val="00201A30"/>
    <w:pPr>
      <w:spacing w:before="240" w:after="120"/>
    </w:pPr>
    <w:rPr>
      <w:rFonts w:ascii="Times New Roman" w:hAnsi="Times New Roman"/>
      <w:b/>
      <w:sz w:val="32"/>
    </w:rPr>
  </w:style>
  <w:style w:type="paragraph" w:customStyle="1" w:styleId="Heading2TOC">
    <w:name w:val="Heading2 TOC"/>
    <w:basedOn w:val="Normal"/>
    <w:qFormat/>
    <w:rsid w:val="00201A30"/>
    <w:pPr>
      <w:spacing w:before="240" w:after="60"/>
    </w:pPr>
    <w:rPr>
      <w:rFonts w:ascii="Times New Roman" w:hAnsi="Times New Roman"/>
      <w:b/>
      <w:sz w:val="28"/>
    </w:rPr>
  </w:style>
  <w:style w:type="character" w:customStyle="1" w:styleId="Underline">
    <w:name w:val="Underline"/>
    <w:basedOn w:val="DefaultParagraphFont"/>
    <w:qFormat/>
    <w:rsid w:val="00201A30"/>
    <w:rPr>
      <w:u w:val="single"/>
    </w:rPr>
  </w:style>
  <w:style w:type="character" w:customStyle="1" w:styleId="BoldandItalics">
    <w:name w:val="Bold and Italics"/>
    <w:qFormat/>
    <w:rsid w:val="00201A30"/>
    <w:rPr>
      <w:b/>
      <w:i/>
      <w:u w:val="none"/>
    </w:rPr>
  </w:style>
  <w:style w:type="paragraph" w:styleId="BalloonText">
    <w:name w:val="Balloon Text"/>
    <w:basedOn w:val="Normal"/>
    <w:link w:val="BalloonTextChar"/>
    <w:rsid w:val="00201A30"/>
    <w:rPr>
      <w:rFonts w:ascii="Tahoma" w:hAnsi="Tahoma" w:cs="Tahoma"/>
      <w:sz w:val="16"/>
      <w:szCs w:val="16"/>
    </w:rPr>
  </w:style>
  <w:style w:type="character" w:customStyle="1" w:styleId="BalloonTextChar">
    <w:name w:val="Balloon Text Char"/>
    <w:basedOn w:val="DefaultParagraphFont"/>
    <w:link w:val="BalloonText"/>
    <w:rsid w:val="00201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A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A30"/>
    <w:rPr>
      <w:b/>
      <w:color w:val="660033"/>
      <w:spacing w:val="0"/>
    </w:rPr>
  </w:style>
  <w:style w:type="paragraph" w:customStyle="1" w:styleId="Nameditemlist">
    <w:name w:val="Named item list"/>
    <w:basedOn w:val="BodyText"/>
    <w:qFormat/>
    <w:rsid w:val="00201A30"/>
    <w:pPr>
      <w:tabs>
        <w:tab w:val="left" w:pos="2835"/>
      </w:tabs>
      <w:ind w:left="2835" w:hanging="2835"/>
    </w:pPr>
  </w:style>
  <w:style w:type="paragraph" w:customStyle="1" w:styleId="BodyTextnopadding">
    <w:name w:val="Body Text no padding"/>
    <w:basedOn w:val="BodyText"/>
    <w:qFormat/>
    <w:rsid w:val="00201A30"/>
    <w:pPr>
      <w:spacing w:before="0" w:after="0"/>
    </w:pPr>
  </w:style>
  <w:style w:type="paragraph" w:customStyle="1" w:styleId="BodyTextBold">
    <w:name w:val="Body Text Bold"/>
    <w:basedOn w:val="BodyText"/>
    <w:qFormat/>
    <w:rsid w:val="00201A30"/>
    <w:rPr>
      <w:b/>
    </w:rPr>
  </w:style>
  <w:style w:type="character" w:styleId="Hyperlink">
    <w:name w:val="Hyperlink"/>
    <w:basedOn w:val="DefaultParagraphFont"/>
    <w:uiPriority w:val="99"/>
    <w:unhideWhenUsed/>
    <w:rsid w:val="00343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6072</Characters>
  <Application>Microsoft Office Word</Application>
  <DocSecurity>0</DocSecurity>
  <Lines>289</Lines>
  <Paragraphs>168</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MEM05027 Perform aluminothermic welding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