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70F" w:rsidP="004D070F">
      <w:pPr>
        <w:pStyle w:val="Title"/>
      </w:pPr>
      <w:r>
        <w:fldChar w:fldCharType="begin"/>
      </w:r>
      <w:r>
        <w:instrText xml:space="preserve"> TITLE   \* MERGEFORMAT </w:instrText>
      </w:r>
      <w:r>
        <w:fldChar w:fldCharType="separate"/>
      </w:r>
      <w:r>
        <w:t>MEM05027 Perform aluminothermic welding</w:t>
      </w:r>
      <w:r>
        <w:fldChar w:fldCharType="end"/>
      </w:r>
    </w:p>
    <w:p w:rsidR="004D070F" w:rsidP="004D070F">
      <w:pPr>
        <w:pStyle w:val="Version"/>
        <w:sectPr w:rsidSect="000D2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B06" w:rsidP="000D2B06">
      <w:pPr>
        <w:pStyle w:val="SuperHeading"/>
      </w:pPr>
      <w:r w:rsidRPr="000D2B06">
        <w:t>MEM05027 Perform aluminothermic welding</w:t>
      </w:r>
    </w:p>
    <w:p w:rsidR="00000000" w:rsidRPr="000D2B06" w:rsidP="000D2B06">
      <w:pPr>
        <w:pStyle w:val="Heading1"/>
      </w:pPr>
      <w:bookmarkStart w:id="1" w:name="O_942434"/>
      <w:bookmarkEnd w:id="1"/>
      <w:r w:rsidRPr="000D2B06">
        <w:t>Modification History</w:t>
      </w:r>
    </w:p>
    <w:p w:rsidR="00000000" w:rsidRPr="000D2B06" w:rsidP="004D070F">
      <w:pPr>
        <w:pStyle w:val="BodyText"/>
      </w:pPr>
      <w:r w:rsidRPr="000D2B06">
        <w:t>Release 1. Supersedes and is equivalent to MEM05027A Perform aluminothermic welding</w:t>
      </w:r>
    </w:p>
    <w:p w:rsidR="00000000" w:rsidRPr="000D2B06" w:rsidP="000D2B06">
      <w:pPr>
        <w:pStyle w:val="Heading1"/>
      </w:pPr>
      <w:bookmarkStart w:id="2" w:name="O_942442"/>
      <w:bookmarkEnd w:id="2"/>
      <w:r w:rsidRPr="000D2B06">
        <w:t>Application</w:t>
      </w:r>
    </w:p>
    <w:p w:rsidR="00000000" w:rsidRPr="000D2B06" w:rsidP="004D070F">
      <w:pPr>
        <w:pStyle w:val="BodyText"/>
      </w:pPr>
      <w:r w:rsidRPr="000D2B06">
        <w:t>This unit of competency defines the skills and knowledge required to weld using the aluminothermic welding process. It inc</w:t>
      </w:r>
      <w:r w:rsidRPr="000D2B06">
        <w:t>ludes planning and preparing the welding method, preparing materials and the site for aluminothermic welding, carrying out the welding process in accordance with safe working/regulatory requirements and workplace procedures, checking weld conformance and c</w:t>
      </w:r>
      <w:r w:rsidRPr="000D2B06">
        <w:t>ompleting all required documentation.</w:t>
      </w:r>
    </w:p>
    <w:p w:rsidR="00000000" w:rsidRPr="000D2B06" w:rsidP="004D070F">
      <w:pPr>
        <w:pStyle w:val="BodyText"/>
      </w:pPr>
      <w:r w:rsidRPr="000D2B06">
        <w:t>This unit applies in a maintenance or site environment where the weld quality is not required to meet an Australian Standard. The aluminothermic welding process (commonly referred to as the CADWELD process) is pre-eng</w:t>
      </w:r>
      <w:r w:rsidRPr="000D2B06">
        <w:t>ineered and is used to make welded connections of copper to copper or copper to steel or other metals. It is also used for header cable taps, conductor splices and terminations, and ground rod connections, or for attaching cathodic protection leads to pipe</w:t>
      </w:r>
      <w:r w:rsidRPr="000D2B06">
        <w:t>s (steel or cast iron), tanks and structures in which no outside source of heat or power is required. A common use is to join copper cables (wire) for use in direct burial (grounding/earthing) applications.</w:t>
      </w:r>
    </w:p>
    <w:p w:rsidR="00000000" w:rsidRPr="000D2B06" w:rsidP="004D070F">
      <w:pPr>
        <w:pStyle w:val="BodyText"/>
      </w:pPr>
      <w:r w:rsidRPr="000D2B06">
        <w:t>Where the interpretation of technical drawings i</w:t>
      </w:r>
      <w:r w:rsidRPr="000D2B06">
        <w:t>s required unit MEM09002 Interpret technical drawing should also be selected.</w:t>
      </w:r>
    </w:p>
    <w:p w:rsidR="00000000" w:rsidRPr="000D2B06" w:rsidP="004D070F">
      <w:pPr>
        <w:pStyle w:val="BodyText"/>
      </w:pPr>
      <w:r w:rsidRPr="000D2B06">
        <w:t>Where the selection and use of engineering measurement is required unit MEM12023 Perform engineering measurements should also be selected.</w:t>
      </w:r>
    </w:p>
    <w:p w:rsidR="00000000" w:rsidRPr="000D2B06" w:rsidP="004D070F">
      <w:pPr>
        <w:pStyle w:val="BodyText"/>
      </w:pPr>
      <w:r w:rsidRPr="000D2B06">
        <w:t xml:space="preserve">Where the selection and use of tools </w:t>
      </w:r>
      <w:r w:rsidRPr="000D2B06">
        <w:t>is required unit MEM18001 Use hand tools and unit MEM18002 Use power tools/hand held operations, should also be selected as appropriate.</w:t>
      </w:r>
    </w:p>
    <w:p w:rsidR="00000000" w:rsidRPr="000D2B06" w:rsidP="004D070F">
      <w:pPr>
        <w:pStyle w:val="BodyText"/>
      </w:pPr>
      <w:r w:rsidRPr="000D2B06">
        <w:t>Work may be undertaken in the field/on-site (as distinct from a production/manufacturing facility) and may be undertak</w:t>
      </w:r>
      <w:r w:rsidRPr="000D2B06">
        <w:t>en in a trench. In those situations, MSMOPS363 Organise on-site work, for work on site and MSMPER205 Enter confined space, for work in a trench should also be selected as appropriate. Work will often be undertaken under a permit to work system in which cas</w:t>
      </w:r>
      <w:r w:rsidRPr="000D2B06">
        <w:t>e MSMPER200 Work in accordance with an issued permit and possibly other related permit units should also be selected as appropriate.</w:t>
      </w:r>
    </w:p>
    <w:p w:rsidR="00000000" w:rsidRPr="000D2B06" w:rsidP="004D070F">
      <w:pPr>
        <w:pStyle w:val="BodyText"/>
      </w:pPr>
      <w:r w:rsidRPr="000D2B06">
        <w:t>Where the aluminothermic welding process is required for rail track welding, TLIW3015 Weld rail using aluminothermic weldi</w:t>
      </w:r>
      <w:r w:rsidRPr="000D2B06">
        <w:t>ng process should be selected from the TLI Transport and Logistics Training Package.</w:t>
      </w:r>
    </w:p>
    <w:p w:rsidR="00000000" w:rsidRPr="000D2B06" w:rsidP="004D070F">
      <w:pPr>
        <w:pStyle w:val="BodyText"/>
      </w:pPr>
      <w:r w:rsidRPr="000D2B06">
        <w:t>No licensing, legislative or certification requirements apply to this unit at the time of publication.</w:t>
      </w:r>
    </w:p>
    <w:p w:rsidR="00000000" w:rsidRPr="000D2B06" w:rsidP="000D2B06">
      <w:pPr>
        <w:pStyle w:val="BodyText"/>
      </w:pPr>
      <w:r w:rsidRPr="000D2B06">
        <w:rPr>
          <w:rStyle w:val="SpecialBold"/>
        </w:rPr>
        <w:t>Band:</w:t>
      </w:r>
      <w:r w:rsidRPr="000D2B06">
        <w:rPr>
          <w:rStyle w:val="SpecialBold"/>
        </w:rPr>
        <w:tab/>
        <w:t>A</w:t>
      </w:r>
    </w:p>
    <w:p w:rsidR="00000000" w:rsidRPr="000D2B06" w:rsidP="000D2B06">
      <w:pPr>
        <w:pStyle w:val="BodyText"/>
      </w:pPr>
      <w:r w:rsidRPr="000D2B06">
        <w:rPr>
          <w:rStyle w:val="SpecialBold"/>
        </w:rPr>
        <w:t>Unit Weight:</w:t>
      </w:r>
      <w:r w:rsidRPr="000D2B06">
        <w:rPr>
          <w:rStyle w:val="SpecialBold"/>
        </w:rPr>
        <w:tab/>
        <w:t>2</w:t>
      </w:r>
    </w:p>
    <w:p w:rsidR="00000000" w:rsidRPr="000D2B06" w:rsidP="000D2B06">
      <w:pPr>
        <w:pStyle w:val="AllowPageBreak"/>
      </w:pPr>
    </w:p>
    <w:p w:rsidR="00000000" w:rsidRPr="000D2B06" w:rsidP="000D2B06">
      <w:pPr>
        <w:pStyle w:val="Heading1"/>
      </w:pPr>
      <w:bookmarkStart w:id="3" w:name="O_942441"/>
      <w:bookmarkEnd w:id="3"/>
      <w:r w:rsidRPr="000D2B06">
        <w:t>Pre-requisite Unit</w:t>
      </w:r>
    </w:p>
    <w:tbl>
      <w:tblPr>
        <w:tblW w:w="0" w:type="auto"/>
        <w:tblLayout w:type="fixed"/>
        <w:tblCellMar>
          <w:left w:w="62" w:type="dxa"/>
          <w:right w:w="62" w:type="dxa"/>
        </w:tblCellMar>
        <w:tblLook w:val="0000"/>
      </w:tblPr>
      <w:tblGrid>
        <w:gridCol w:w="1757"/>
        <w:gridCol w:w="5713"/>
      </w:tblGrid>
      <w:tr w:rsidTr="000D2B06">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MEM1101</w:t>
            </w:r>
            <w:r w:rsidRPr="000D2B06">
              <w:t>1</w:t>
            </w:r>
          </w:p>
        </w:tc>
        <w:tc>
          <w:tcPr>
            <w:tcW w:w="5713"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Undertake manual handling</w:t>
            </w:r>
          </w:p>
        </w:tc>
      </w:tr>
      <w:tr w:rsidTr="000D2B06">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MEM13015</w:t>
            </w:r>
          </w:p>
        </w:tc>
        <w:tc>
          <w:tcPr>
            <w:tcW w:w="5713"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Work safely and effectively in manufacturing and engineering</w:t>
            </w:r>
          </w:p>
        </w:tc>
      </w:tr>
      <w:tr w:rsidTr="000D2B06">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MEM16006</w:t>
            </w:r>
          </w:p>
        </w:tc>
        <w:tc>
          <w:tcPr>
            <w:tcW w:w="5713"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Organise and communicate information</w:t>
            </w:r>
          </w:p>
        </w:tc>
      </w:tr>
    </w:tbl>
    <w:p w:rsidR="00000000" w:rsidRPr="000D2B06" w:rsidP="000D2B06">
      <w:pPr>
        <w:pStyle w:val="BodyText"/>
      </w:pPr>
    </w:p>
    <w:p w:rsidR="00000000" w:rsidRPr="000D2B06" w:rsidP="000D2B06">
      <w:pPr>
        <w:pStyle w:val="AllowPageBreak"/>
      </w:pPr>
    </w:p>
    <w:p w:rsidR="00000000" w:rsidRPr="000D2B06" w:rsidP="000D2B06">
      <w:pPr>
        <w:pStyle w:val="Heading1"/>
      </w:pPr>
      <w:bookmarkStart w:id="4" w:name="O_942440"/>
      <w:bookmarkEnd w:id="4"/>
      <w:r w:rsidRPr="000D2B06">
        <w:t>Competency Field</w:t>
      </w:r>
    </w:p>
    <w:p w:rsidR="00000000" w:rsidRPr="000D2B06" w:rsidP="004D070F">
      <w:pPr>
        <w:pStyle w:val="BodyText"/>
      </w:pPr>
      <w:r w:rsidRPr="000D2B06">
        <w:t>Fabrication</w:t>
      </w:r>
    </w:p>
    <w:p w:rsidR="00000000" w:rsidRPr="000D2B06" w:rsidP="000D2B06">
      <w:pPr>
        <w:pStyle w:val="Heading1"/>
      </w:pPr>
      <w:bookmarkStart w:id="5" w:name="O_942438"/>
      <w:bookmarkEnd w:id="5"/>
      <w:r w:rsidRPr="000D2B0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D2B0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Performance criteria describe the performance needed to demonstrate achievement of the element.</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1</w:t>
            </w:r>
          </w:p>
        </w:tc>
        <w:tc>
          <w:tcPr>
            <w:tcW w:w="1986" w:type="dxa"/>
            <w:vMerge w:val="restart"/>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1.1</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Follow standard operating procedures (SOPs)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1.2</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Comply with work health and safety (WHS) requirements at all times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1.3</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Use appropriate personal protective equipment (PPE) in accordance with SOPs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1.4</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Identify job requirements from specifications, sketches, job sheets or work instructions</w:t>
            </w:r>
          </w:p>
        </w:tc>
      </w:tr>
      <w:tr w:rsidTr="000D2B0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2</w:t>
            </w:r>
          </w:p>
        </w:tc>
        <w:tc>
          <w:tcPr>
            <w:tcW w:w="1986" w:type="dxa"/>
            <w:vMerge w:val="restart"/>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 xml:space="preserve">Prepare and plan </w:t>
            </w:r>
            <w:r w:rsidRPr="000D2B06">
              <w:rPr>
                <w:rStyle w:val="SpecialBold"/>
              </w:rPr>
              <w:t>for welding</w:t>
            </w: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2.1</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 xml:space="preserve">Identify weld requirements from job instructions </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2.2</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 xml:space="preserve">Obtain permits and other required authorities </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2.3</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Identify site and job hazards and implement appropriate hazard control measures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2.4</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Complete pre-site preparations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2.5</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Identify the locations of welds and assess in accordance with SOPs and specifications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2.6</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Clean and prepare surfaces ready for welding</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2.7</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Clear site of obstructions and combustible material to minimise risk of a</w:t>
            </w:r>
            <w:r w:rsidRPr="000D2B06">
              <w:t>ccidents and fire</w:t>
            </w:r>
          </w:p>
        </w:tc>
      </w:tr>
      <w:tr w:rsidTr="000D2B0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3</w:t>
            </w:r>
          </w:p>
        </w:tc>
        <w:tc>
          <w:tcPr>
            <w:tcW w:w="1986" w:type="dxa"/>
            <w:vMerge w:val="restart"/>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Prepare equipment for welding</w:t>
            </w: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3.1</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 xml:space="preserve">Set up welding equipment </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3.2</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Select consumables to suit application</w:t>
            </w:r>
          </w:p>
        </w:tc>
      </w:tr>
      <w:tr w:rsidTr="000D2B0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4</w:t>
            </w:r>
          </w:p>
        </w:tc>
        <w:tc>
          <w:tcPr>
            <w:tcW w:w="1986" w:type="dxa"/>
            <w:vMerge w:val="restart"/>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Perform aluminothermic welding</w:t>
            </w: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4.1</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Apply safe welding practices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4.2</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Ensure moulds are fitted and shimmed, sleeved or sealed, as required</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4.3</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Pre-heat materials to standard</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4.4</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Ensure materials are welded using aluminothermic method in accordance with approved procedures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4.5</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 xml:space="preserve">Clean welds </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4.6</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 xml:space="preserve">Clean and inspect mould </w:t>
            </w:r>
          </w:p>
        </w:tc>
      </w:tr>
      <w:tr w:rsidTr="000D2B0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5</w:t>
            </w:r>
          </w:p>
        </w:tc>
        <w:tc>
          <w:tcPr>
            <w:tcW w:w="1986" w:type="dxa"/>
            <w:vMerge w:val="restart"/>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Complete documentation</w:t>
            </w: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5.1</w:t>
            </w:r>
          </w:p>
        </w:tc>
        <w:tc>
          <w:tcPr>
            <w:tcW w:w="5678"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Assess weld conformance in accordance with specifications</w:t>
            </w:r>
          </w:p>
        </w:tc>
      </w:tr>
      <w:tr w:rsidTr="000D2B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5.2</w:t>
            </w:r>
          </w:p>
        </w:tc>
        <w:tc>
          <w:tcPr>
            <w:tcW w:w="5678" w:type="dxa"/>
            <w:tcBorders>
              <w:top w:val="nil"/>
              <w:left w:val="nil"/>
              <w:bottom w:val="nil"/>
              <w:right w:val="nil"/>
            </w:tcBorders>
            <w:tcMar>
              <w:top w:w="0" w:type="dxa"/>
              <w:left w:w="62" w:type="dxa"/>
              <w:bottom w:w="0" w:type="dxa"/>
              <w:right w:w="62" w:type="dxa"/>
            </w:tcMar>
          </w:tcPr>
          <w:p w:rsidR="00000000" w:rsidRPr="000D2B06" w:rsidP="000D2B06">
            <w:pPr>
              <w:pStyle w:val="BodyText"/>
            </w:pPr>
            <w:r w:rsidRPr="000D2B06">
              <w:t>Complete required reports, documentation and/or records in accordance with workplace requirements</w:t>
            </w:r>
          </w:p>
        </w:tc>
      </w:tr>
    </w:tbl>
    <w:p w:rsidR="00000000" w:rsidRPr="000D2B06" w:rsidP="000D2B06">
      <w:pPr>
        <w:pStyle w:val="BodyText"/>
      </w:pPr>
    </w:p>
    <w:p w:rsidR="00000000" w:rsidRPr="000D2B06" w:rsidP="000D2B06">
      <w:pPr>
        <w:pStyle w:val="AllowPageBreak"/>
      </w:pPr>
    </w:p>
    <w:p w:rsidR="00000000" w:rsidRPr="000D2B06" w:rsidP="000D2B06">
      <w:pPr>
        <w:pStyle w:val="Heading1"/>
      </w:pPr>
      <w:bookmarkStart w:id="6" w:name="O_942437"/>
      <w:bookmarkEnd w:id="6"/>
      <w:r w:rsidRPr="000D2B06">
        <w:t>Foundation Skills</w:t>
      </w:r>
    </w:p>
    <w:p w:rsidR="00000000" w:rsidRPr="000D2B06" w:rsidP="004D070F">
      <w:pPr>
        <w:pStyle w:val="BodyText"/>
      </w:pPr>
      <w:r w:rsidRPr="000D2B06">
        <w:t xml:space="preserve">This section describes those required skills (reading, writing, oral communication and numeracy) that are essential to workplace performance in this unit of competency.  </w:t>
      </w:r>
    </w:p>
    <w:p w:rsidR="00000000" w:rsidRPr="000D2B06" w:rsidP="004D070F">
      <w:pPr>
        <w:pStyle w:val="BodyText"/>
      </w:pPr>
      <w:r w:rsidRPr="000D2B06">
        <w:t>Fo</w:t>
      </w:r>
      <w:r w:rsidRPr="000D2B06">
        <w:t>undation skills essential to performance are explicit in the performance criteria of this unit of competency.</w:t>
      </w:r>
    </w:p>
    <w:p w:rsidR="00000000" w:rsidRPr="000D2B06" w:rsidP="000D2B06">
      <w:pPr>
        <w:pStyle w:val="Heading1"/>
      </w:pPr>
      <w:bookmarkStart w:id="7" w:name="O_942436"/>
      <w:bookmarkEnd w:id="7"/>
      <w:r w:rsidRPr="000D2B06">
        <w:t>Range of Conditions</w:t>
      </w:r>
    </w:p>
    <w:tbl>
      <w:tblPr>
        <w:tblW w:w="0" w:type="auto"/>
        <w:tblLayout w:type="fixed"/>
        <w:tblCellMar>
          <w:left w:w="62" w:type="dxa"/>
          <w:right w:w="62" w:type="dxa"/>
        </w:tblCellMar>
        <w:tblLook w:val="0000"/>
      </w:tblPr>
      <w:tblGrid>
        <w:gridCol w:w="2760"/>
        <w:gridCol w:w="6382"/>
      </w:tblGrid>
      <w:tr w:rsidTr="000D2B0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t>This field allows for different work environments and conditions that may affect performance. Essential opera</w:t>
            </w:r>
            <w:r w:rsidRPr="000D2B06">
              <w:t>ting conditions that may be present (depending on the work situation, needs of the candidate, accessibility of the item, and local industry and regional contexts) are included.</w:t>
            </w: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Work environment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restricted space</w:t>
            </w:r>
            <w:r w:rsidRPr="000D2B06">
              <w:t>s</w:t>
            </w:r>
          </w:p>
          <w:p w:rsidR="00000000" w:rsidRPr="000D2B06" w:rsidP="000D2B06">
            <w:pPr>
              <w:pStyle w:val="ListBullet"/>
            </w:pPr>
            <w:r w:rsidRPr="000D2B06">
              <w:t>exposed conditions</w:t>
            </w:r>
          </w:p>
          <w:p w:rsidR="00000000" w:rsidRPr="000D2B06" w:rsidP="000D2B06">
            <w:pPr>
              <w:pStyle w:val="ListBullet"/>
            </w:pPr>
            <w:r w:rsidRPr="000D2B06">
              <w:t>controlled or open environments</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Pre-site preparations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checking all required equipment and materials</w:t>
            </w:r>
          </w:p>
          <w:p w:rsidR="00000000" w:rsidRPr="000D2B06" w:rsidP="000D2B06">
            <w:pPr>
              <w:pStyle w:val="ListBullet"/>
            </w:pPr>
            <w:r w:rsidRPr="000D2B06">
              <w:t>identifying required personal protective equipment</w:t>
            </w:r>
          </w:p>
          <w:p w:rsidR="00000000" w:rsidRPr="000D2B06" w:rsidP="000D2B06">
            <w:pPr>
              <w:pStyle w:val="ListBullet"/>
            </w:pPr>
            <w:r w:rsidRPr="000D2B06">
              <w:t>loading all requirements for the job</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Materials to be joined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common steel</w:t>
            </w:r>
          </w:p>
          <w:p w:rsidR="00000000" w:rsidRPr="000D2B06" w:rsidP="000D2B06">
            <w:pPr>
              <w:pStyle w:val="ListBullet"/>
            </w:pPr>
            <w:r w:rsidRPr="000D2B06">
              <w:t>copper-clad steel</w:t>
            </w:r>
          </w:p>
          <w:p w:rsidR="00000000" w:rsidRPr="000D2B06" w:rsidP="000D2B06">
            <w:pPr>
              <w:pStyle w:val="ListBullet"/>
            </w:pPr>
            <w:r w:rsidRPr="000D2B06">
              <w:t>Columbium</w:t>
            </w:r>
          </w:p>
          <w:p w:rsidR="00000000" w:rsidRPr="000D2B06" w:rsidP="000D2B06">
            <w:pPr>
              <w:pStyle w:val="ListBullet"/>
            </w:pPr>
            <w:r w:rsidRPr="000D2B06">
              <w:t>Niobium</w:t>
            </w:r>
          </w:p>
          <w:p w:rsidR="00000000" w:rsidRPr="000D2B06" w:rsidP="000D2B06">
            <w:pPr>
              <w:pStyle w:val="ListBullet"/>
            </w:pPr>
            <w:r w:rsidRPr="000D2B06">
              <w:t>brass</w:t>
            </w:r>
          </w:p>
          <w:p w:rsidR="00000000" w:rsidRPr="000D2B06" w:rsidP="000D2B06">
            <w:pPr>
              <w:pStyle w:val="ListBullet"/>
            </w:pPr>
            <w:r w:rsidRPr="000D2B06">
              <w:t>wrought iron</w:t>
            </w:r>
          </w:p>
          <w:p w:rsidR="00000000" w:rsidRPr="000D2B06" w:rsidP="000D2B06">
            <w:pPr>
              <w:pStyle w:val="ListBullet"/>
            </w:pPr>
            <w:r w:rsidRPr="000D2B06">
              <w:t>stainless steel</w:t>
            </w:r>
          </w:p>
          <w:p w:rsidR="00000000" w:rsidRPr="000D2B06" w:rsidP="000D2B06">
            <w:pPr>
              <w:pStyle w:val="ListBullet"/>
            </w:pPr>
            <w:r w:rsidRPr="000D2B06">
              <w:t>cast iron</w:t>
            </w:r>
          </w:p>
          <w:p w:rsidR="00000000" w:rsidRPr="000D2B06" w:rsidP="000D2B06">
            <w:pPr>
              <w:pStyle w:val="ListBullet"/>
            </w:pPr>
            <w:r w:rsidRPr="000D2B06">
              <w:t>galvanised and bethanised steel</w:t>
            </w:r>
          </w:p>
          <w:p w:rsidR="00000000" w:rsidRPr="000D2B06" w:rsidP="000D2B06">
            <w:pPr>
              <w:pStyle w:val="ListBullet"/>
            </w:pPr>
            <w:r w:rsidRPr="000D2B06">
              <w:t>bronze</w:t>
            </w:r>
          </w:p>
          <w:p w:rsidR="00000000" w:rsidRPr="000D2B06" w:rsidP="000D2B06">
            <w:pPr>
              <w:pStyle w:val="ListBullet"/>
            </w:pPr>
            <w:r w:rsidRPr="000D2B06">
              <w:t>silicon bronze</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Assessment of weld locations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proximity to existing welds or repairs</w:t>
            </w:r>
          </w:p>
          <w:p w:rsidR="00000000" w:rsidRPr="000D2B06" w:rsidP="000D2B06">
            <w:pPr>
              <w:pStyle w:val="ListBullet"/>
            </w:pPr>
            <w:r w:rsidRPr="000D2B06">
              <w:t>substrate integrity issues</w:t>
            </w:r>
          </w:p>
          <w:p w:rsidR="00000000" w:rsidRPr="000D2B06" w:rsidP="000D2B06">
            <w:pPr>
              <w:pStyle w:val="ListBullet"/>
            </w:pPr>
            <w:r w:rsidRPr="000D2B06">
              <w:t>preparation of pre-qualification samples</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Weld consumables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 xml:space="preserve">aluminothermic </w:t>
            </w:r>
            <w:r w:rsidRPr="000D2B06">
              <w:t>powder</w:t>
            </w:r>
          </w:p>
          <w:p w:rsidR="00000000" w:rsidRPr="000D2B06" w:rsidP="000D2B06">
            <w:pPr>
              <w:pStyle w:val="ListBullet"/>
            </w:pPr>
            <w:r w:rsidRPr="000D2B06">
              <w:t xml:space="preserve">starting powder </w:t>
            </w:r>
          </w:p>
          <w:p w:rsidR="00000000" w:rsidRPr="000D2B06" w:rsidP="000D2B06">
            <w:pPr>
              <w:pStyle w:val="ListBullet"/>
            </w:pPr>
            <w:r w:rsidRPr="000D2B06">
              <w:t>metallic disc</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Equipment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mould</w:t>
            </w:r>
          </w:p>
          <w:p w:rsidR="00000000" w:rsidRPr="000D2B06" w:rsidP="000D2B06">
            <w:pPr>
              <w:pStyle w:val="ListBullet"/>
            </w:pPr>
            <w:r w:rsidRPr="000D2B06">
              <w:t>lute (sealant)</w:t>
            </w:r>
          </w:p>
          <w:p w:rsidR="00000000" w:rsidRPr="000D2B06" w:rsidP="000D2B06">
            <w:pPr>
              <w:pStyle w:val="ListBullet"/>
            </w:pPr>
            <w:r w:rsidRPr="000D2B06">
              <w:t>ignition source</w:t>
            </w:r>
          </w:p>
          <w:p w:rsidR="00000000" w:rsidRPr="000D2B06" w:rsidP="000D2B06">
            <w:pPr>
              <w:pStyle w:val="ListBullet"/>
            </w:pPr>
            <w:r w:rsidRPr="000D2B06">
              <w:t>handle clamps</w:t>
            </w:r>
          </w:p>
          <w:p w:rsidR="00000000" w:rsidRPr="000D2B06" w:rsidP="000D2B06">
            <w:pPr>
              <w:pStyle w:val="ListBullet"/>
            </w:pPr>
            <w:r w:rsidRPr="000D2B06">
              <w:t>wire brush</w:t>
            </w:r>
          </w:p>
          <w:p w:rsidR="00000000" w:rsidRPr="000D2B06" w:rsidP="000D2B06">
            <w:pPr>
              <w:pStyle w:val="ListBullet"/>
            </w:pPr>
            <w:r w:rsidRPr="000D2B06">
              <w:t>mould scraper</w:t>
            </w:r>
          </w:p>
          <w:p w:rsidR="00000000" w:rsidRPr="000D2B06" w:rsidP="000D2B06">
            <w:pPr>
              <w:pStyle w:val="ListBullet"/>
            </w:pPr>
            <w:r w:rsidRPr="000D2B06">
              <w:t>gas pre-heating/cutting equipment</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PPE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high visibility clothing</w:t>
            </w:r>
          </w:p>
          <w:p w:rsidR="00000000" w:rsidRPr="000D2B06" w:rsidP="000D2B06">
            <w:pPr>
              <w:pStyle w:val="ListBullet"/>
            </w:pPr>
            <w:r w:rsidRPr="000D2B06">
              <w:t>fire retardant overalls or long sleeved shirts and long pants</w:t>
            </w:r>
          </w:p>
          <w:p w:rsidR="00000000" w:rsidRPr="000D2B06" w:rsidP="000D2B06">
            <w:pPr>
              <w:pStyle w:val="ListBullet"/>
            </w:pPr>
            <w:r w:rsidRPr="000D2B06">
              <w:t>hearing protection</w:t>
            </w:r>
          </w:p>
          <w:p w:rsidR="00000000" w:rsidRPr="000D2B06" w:rsidP="000D2B06">
            <w:pPr>
              <w:pStyle w:val="ListBullet"/>
            </w:pPr>
            <w:r w:rsidRPr="000D2B06">
              <w:t>gauntlet type gloves</w:t>
            </w:r>
          </w:p>
          <w:p w:rsidR="00000000" w:rsidRPr="000D2B06" w:rsidP="000D2B06">
            <w:pPr>
              <w:pStyle w:val="ListBullet"/>
            </w:pPr>
            <w:r w:rsidRPr="000D2B06">
              <w:t>welding goggles</w:t>
            </w:r>
          </w:p>
          <w:p w:rsidR="00000000" w:rsidRPr="000D2B06" w:rsidP="000D2B06">
            <w:pPr>
              <w:pStyle w:val="ListBullet"/>
            </w:pPr>
            <w:r w:rsidRPr="000D2B06">
              <w:t>safety glasses</w:t>
            </w:r>
          </w:p>
          <w:p w:rsidR="00000000" w:rsidRPr="000D2B06" w:rsidP="000D2B06">
            <w:pPr>
              <w:pStyle w:val="ListBullet"/>
            </w:pPr>
            <w:r w:rsidRPr="000D2B06">
              <w:t>safety headwear</w:t>
            </w:r>
          </w:p>
          <w:p w:rsidR="00000000" w:rsidRPr="000D2B06" w:rsidP="000D2B06">
            <w:pPr>
              <w:pStyle w:val="ListBullet"/>
            </w:pPr>
            <w:r w:rsidRPr="000D2B06">
              <w:t>safety footwear</w:t>
            </w:r>
          </w:p>
          <w:p w:rsidR="00000000" w:rsidRPr="000D2B06" w:rsidP="000D2B06">
            <w:pPr>
              <w:pStyle w:val="ListBullet"/>
            </w:pPr>
            <w:r w:rsidRPr="000D2B06">
              <w:t>portable radios/mobile phones</w:t>
            </w:r>
          </w:p>
          <w:p w:rsidR="00000000" w:rsidRPr="000D2B06" w:rsidP="000D2B06">
            <w:pPr>
              <w:pStyle w:val="ListBullet"/>
            </w:pPr>
            <w:r w:rsidRPr="000D2B06">
              <w:t>other safety devices</w:t>
            </w:r>
          </w:p>
          <w:p w:rsidR="00000000" w:rsidP="000D2B06">
            <w:pPr>
              <w:pStyle w:val="BodyText"/>
              <w:rPr>
                <w:lang w:val="en-NZ"/>
              </w:rPr>
            </w:pPr>
          </w:p>
        </w:tc>
      </w:tr>
      <w:tr w:rsidTr="000D2B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06">
            <w:pPr>
              <w:pStyle w:val="BodyText"/>
              <w:rPr>
                <w:lang w:val="en-NZ"/>
              </w:rPr>
            </w:pPr>
            <w:r w:rsidRPr="000D2B06">
              <w:rPr>
                <w:rStyle w:val="SpecialBold"/>
              </w:rPr>
              <w:t>Procedures an</w:t>
            </w:r>
            <w:r w:rsidRPr="000D2B06">
              <w:rPr>
                <w:rStyle w:val="SpecialBold"/>
              </w:rPr>
              <w:t>d codes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D2B06" w:rsidP="000D2B06">
            <w:pPr>
              <w:pStyle w:val="ListBullet"/>
            </w:pPr>
            <w:r w:rsidRPr="000D2B06">
              <w:t>relevant state/territory WHS legislation together with any nationally approved compliance codes and/or guidelines</w:t>
            </w:r>
          </w:p>
          <w:p w:rsidR="00000000" w:rsidRPr="000D2B06" w:rsidP="000D2B06">
            <w:pPr>
              <w:pStyle w:val="ListBullet"/>
            </w:pPr>
            <w:r w:rsidRPr="000D2B06">
              <w:t>relevant state/territory environmental protection requirements</w:t>
            </w:r>
          </w:p>
          <w:p w:rsidR="00000000" w:rsidRPr="000D2B06" w:rsidP="000D2B06">
            <w:pPr>
              <w:pStyle w:val="ListBullet"/>
            </w:pPr>
            <w:r w:rsidRPr="000D2B06">
              <w:t>legislation</w:t>
            </w:r>
          </w:p>
          <w:p w:rsidR="00000000" w:rsidRPr="000D2B06" w:rsidP="000D2B06">
            <w:pPr>
              <w:pStyle w:val="ListBullet"/>
            </w:pPr>
            <w:r w:rsidRPr="000D2B06">
              <w:t>relevant fire regulations</w:t>
            </w:r>
          </w:p>
        </w:tc>
      </w:tr>
    </w:tbl>
    <w:p w:rsidR="00000000" w:rsidRPr="000D2B06" w:rsidP="000D2B06">
      <w:pPr>
        <w:pStyle w:val="BodyText"/>
      </w:pPr>
    </w:p>
    <w:p w:rsidR="00000000" w:rsidRPr="000D2B06" w:rsidP="000D2B06">
      <w:pPr>
        <w:pStyle w:val="AllowPageBreak"/>
      </w:pPr>
    </w:p>
    <w:p w:rsidR="00000000" w:rsidRPr="000D2B06" w:rsidP="000D2B06">
      <w:pPr>
        <w:pStyle w:val="Heading1"/>
      </w:pPr>
      <w:bookmarkStart w:id="8" w:name="O_942435"/>
      <w:bookmarkEnd w:id="8"/>
      <w:r w:rsidRPr="000D2B06">
        <w:t>Unit Mapping Information</w:t>
      </w:r>
    </w:p>
    <w:p w:rsidR="00000000" w:rsidRPr="000D2B06" w:rsidP="004D070F">
      <w:pPr>
        <w:pStyle w:val="BodyText"/>
      </w:pPr>
      <w:r w:rsidRPr="000D2B06">
        <w:t>Release 1. Supersedes and is equivalent to MEM05027A Perform aluminothermic welding</w:t>
      </w:r>
    </w:p>
    <w:p w:rsidR="00000000" w:rsidRPr="000D2B06" w:rsidP="000D2B06">
      <w:pPr>
        <w:pStyle w:val="Heading1"/>
      </w:pPr>
      <w:bookmarkStart w:id="9" w:name="O_942428"/>
      <w:bookmarkEnd w:id="9"/>
      <w:r w:rsidRPr="000D2B06">
        <w:t>Links</w:t>
      </w:r>
    </w:p>
    <w:p w:rsidR="00000000" w:rsidRPr="000D2B06" w:rsidP="004D070F">
      <w:pPr>
        <w:pStyle w:val="BodyText"/>
      </w:pPr>
      <w:r w:rsidRPr="000D2B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D6F46">
        <w:rPr>
          <w:rStyle w:val="Hyperlink"/>
        </w:rPr>
        <w:t>https://vetnet.gov.au/Pages/TrainingDocs.aspx?q=b7050d37-5fd0-4740-8f7d-3b7a49c10bb2</w:t>
      </w:r>
      <w:r>
        <w:fldChar w:fldCharType="end"/>
      </w:r>
    </w:p>
    <w:p w:rsidR="00000000" w:rsidRPr="000D2B06" w:rsidP="004D070F">
      <w:pPr>
        <w:pStyle w:val="BodyText"/>
        <w:sectPr w:rsidSect="000D2B06">
          <w:headerReference w:type="default" r:id="rId10"/>
          <w:footerReference w:type="default" r:id="rId11"/>
          <w:pgSz w:w="11908" w:h="16833"/>
          <w:pgMar w:top="1702" w:right="1418" w:bottom="1702" w:left="1418" w:header="992" w:footer="992" w:gutter="0"/>
          <w:cols w:space="720"/>
          <w:noEndnote/>
          <w:docGrid w:linePitch="299"/>
        </w:sectPr>
      </w:pPr>
    </w:p>
    <w:p w:rsidR="00000000" w:rsidRPr="000D2B06" w:rsidP="000D2B06">
      <w:pPr>
        <w:pStyle w:val="SuperHeading"/>
      </w:pPr>
      <w:r w:rsidRPr="000D2B06">
        <w:t>Assessment Requirements for MEM05027 Perform aluminothermic welding</w:t>
      </w:r>
    </w:p>
    <w:p w:rsidR="00000000" w:rsidRPr="000D2B06" w:rsidP="000D2B06">
      <w:pPr>
        <w:pStyle w:val="Heading1"/>
      </w:pPr>
      <w:bookmarkStart w:id="10" w:name="O_942430"/>
      <w:bookmarkEnd w:id="10"/>
      <w:r w:rsidRPr="000D2B06">
        <w:t>Modification History</w:t>
      </w:r>
    </w:p>
    <w:p w:rsidR="00000000" w:rsidRPr="000D2B06" w:rsidP="004D070F">
      <w:pPr>
        <w:pStyle w:val="BodyText"/>
      </w:pPr>
      <w:r w:rsidRPr="000D2B06">
        <w:t>Release 1. Supersedes and is equivalent to MEM05027A Perform aluminothermic welding</w:t>
      </w:r>
    </w:p>
    <w:p w:rsidR="00000000" w:rsidRPr="000D2B06" w:rsidP="000D2B06">
      <w:pPr>
        <w:pStyle w:val="Heading1"/>
      </w:pPr>
      <w:bookmarkStart w:id="11" w:name="O_942433"/>
      <w:bookmarkEnd w:id="11"/>
      <w:r w:rsidRPr="000D2B06">
        <w:t>Performance Evidence</w:t>
      </w:r>
    </w:p>
    <w:p w:rsidR="00000000" w:rsidRPr="000D2B06" w:rsidP="004D070F">
      <w:pPr>
        <w:pStyle w:val="BodyText"/>
      </w:pPr>
      <w:r w:rsidRPr="000D2B06">
        <w:t>Evidence required to demonstrate competence in this unit must be relevant to and satisfy the requirements of the elements and performa</w:t>
      </w:r>
      <w:r w:rsidRPr="000D2B06">
        <w:t>nce criteria on at least two (2) occasions and include:</w:t>
      </w:r>
    </w:p>
    <w:p w:rsidR="00000000" w:rsidRPr="000D2B06" w:rsidP="000D2B06">
      <w:pPr>
        <w:pStyle w:val="ListBullet"/>
      </w:pPr>
      <w:r w:rsidRPr="000D2B06">
        <w:t xml:space="preserve">following work instructions, standard operating procedures (SOPs) and safe work practices </w:t>
      </w:r>
    </w:p>
    <w:p w:rsidR="00000000" w:rsidRPr="000D2B06" w:rsidP="000D2B06">
      <w:pPr>
        <w:pStyle w:val="ListBullet"/>
      </w:pPr>
      <w:r w:rsidRPr="000D2B06">
        <w:t>identifying and interpreting specifications from sketches, sketches and verbal or written job instructions f</w:t>
      </w:r>
      <w:r w:rsidRPr="000D2B06">
        <w:t xml:space="preserve">or aluminothermic welding, including location of welds </w:t>
      </w:r>
    </w:p>
    <w:p w:rsidR="00000000" w:rsidRPr="000D2B06" w:rsidP="000D2B06">
      <w:pPr>
        <w:pStyle w:val="ListBullet"/>
      </w:pPr>
      <w:r w:rsidRPr="000D2B06">
        <w:t xml:space="preserve">preparing site for welding by obtaining appropriate permits, identifying site/job hazards and implementing hazard control measures and assessing weld location </w:t>
      </w:r>
    </w:p>
    <w:p w:rsidR="00000000" w:rsidRPr="000D2B06" w:rsidP="000D2B06">
      <w:pPr>
        <w:pStyle w:val="ListBullet"/>
      </w:pPr>
      <w:r w:rsidRPr="000D2B06">
        <w:t>selecting and setting up welding equipme</w:t>
      </w:r>
      <w:r w:rsidRPr="000D2B06">
        <w:t xml:space="preserve">nt and consumables </w:t>
      </w:r>
    </w:p>
    <w:p w:rsidR="00000000" w:rsidRPr="000D2B06" w:rsidP="000D2B06">
      <w:pPr>
        <w:pStyle w:val="ListBullet"/>
      </w:pPr>
      <w:r w:rsidRPr="000D2B06">
        <w:t>welding materials consistently to specification</w:t>
      </w:r>
    </w:p>
    <w:p w:rsidR="00000000" w:rsidRPr="000D2B06" w:rsidP="000D2B06">
      <w:pPr>
        <w:pStyle w:val="ListBullet"/>
      </w:pPr>
      <w:r w:rsidRPr="000D2B06">
        <w:t>cleaning and inspecting welds for conformance in accordance with SOPs and completing records.</w:t>
      </w:r>
    </w:p>
    <w:p w:rsidR="00000000" w:rsidRPr="000D2B06" w:rsidP="000D2B06">
      <w:pPr>
        <w:pStyle w:val="AllowPageBreak"/>
      </w:pPr>
    </w:p>
    <w:p w:rsidR="00000000" w:rsidRPr="000D2B06" w:rsidP="000D2B06">
      <w:pPr>
        <w:pStyle w:val="Heading1"/>
      </w:pPr>
      <w:bookmarkStart w:id="12" w:name="O_942432"/>
      <w:bookmarkEnd w:id="12"/>
      <w:r w:rsidRPr="000D2B06">
        <w:t>Knowledge Evidence</w:t>
      </w:r>
    </w:p>
    <w:p w:rsidR="00000000" w:rsidRPr="000D2B06" w:rsidP="004D070F">
      <w:pPr>
        <w:pStyle w:val="BodyText"/>
      </w:pPr>
      <w:r w:rsidRPr="000D2B06">
        <w:t>Evidence required to demonstrate the required knowledge fo</w:t>
      </w:r>
      <w:r w:rsidRPr="000D2B06">
        <w:t>r this unit must be relevant to and satisfy the requirements of the elements and performance criteria and include knowledge of:</w:t>
      </w:r>
    </w:p>
    <w:p w:rsidR="00000000" w:rsidRPr="000D2B06" w:rsidP="000D2B06">
      <w:pPr>
        <w:pStyle w:val="ListBullet"/>
      </w:pPr>
      <w:r w:rsidRPr="000D2B06">
        <w:t>safe welding practices and procedures and use of personal protective equipment (PPE)</w:t>
      </w:r>
    </w:p>
    <w:p w:rsidR="00000000" w:rsidRPr="000D2B06" w:rsidP="000D2B06">
      <w:pPr>
        <w:pStyle w:val="ListBullet"/>
      </w:pPr>
      <w:r w:rsidRPr="000D2B06">
        <w:t>relevant safety, work health and safety (WHS) and environmental procedures and regulations</w:t>
      </w:r>
    </w:p>
    <w:p w:rsidR="00000000" w:rsidRPr="000D2B06" w:rsidP="000D2B06">
      <w:pPr>
        <w:pStyle w:val="ListBullet"/>
      </w:pPr>
      <w:r w:rsidRPr="000D2B06">
        <w:t>principles of the aluminothermic welding process chemical reaction</w:t>
      </w:r>
    </w:p>
    <w:p w:rsidR="00000000" w:rsidRPr="000D2B06" w:rsidP="000D2B06">
      <w:pPr>
        <w:pStyle w:val="ListBullet"/>
      </w:pPr>
      <w:r w:rsidRPr="000D2B06">
        <w:t>common types of welding imperfections and defects and their causes (e.g. cracks, porosities, mould</w:t>
      </w:r>
      <w:r w:rsidRPr="000D2B06">
        <w:t xml:space="preserve"> off centre, stresses in materials, pre-heating offset, sand inclusions and moisture)</w:t>
      </w:r>
    </w:p>
    <w:p w:rsidR="00000000" w:rsidRPr="000D2B06" w:rsidP="000D2B06">
      <w:pPr>
        <w:pStyle w:val="ListBullet"/>
      </w:pPr>
      <w:r w:rsidRPr="000D2B06">
        <w:t>workplace procedures for the welding of materials using the aluminothermic technique</w:t>
      </w:r>
    </w:p>
    <w:p w:rsidR="00000000" w:rsidRPr="000D2B06" w:rsidP="000D2B06">
      <w:pPr>
        <w:pStyle w:val="ListBullet"/>
      </w:pPr>
      <w:r w:rsidRPr="000D2B06">
        <w:t>problems that can occur during the welding of materials using the aluminothermic tech</w:t>
      </w:r>
      <w:r w:rsidRPr="000D2B06">
        <w:t>nique and action that can be taken to report or resolve the problems</w:t>
      </w:r>
    </w:p>
    <w:p w:rsidR="00000000" w:rsidRPr="000D2B06" w:rsidP="000D2B06">
      <w:pPr>
        <w:pStyle w:val="ListBullet"/>
      </w:pPr>
      <w:r w:rsidRPr="000D2B06">
        <w:t>contents of relevant technical manuals and instructions</w:t>
      </w:r>
    </w:p>
    <w:p w:rsidR="00000000" w:rsidRPr="000D2B06" w:rsidP="000D2B06">
      <w:pPr>
        <w:pStyle w:val="ListBullet"/>
      </w:pPr>
      <w:r w:rsidRPr="000D2B06">
        <w:t>characteristics of plant and equipment, hardware and components used in welding activities</w:t>
      </w:r>
    </w:p>
    <w:p w:rsidR="00000000" w:rsidRPr="000D2B06" w:rsidP="000D2B06">
      <w:pPr>
        <w:pStyle w:val="ListBullet"/>
      </w:pPr>
      <w:r w:rsidRPr="000D2B06">
        <w:t xml:space="preserve">impact on work activities of regulatory </w:t>
      </w:r>
      <w:r w:rsidRPr="000D2B06">
        <w:t>requirements</w:t>
      </w:r>
    </w:p>
    <w:p w:rsidR="00000000" w:rsidRPr="000D2B06" w:rsidP="000D2B06">
      <w:pPr>
        <w:pStyle w:val="ListBullet"/>
      </w:pPr>
      <w:r w:rsidRPr="000D2B06">
        <w:t>impact of other work activities on welding integrity</w:t>
      </w:r>
    </w:p>
    <w:p w:rsidR="00000000" w:rsidRPr="000D2B06" w:rsidP="000D2B06">
      <w:pPr>
        <w:pStyle w:val="ListBullet"/>
      </w:pPr>
      <w:r w:rsidRPr="000D2B06">
        <w:t>workplace documentation requirements</w:t>
      </w:r>
    </w:p>
    <w:p w:rsidR="00000000" w:rsidRPr="000D2B06" w:rsidP="000D2B06">
      <w:pPr>
        <w:pStyle w:val="ListBullet"/>
      </w:pPr>
      <w:r w:rsidRPr="000D2B06">
        <w:t>site inspection techniques.</w:t>
      </w:r>
    </w:p>
    <w:p w:rsidR="00000000" w:rsidRPr="000D2B06" w:rsidP="000D2B06">
      <w:pPr>
        <w:pStyle w:val="AllowPageBreak"/>
      </w:pPr>
    </w:p>
    <w:p w:rsidR="00000000" w:rsidRPr="000D2B06" w:rsidP="000D2B06">
      <w:pPr>
        <w:pStyle w:val="Heading1"/>
      </w:pPr>
      <w:bookmarkStart w:id="13" w:name="O_942431"/>
      <w:bookmarkEnd w:id="13"/>
      <w:r w:rsidRPr="000D2B06">
        <w:t>Assessment Conditions</w:t>
      </w:r>
    </w:p>
    <w:p w:rsidR="00000000" w:rsidRPr="000D2B06" w:rsidP="000D2B06">
      <w:pPr>
        <w:pStyle w:val="ListBullet"/>
      </w:pPr>
      <w:r w:rsidRPr="000D2B06">
        <w:t>Assessors must:</w:t>
      </w:r>
    </w:p>
    <w:p w:rsidR="00000000" w:rsidRPr="000D2B06" w:rsidP="000D2B06">
      <w:pPr>
        <w:pStyle w:val="ListBullet2"/>
      </w:pPr>
      <w:r w:rsidRPr="000D2B06">
        <w:t>have vocational competency in performing aluminothermic welding at l</w:t>
      </w:r>
      <w:r w:rsidRPr="000D2B06">
        <w:t>east to the level being assessed with relevant industry knowledge and experience</w:t>
      </w:r>
    </w:p>
    <w:p w:rsidR="00000000" w:rsidRPr="000D2B06" w:rsidP="000D2B06">
      <w:pPr>
        <w:pStyle w:val="ListBullet2"/>
      </w:pPr>
      <w:r w:rsidRPr="000D2B06">
        <w:t xml:space="preserve">satisfy the assessor requirements in the </w:t>
      </w:r>
      <w:r w:rsidRPr="000D2B06">
        <w:rPr>
          <w:rStyle w:val="Emphasis"/>
        </w:rPr>
        <w:t xml:space="preserve">Standards for Registered Training Organisations </w:t>
      </w:r>
      <w:r w:rsidRPr="000D2B06">
        <w:t>2015 or its replacement</w:t>
      </w:r>
      <w:r w:rsidRPr="000D2B06">
        <w:rPr>
          <w:rStyle w:val="Emphasis"/>
        </w:rPr>
        <w:t xml:space="preserve"> </w:t>
      </w:r>
      <w:r w:rsidRPr="000D2B06">
        <w:t xml:space="preserve">and comply with the </w:t>
      </w:r>
      <w:r w:rsidRPr="000D2B06">
        <w:rPr>
          <w:rStyle w:val="Emphasis"/>
        </w:rPr>
        <w:t xml:space="preserve">National Vocational Education and Training Regulator Act 2011, </w:t>
      </w:r>
      <w:r w:rsidRPr="000D2B06">
        <w:t xml:space="preserve">its </w:t>
      </w:r>
      <w:r w:rsidRPr="000D2B06">
        <w:t>replacement</w:t>
      </w:r>
      <w:r w:rsidRPr="000D2B06">
        <w:rPr>
          <w:rStyle w:val="Emphasis"/>
        </w:rPr>
        <w:t xml:space="preserve"> </w:t>
      </w:r>
      <w:r w:rsidRPr="000D2B06">
        <w:t>or equivalent legislation covering VET regulation in a non-referring state/territory as the case requires</w:t>
      </w:r>
    </w:p>
    <w:p w:rsidR="00000000" w:rsidRPr="000D2B06" w:rsidP="000D2B06">
      <w:pPr>
        <w:pStyle w:val="ListBullet"/>
      </w:pPr>
      <w:r w:rsidRPr="000D2B06">
        <w:t>Where possible assessment must occur in operational workplace situatio</w:t>
      </w:r>
      <w:r w:rsidRPr="000D2B06">
        <w:t>ns. Where this is not possible or where personal safety or environmental damage are limiting factors, assessment must occur in a sufficiently rigorous simulated environment that reflects realistic operational workplace conditions. This must cover all aspec</w:t>
      </w:r>
      <w:r w:rsidRPr="000D2B06">
        <w:t>ts of workplace performance, including environment, task skills, task management skills, contingency management skills and job role environment skills</w:t>
      </w:r>
    </w:p>
    <w:p w:rsidR="00000000" w:rsidRPr="000D2B06" w:rsidP="000D2B06">
      <w:pPr>
        <w:pStyle w:val="ListBullet"/>
      </w:pPr>
      <w:r w:rsidRPr="000D2B06">
        <w:t>Conditions for assessment must include access to all tools, equipment, materials and documentation requir</w:t>
      </w:r>
      <w:r w:rsidRPr="000D2B06">
        <w:t>ed, including relevant workplace procedures, product and manufacturing specifications</w:t>
      </w:r>
    </w:p>
    <w:p w:rsidR="00000000" w:rsidRPr="000D2B06" w:rsidP="000D2B06">
      <w:pPr>
        <w:pStyle w:val="ListBullet"/>
      </w:pPr>
      <w:r w:rsidRPr="000D2B06">
        <w:t>Assessment processes and techniques must be appropriate to the language, literacy and numeracy requirements of the work being performed and the needs of the candidate.</w:t>
      </w:r>
    </w:p>
    <w:p w:rsidR="00000000" w:rsidRPr="000D2B06" w:rsidP="000D2B06">
      <w:pPr>
        <w:pStyle w:val="AllowPageBreak"/>
      </w:pPr>
    </w:p>
    <w:p w:rsidR="00000000" w:rsidRPr="000D2B06" w:rsidP="000D2B06">
      <w:pPr>
        <w:pStyle w:val="Heading1"/>
      </w:pPr>
      <w:bookmarkStart w:id="14" w:name="O_942429"/>
      <w:bookmarkEnd w:id="14"/>
      <w:r w:rsidRPr="000D2B06">
        <w:t>Links</w:t>
      </w:r>
    </w:p>
    <w:p w:rsidR="00000000" w:rsidRPr="000D2B06" w:rsidP="004D070F">
      <w:pPr>
        <w:pStyle w:val="BodyText"/>
      </w:pPr>
      <w:r w:rsidRPr="000D2B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D6F46">
        <w:rPr>
          <w:rStyle w:val="Hyperlink"/>
        </w:rPr>
        <w:t>https://vetnet.gov.au/Pages/TrainingDocs.aspx?q=b7050d37-5fd0-4740-8f7d-3b7a49c10bb2</w:t>
      </w:r>
      <w:r>
        <w:fldChar w:fldCharType="end"/>
      </w:r>
    </w:p>
    <w:p w:rsidR="00000000" w:rsidRPr="000D2B06" w:rsidP="000D2B06"/>
    <w:sectPr w:rsidSect="000D2B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rsidRPr="004D070F" w:rsidP="004D0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0F" w:rsidP="000D2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070F" w:rsidP="000D2B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070F" w:rsidP="000D2B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rsidP="000D2B06">
    <w:pPr>
      <w:pStyle w:val="Footer"/>
      <w:framePr w:wrap="around"/>
    </w:pPr>
    <w:r>
      <w:fldChar w:fldCharType="begin"/>
    </w:r>
    <w:r>
      <w:instrText xml:space="preserve"> DOCPROPERTY  Subject  \* MERGEFORMAT </w:instrText>
    </w:r>
    <w:r>
      <w:fldChar w:fldCharType="separate"/>
    </w:r>
    <w:r w:rsidR="004D070F">
      <w:t>Approved</w:t>
    </w:r>
    <w:r w:rsidR="004D070F">
      <w:fldChar w:fldCharType="end"/>
    </w:r>
    <w:r>
      <w:tab/>
      <w:t xml:space="preserve">Page </w:t>
    </w:r>
    <w:r>
      <w:fldChar w:fldCharType="begin"/>
    </w:r>
    <w:r>
      <w:instrText xml:space="preserve"> PAGE  \* Arabic  \* MERGEFORMAT </w:instrText>
    </w:r>
    <w:r>
      <w:fldChar w:fldCharType="separate"/>
    </w:r>
    <w:r w:rsidR="004D07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70F">
      <w:rPr>
        <w:noProof/>
      </w:rPr>
      <w:t>6</w:t>
    </w:r>
    <w:r>
      <w:rPr>
        <w:noProof/>
      </w:rPr>
      <w:fldChar w:fldCharType="end"/>
    </w:r>
  </w:p>
  <w:p w:rsidR="000D2B06" w:rsidP="000D2B06">
    <w:pPr>
      <w:pStyle w:val="Footer"/>
      <w:framePr w:wrap="around"/>
    </w:pPr>
    <w:r>
      <w:t xml:space="preserve">© Commonwealth of Australia, </w:t>
    </w:r>
    <w:r>
      <w:fldChar w:fldCharType="begin"/>
    </w:r>
    <w:r>
      <w:instrText xml:space="preserve"> DATE  \@ "yyyy"  \* MERGEFORMAT </w:instrText>
    </w:r>
    <w:r>
      <w:fldChar w:fldCharType="separate"/>
    </w:r>
    <w:r w:rsidR="004D070F">
      <w:rPr>
        <w:noProof/>
      </w:rPr>
      <w:t>2025</w:t>
    </w:r>
    <w:r>
      <w:fldChar w:fldCharType="end"/>
    </w:r>
    <w:r>
      <w:tab/>
    </w:r>
    <w:r>
      <w:fldChar w:fldCharType="begin"/>
    </w:r>
    <w:r>
      <w:instrText xml:space="preserve"> DOCPROPERTY  Author  \* MERGEFORMAT </w:instrText>
    </w:r>
    <w:r>
      <w:fldChar w:fldCharType="separate"/>
    </w:r>
    <w:r w:rsidR="004D070F">
      <w:t>Manufacturing Industry Skills Alliance</w:t>
    </w:r>
    <w:r w:rsidR="004D070F">
      <w:fldChar w:fldCharType="end"/>
    </w:r>
  </w:p>
  <w:p w:rsidR="000D2B06" w:rsidP="000D2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B06" w:rsidRPr="004D070F" w:rsidP="004D0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0F" w:rsidRPr="002D2AF8" w:rsidP="000D2B06">
    <w:pPr>
      <w:pStyle w:val="Header"/>
      <w:framePr w:wrap="around"/>
    </w:pPr>
    <w:r>
      <w:fldChar w:fldCharType="begin"/>
    </w:r>
    <w:r>
      <w:instrText xml:space="preserve"> TITLE   \* MERGEFORMAT </w:instrText>
    </w:r>
    <w:r>
      <w:fldChar w:fldCharType="separate"/>
    </w:r>
    <w:r>
      <w:t>MEM05027 Perform aluminothermic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070F" w:rsidP="000D2B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06" w:rsidRPr="002D2AF8" w:rsidP="000D2B06">
    <w:pPr>
      <w:pStyle w:val="Header"/>
      <w:framePr w:wrap="around"/>
    </w:pPr>
    <w:r>
      <w:fldChar w:fldCharType="begin"/>
    </w:r>
    <w:r>
      <w:instrText xml:space="preserve"> TITLE   \* MERGEFORMAT </w:instrText>
    </w:r>
    <w:r>
      <w:fldChar w:fldCharType="separate"/>
    </w:r>
    <w:r w:rsidR="004D070F">
      <w:t>MEM05027 Perform aluminothermic welding</w:t>
    </w:r>
    <w:r w:rsidR="004D070F">
      <w:fldChar w:fldCharType="end"/>
    </w:r>
    <w:r>
      <w:tab/>
      <w:t xml:space="preserve">Date this document was generated: </w:t>
    </w:r>
    <w:r>
      <w:fldChar w:fldCharType="begin"/>
    </w:r>
    <w:r>
      <w:instrText xml:space="preserve"> CREATEDATE  \@ "d MMMM yyyy"  \* MERGEFORMAT </w:instrText>
    </w:r>
    <w:r>
      <w:fldChar w:fldCharType="separate"/>
    </w:r>
    <w:r w:rsidR="004D070F">
      <w:rPr>
        <w:noProof/>
      </w:rPr>
      <w:t>1 March 2025</w:t>
    </w:r>
    <w:r>
      <w:fldChar w:fldCharType="end"/>
    </w:r>
  </w:p>
  <w:p w:rsidR="000D2B06" w:rsidP="000D2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C8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165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C9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B06"/>
    <w:pPr>
      <w:spacing w:before="360" w:after="60"/>
      <w:outlineLvl w:val="0"/>
    </w:pPr>
    <w:rPr>
      <w:sz w:val="32"/>
    </w:rPr>
  </w:style>
  <w:style w:type="paragraph" w:styleId="Heading2">
    <w:name w:val="heading 2"/>
    <w:basedOn w:val="HeadingBase"/>
    <w:next w:val="BodyText"/>
    <w:link w:val="Heading2Char"/>
    <w:qFormat/>
    <w:rsid w:val="000D2B06"/>
    <w:pPr>
      <w:keepLines/>
      <w:spacing w:before="240" w:after="120"/>
      <w:outlineLvl w:val="1"/>
    </w:pPr>
    <w:rPr>
      <w:sz w:val="28"/>
      <w:szCs w:val="40"/>
    </w:rPr>
  </w:style>
  <w:style w:type="paragraph" w:styleId="Heading3">
    <w:name w:val="heading 3"/>
    <w:basedOn w:val="HeadingBase"/>
    <w:next w:val="BodyText"/>
    <w:link w:val="Heading3Char"/>
    <w:qFormat/>
    <w:rsid w:val="000D2B06"/>
    <w:pPr>
      <w:spacing w:before="180" w:after="120"/>
      <w:outlineLvl w:val="2"/>
    </w:pPr>
    <w:rPr>
      <w:spacing w:val="-10"/>
      <w:kern w:val="32"/>
    </w:rPr>
  </w:style>
  <w:style w:type="paragraph" w:styleId="Heading4">
    <w:name w:val="heading 4"/>
    <w:basedOn w:val="HeadingBase"/>
    <w:next w:val="BodyText"/>
    <w:link w:val="Heading4Char"/>
    <w:qFormat/>
    <w:rsid w:val="000D2B06"/>
    <w:pPr>
      <w:spacing w:before="160" w:after="120"/>
      <w:outlineLvl w:val="3"/>
    </w:pPr>
    <w:rPr>
      <w:sz w:val="22"/>
    </w:rPr>
  </w:style>
  <w:style w:type="paragraph" w:styleId="Heading5">
    <w:name w:val="heading 5"/>
    <w:basedOn w:val="HeadingBase"/>
    <w:next w:val="Normal"/>
    <w:link w:val="Heading5Char"/>
    <w:qFormat/>
    <w:rsid w:val="000D2B06"/>
    <w:pPr>
      <w:spacing w:before="80"/>
      <w:outlineLvl w:val="4"/>
    </w:pPr>
    <w:rPr>
      <w:color w:val="918585"/>
      <w:sz w:val="20"/>
    </w:rPr>
  </w:style>
  <w:style w:type="paragraph" w:styleId="Heading6">
    <w:name w:val="heading 6"/>
    <w:basedOn w:val="HeadingBase"/>
    <w:next w:val="Normal"/>
    <w:link w:val="Heading6Char"/>
    <w:qFormat/>
    <w:rsid w:val="000D2B06"/>
    <w:pPr>
      <w:spacing w:before="60"/>
      <w:outlineLvl w:val="5"/>
    </w:pPr>
    <w:rPr>
      <w:color w:val="918585"/>
      <w:sz w:val="20"/>
    </w:rPr>
  </w:style>
  <w:style w:type="paragraph" w:styleId="Heading7">
    <w:name w:val="heading 7"/>
    <w:basedOn w:val="Normal"/>
    <w:next w:val="Normal"/>
    <w:link w:val="Heading7Char"/>
    <w:qFormat/>
    <w:rsid w:val="000D2B06"/>
    <w:pPr>
      <w:ind w:left="720"/>
      <w:outlineLvl w:val="6"/>
    </w:pPr>
    <w:rPr>
      <w:i/>
    </w:rPr>
  </w:style>
  <w:style w:type="paragraph" w:styleId="Heading8">
    <w:name w:val="heading 8"/>
    <w:basedOn w:val="Normal"/>
    <w:next w:val="Normal"/>
    <w:link w:val="Heading8Char"/>
    <w:qFormat/>
    <w:rsid w:val="000D2B06"/>
    <w:pPr>
      <w:ind w:left="720"/>
      <w:outlineLvl w:val="7"/>
    </w:pPr>
    <w:rPr>
      <w:i/>
    </w:rPr>
  </w:style>
  <w:style w:type="paragraph" w:styleId="Heading9">
    <w:name w:val="heading 9"/>
    <w:basedOn w:val="Normal"/>
    <w:next w:val="Normal"/>
    <w:link w:val="Heading9Char"/>
    <w:qFormat/>
    <w:rsid w:val="000D2B06"/>
    <w:pPr>
      <w:ind w:left="720"/>
      <w:outlineLvl w:val="8"/>
    </w:pPr>
    <w:rPr>
      <w:i/>
    </w:rPr>
  </w:style>
  <w:style w:type="character" w:default="1" w:styleId="DefaultParagraphFont">
    <w:name w:val="Default Paragraph Font"/>
    <w:uiPriority w:val="1"/>
    <w:unhideWhenUsed/>
    <w:rsid w:val="000D2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B06"/>
  </w:style>
  <w:style w:type="character" w:customStyle="1" w:styleId="Heading1Char">
    <w:name w:val="Heading 1 Char"/>
    <w:basedOn w:val="DefaultParagraphFont"/>
    <w:link w:val="Heading1"/>
    <w:rsid w:val="000D2B06"/>
    <w:rPr>
      <w:rFonts w:ascii="Times New Roman" w:eastAsia="Times New Roman" w:hAnsi="Times New Roman" w:cs="Times New Roman"/>
      <w:b/>
      <w:sz w:val="32"/>
      <w:szCs w:val="20"/>
      <w:lang w:eastAsia="en-US"/>
    </w:rPr>
  </w:style>
  <w:style w:type="paragraph" w:styleId="BodyText">
    <w:name w:val="Body Text"/>
    <w:basedOn w:val="Normal"/>
    <w:link w:val="BodyTextChar"/>
    <w:rsid w:val="000D2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B06"/>
    <w:rPr>
      <w:rFonts w:ascii="Times New Roman" w:eastAsia="Times New Roman" w:hAnsi="Times New Roman" w:cs="Times New Roman"/>
      <w:sz w:val="24"/>
      <w:lang w:eastAsia="en-US"/>
    </w:rPr>
  </w:style>
  <w:style w:type="paragraph" w:styleId="ListBullet">
    <w:name w:val="List Bullet"/>
    <w:basedOn w:val="List"/>
    <w:rsid w:val="000D2B06"/>
    <w:pPr>
      <w:numPr>
        <w:numId w:val="12"/>
      </w:numPr>
      <w:tabs>
        <w:tab w:val="clear" w:pos="340"/>
      </w:tabs>
      <w:spacing w:before="40" w:after="40"/>
    </w:pPr>
  </w:style>
  <w:style w:type="character" w:customStyle="1" w:styleId="SpecialBold">
    <w:name w:val="Special Bold"/>
    <w:basedOn w:val="DefaultParagraphFont"/>
    <w:rsid w:val="000D2B06"/>
    <w:rPr>
      <w:b/>
      <w:spacing w:val="0"/>
    </w:rPr>
  </w:style>
  <w:style w:type="paragraph" w:styleId="ListBullet2">
    <w:name w:val="List Bullet 2"/>
    <w:basedOn w:val="List2"/>
    <w:rsid w:val="000D2B06"/>
    <w:pPr>
      <w:numPr>
        <w:numId w:val="13"/>
      </w:numPr>
      <w:tabs>
        <w:tab w:val="clear" w:pos="680"/>
      </w:tabs>
    </w:pPr>
  </w:style>
  <w:style w:type="character" w:styleId="Emphasis">
    <w:name w:val="Emphasis"/>
    <w:basedOn w:val="DefaultParagraphFont"/>
    <w:qFormat/>
    <w:rsid w:val="000D2B06"/>
    <w:rPr>
      <w:i/>
    </w:rPr>
  </w:style>
  <w:style w:type="paragraph" w:customStyle="1" w:styleId="SuperHeading">
    <w:name w:val="SuperHeading"/>
    <w:basedOn w:val="Normal"/>
    <w:rsid w:val="000D2B06"/>
    <w:pPr>
      <w:spacing w:before="240" w:after="120"/>
      <w:outlineLvl w:val="0"/>
    </w:pPr>
    <w:rPr>
      <w:rFonts w:ascii="Times New Roman" w:hAnsi="Times New Roman"/>
      <w:b/>
      <w:sz w:val="32"/>
    </w:rPr>
  </w:style>
  <w:style w:type="paragraph" w:customStyle="1" w:styleId="AllowPageBreak">
    <w:name w:val="AllowPageBreak"/>
    <w:rsid w:val="000D2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B06"/>
    <w:rPr>
      <w:rFonts w:ascii="Courier New" w:eastAsia="Times New Roman" w:hAnsi="Courier New" w:cs="Times New Roman"/>
      <w:i/>
      <w:szCs w:val="20"/>
      <w:lang w:eastAsia="en-US"/>
    </w:rPr>
  </w:style>
  <w:style w:type="paragraph" w:customStyle="1" w:styleId="HeadingBase">
    <w:name w:val="Heading Base"/>
    <w:rsid w:val="000D2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B06"/>
    <w:pPr>
      <w:tabs>
        <w:tab w:val="right" w:leader="dot" w:pos="9072"/>
      </w:tabs>
      <w:ind w:left="567"/>
    </w:pPr>
    <w:rPr>
      <w:szCs w:val="22"/>
    </w:rPr>
  </w:style>
  <w:style w:type="paragraph" w:customStyle="1" w:styleId="TOCBase">
    <w:name w:val="TOC Base"/>
    <w:rsid w:val="000D2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B06"/>
    <w:pPr>
      <w:tabs>
        <w:tab w:val="right" w:leader="dot" w:pos="9072"/>
      </w:tabs>
      <w:spacing w:before="40" w:after="40"/>
      <w:ind w:left="284"/>
    </w:pPr>
    <w:rPr>
      <w:rFonts w:ascii="Times New Roman" w:hAnsi="Times New Roman"/>
    </w:rPr>
  </w:style>
  <w:style w:type="paragraph" w:styleId="TOC1">
    <w:name w:val="toc 1"/>
    <w:basedOn w:val="TOCBase"/>
    <w:next w:val="Normal"/>
    <w:rsid w:val="000D2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B06"/>
    <w:rPr>
      <w:rFonts w:ascii="Times New Roman" w:eastAsia="Times New Roman" w:hAnsi="Times New Roman" w:cs="Times New Roman"/>
      <w:sz w:val="16"/>
      <w:lang w:eastAsia="en-US"/>
    </w:rPr>
  </w:style>
  <w:style w:type="paragraph" w:styleId="Title">
    <w:name w:val="Title"/>
    <w:basedOn w:val="HeadingBase"/>
    <w:link w:val="TitleChar"/>
    <w:qFormat/>
    <w:rsid w:val="000D2B06"/>
    <w:pPr>
      <w:spacing w:before="5040"/>
      <w:jc w:val="center"/>
    </w:pPr>
    <w:rPr>
      <w:sz w:val="48"/>
      <w:szCs w:val="72"/>
      <w:lang w:val="en-US"/>
    </w:rPr>
  </w:style>
  <w:style w:type="character" w:customStyle="1" w:styleId="TitleChar">
    <w:name w:val="Title Char"/>
    <w:basedOn w:val="DefaultParagraphFont"/>
    <w:link w:val="Title"/>
    <w:rsid w:val="000D2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B06"/>
    <w:pPr>
      <w:tabs>
        <w:tab w:val="left" w:pos="3600"/>
        <w:tab w:val="left" w:pos="3958"/>
      </w:tabs>
    </w:pPr>
  </w:style>
  <w:style w:type="paragraph" w:styleId="List">
    <w:name w:val="List"/>
    <w:basedOn w:val="BodyText"/>
    <w:next w:val="BodyText"/>
    <w:rsid w:val="000D2B06"/>
    <w:pPr>
      <w:tabs>
        <w:tab w:val="left" w:pos="340"/>
      </w:tabs>
      <w:spacing w:before="60" w:after="60"/>
      <w:ind w:left="340" w:hanging="340"/>
    </w:pPr>
  </w:style>
  <w:style w:type="paragraph" w:customStyle="1" w:styleId="Note">
    <w:name w:val="Note"/>
    <w:basedOn w:val="BodyText"/>
    <w:rsid w:val="000D2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B06"/>
    <w:pPr>
      <w:framePr w:wrap="auto" w:hAnchor="text" w:y="6049"/>
    </w:pPr>
    <w:rPr>
      <w:color w:val="000000"/>
      <w:sz w:val="40"/>
    </w:rPr>
  </w:style>
  <w:style w:type="paragraph" w:customStyle="1" w:styleId="TOCTitle">
    <w:name w:val="TOCTitle"/>
    <w:basedOn w:val="Heading1"/>
    <w:rsid w:val="000D2B06"/>
    <w:pPr>
      <w:spacing w:after="240"/>
      <w:jc w:val="center"/>
      <w:outlineLvl w:val="9"/>
    </w:pPr>
    <w:rPr>
      <w:caps/>
    </w:rPr>
  </w:style>
  <w:style w:type="paragraph" w:customStyle="1" w:styleId="Version">
    <w:name w:val="Version"/>
    <w:rsid w:val="000D2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B06"/>
    <w:pPr>
      <w:keepNext w:val="0"/>
      <w:tabs>
        <w:tab w:val="right" w:pos="4176"/>
      </w:tabs>
      <w:ind w:left="198" w:hanging="198"/>
    </w:pPr>
    <w:rPr>
      <w:rFonts w:ascii="Garamond" w:hAnsi="Garamond"/>
    </w:rPr>
  </w:style>
  <w:style w:type="paragraph" w:styleId="IndexHeading">
    <w:name w:val="index heading"/>
    <w:basedOn w:val="Normal"/>
    <w:next w:val="Index1"/>
    <w:semiHidden/>
    <w:rsid w:val="000D2B06"/>
    <w:pPr>
      <w:spacing w:before="120" w:after="120"/>
    </w:pPr>
    <w:rPr>
      <w:rFonts w:ascii="Arial" w:hAnsi="Arial"/>
      <w:b/>
      <w:color w:val="918585"/>
      <w:sz w:val="24"/>
    </w:rPr>
  </w:style>
  <w:style w:type="paragraph" w:styleId="Header">
    <w:name w:val="header"/>
    <w:basedOn w:val="Normal"/>
    <w:link w:val="HeaderChar"/>
    <w:rsid w:val="000D2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B06"/>
    <w:rPr>
      <w:rFonts w:ascii="Times New Roman" w:eastAsia="Times New Roman" w:hAnsi="Times New Roman" w:cs="Times New Roman"/>
      <w:sz w:val="16"/>
      <w:szCs w:val="20"/>
      <w:lang w:val="en-GB" w:eastAsia="en-US"/>
    </w:rPr>
  </w:style>
  <w:style w:type="paragraph" w:customStyle="1" w:styleId="Chapter">
    <w:name w:val="Chapter"/>
    <w:basedOn w:val="Normal"/>
    <w:rsid w:val="000D2B06"/>
    <w:pPr>
      <w:spacing w:before="240"/>
    </w:pPr>
    <w:rPr>
      <w:rFonts w:ascii="Times New Roman" w:hAnsi="Times New Roman"/>
      <w:smallCaps/>
      <w:spacing w:val="80"/>
      <w:sz w:val="28"/>
    </w:rPr>
  </w:style>
  <w:style w:type="paragraph" w:customStyle="1" w:styleId="InChapter">
    <w:name w:val="InChapter"/>
    <w:basedOn w:val="Heading3"/>
    <w:rsid w:val="000D2B06"/>
    <w:pPr>
      <w:spacing w:after="240"/>
      <w:outlineLvl w:val="9"/>
    </w:pPr>
    <w:rPr>
      <w:noProof/>
    </w:rPr>
  </w:style>
  <w:style w:type="paragraph" w:styleId="Index2">
    <w:name w:val="index 2"/>
    <w:basedOn w:val="Normal"/>
    <w:next w:val="Normal"/>
    <w:semiHidden/>
    <w:rsid w:val="000D2B06"/>
    <w:pPr>
      <w:tabs>
        <w:tab w:val="right" w:pos="4176"/>
      </w:tabs>
      <w:ind w:left="568" w:hanging="284"/>
    </w:pPr>
    <w:rPr>
      <w:rFonts w:ascii="Garamond" w:hAnsi="Garamond"/>
    </w:rPr>
  </w:style>
  <w:style w:type="paragraph" w:customStyle="1" w:styleId="Byline">
    <w:name w:val="Byline"/>
    <w:rsid w:val="000D2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B06"/>
    <w:pPr>
      <w:tabs>
        <w:tab w:val="clear" w:pos="3600"/>
        <w:tab w:val="clear" w:pos="3958"/>
      </w:tabs>
      <w:jc w:val="right"/>
    </w:pPr>
  </w:style>
  <w:style w:type="paragraph" w:styleId="Caption">
    <w:name w:val="caption"/>
    <w:basedOn w:val="BodyText"/>
    <w:next w:val="Normal"/>
    <w:qFormat/>
    <w:rsid w:val="000D2B06"/>
    <w:pPr>
      <w:framePr w:w="2268" w:hSpace="181" w:vSpace="181" w:wrap="around" w:vAnchor="text" w:hAnchor="page" w:x="1135" w:y="285" w:anchorLock="1"/>
    </w:pPr>
    <w:rPr>
      <w:i/>
    </w:rPr>
  </w:style>
  <w:style w:type="paragraph" w:customStyle="1" w:styleId="MiniTOCTitle">
    <w:name w:val="MiniTOCTitle"/>
    <w:basedOn w:val="Heading4"/>
    <w:rsid w:val="000D2B06"/>
    <w:pPr>
      <w:spacing w:before="240"/>
      <w:outlineLvl w:val="9"/>
    </w:pPr>
    <w:rPr>
      <w:noProof/>
      <w:sz w:val="24"/>
    </w:rPr>
  </w:style>
  <w:style w:type="paragraph" w:customStyle="1" w:styleId="MiniTOCItem">
    <w:name w:val="MiniTOCItem"/>
    <w:basedOn w:val="ListBullet"/>
    <w:rsid w:val="000D2B06"/>
    <w:pPr>
      <w:numPr>
        <w:numId w:val="0"/>
      </w:numPr>
      <w:tabs>
        <w:tab w:val="right" w:leader="dot" w:pos="6521"/>
      </w:tabs>
      <w:spacing w:before="0" w:after="0"/>
    </w:pPr>
  </w:style>
  <w:style w:type="paragraph" w:customStyle="1" w:styleId="TOFTitle">
    <w:name w:val="TOFTitle"/>
    <w:basedOn w:val="TOCTitle"/>
    <w:rsid w:val="000D2B06"/>
  </w:style>
  <w:style w:type="paragraph" w:styleId="TableofFigures">
    <w:name w:val="table of figures"/>
    <w:basedOn w:val="Normal"/>
    <w:next w:val="Normal"/>
    <w:semiHidden/>
    <w:rsid w:val="000D2B06"/>
    <w:pPr>
      <w:tabs>
        <w:tab w:val="right" w:leader="dot" w:pos="9072"/>
      </w:tabs>
      <w:ind w:left="970" w:hanging="403"/>
    </w:pPr>
    <w:rPr>
      <w:rFonts w:ascii="Times New Roman" w:hAnsi="Times New Roman"/>
      <w:b/>
    </w:rPr>
  </w:style>
  <w:style w:type="paragraph" w:styleId="ListNumber">
    <w:name w:val="List Number"/>
    <w:basedOn w:val="List"/>
    <w:rsid w:val="000D2B06"/>
    <w:pPr>
      <w:numPr>
        <w:numId w:val="15"/>
      </w:numPr>
      <w:tabs>
        <w:tab w:val="clear" w:pos="340"/>
      </w:tabs>
    </w:pPr>
  </w:style>
  <w:style w:type="character" w:customStyle="1" w:styleId="WingdingSymbols">
    <w:name w:val="Wingding Symbols"/>
    <w:rsid w:val="000D2B06"/>
    <w:rPr>
      <w:rFonts w:ascii="Wingdings" w:hAnsi="Wingdings"/>
    </w:rPr>
  </w:style>
  <w:style w:type="paragraph" w:customStyle="1" w:styleId="TableHeading">
    <w:name w:val="Table Heading"/>
    <w:basedOn w:val="HeadingBase"/>
    <w:rsid w:val="000D2B06"/>
    <w:pPr>
      <w:keepLines/>
      <w:pBdr>
        <w:bottom w:val="single" w:sz="6" w:space="1" w:color="918585"/>
      </w:pBdr>
      <w:spacing w:before="240"/>
    </w:pPr>
  </w:style>
  <w:style w:type="character" w:customStyle="1" w:styleId="HotSpot">
    <w:name w:val="HotSpot"/>
    <w:rsid w:val="000D2B06"/>
    <w:rPr>
      <w:color w:val="0033CC"/>
      <w:u w:val="none"/>
    </w:rPr>
  </w:style>
  <w:style w:type="paragraph" w:customStyle="1" w:styleId="BodyTextRight">
    <w:name w:val="Body Text Right"/>
    <w:basedOn w:val="BodyText"/>
    <w:rsid w:val="000D2B06"/>
    <w:pPr>
      <w:spacing w:before="0" w:after="0"/>
      <w:jc w:val="right"/>
    </w:pPr>
  </w:style>
  <w:style w:type="paragraph" w:styleId="Index3">
    <w:name w:val="index 3"/>
    <w:basedOn w:val="ListNumber2"/>
    <w:next w:val="Normal"/>
    <w:semiHidden/>
    <w:rsid w:val="000D2B06"/>
    <w:pPr>
      <w:numPr>
        <w:numId w:val="0"/>
      </w:numPr>
      <w:tabs>
        <w:tab w:val="right" w:leader="dot" w:pos="4176"/>
      </w:tabs>
    </w:pPr>
  </w:style>
  <w:style w:type="paragraph" w:styleId="ListNumber2">
    <w:name w:val="List Number 2"/>
    <w:basedOn w:val="List2"/>
    <w:rsid w:val="000D2B06"/>
    <w:pPr>
      <w:numPr>
        <w:numId w:val="10"/>
      </w:numPr>
      <w:tabs>
        <w:tab w:val="clear" w:pos="1060"/>
      </w:tabs>
    </w:pPr>
  </w:style>
  <w:style w:type="paragraph" w:customStyle="1" w:styleId="MarginNote">
    <w:name w:val="Margin Note"/>
    <w:basedOn w:val="BodyText"/>
    <w:rsid w:val="000D2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B06"/>
    <w:rPr>
      <w:sz w:val="32"/>
    </w:rPr>
  </w:style>
  <w:style w:type="paragraph" w:customStyle="1" w:styleId="HeadingProcedure">
    <w:name w:val="Heading Procedure"/>
    <w:basedOn w:val="HeadingBase"/>
    <w:next w:val="Normal"/>
    <w:rsid w:val="000D2B06"/>
    <w:pPr>
      <w:tabs>
        <w:tab w:val="left" w:pos="0"/>
      </w:tabs>
      <w:spacing w:before="120" w:after="60"/>
    </w:pPr>
    <w:rPr>
      <w:i/>
      <w:color w:val="918585"/>
      <w:sz w:val="22"/>
    </w:rPr>
  </w:style>
  <w:style w:type="paragraph" w:customStyle="1" w:styleId="TableBodyText">
    <w:name w:val="Table Body Text"/>
    <w:basedOn w:val="BodyText"/>
    <w:rsid w:val="000D2B06"/>
    <w:pPr>
      <w:spacing w:before="60" w:after="60"/>
    </w:pPr>
  </w:style>
  <w:style w:type="paragraph" w:styleId="ListContinue">
    <w:name w:val="List Continue"/>
    <w:basedOn w:val="List"/>
    <w:rsid w:val="000D2B06"/>
    <w:pPr>
      <w:ind w:firstLine="0"/>
    </w:pPr>
  </w:style>
  <w:style w:type="paragraph" w:customStyle="1" w:styleId="ListNote">
    <w:name w:val="List Note"/>
    <w:basedOn w:val="List"/>
    <w:rsid w:val="000D2B06"/>
    <w:pPr>
      <w:pBdr>
        <w:top w:val="single" w:sz="6" w:space="2" w:color="918585"/>
        <w:bottom w:val="single" w:sz="6" w:space="2" w:color="918585"/>
      </w:pBdr>
      <w:tabs>
        <w:tab w:val="left" w:pos="1021"/>
      </w:tabs>
      <w:ind w:firstLine="0"/>
    </w:pPr>
  </w:style>
  <w:style w:type="paragraph" w:customStyle="1" w:styleId="Warning">
    <w:name w:val="Warning"/>
    <w:basedOn w:val="BodyText"/>
    <w:rsid w:val="000D2B06"/>
    <w:pPr>
      <w:shd w:val="clear" w:color="auto" w:fill="D9D9D9"/>
      <w:tabs>
        <w:tab w:val="left" w:pos="992"/>
      </w:tabs>
      <w:ind w:left="119" w:right="119"/>
    </w:pPr>
    <w:rPr>
      <w:sz w:val="20"/>
    </w:rPr>
  </w:style>
  <w:style w:type="paragraph" w:customStyle="1" w:styleId="MarginIcons">
    <w:name w:val="Margin Icons"/>
    <w:basedOn w:val="BodyText"/>
    <w:rsid w:val="000D2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B06"/>
    <w:rPr>
      <w:rFonts w:ascii="Courier New" w:hAnsi="Courier New"/>
    </w:rPr>
  </w:style>
  <w:style w:type="paragraph" w:customStyle="1" w:styleId="NoteBullet">
    <w:name w:val="Note Bullet"/>
    <w:basedOn w:val="Note"/>
    <w:rsid w:val="000D2B06"/>
    <w:pPr>
      <w:tabs>
        <w:tab w:val="clear" w:pos="680"/>
      </w:tabs>
      <w:spacing w:before="60" w:after="60"/>
    </w:pPr>
  </w:style>
  <w:style w:type="paragraph" w:customStyle="1" w:styleId="SubHeading2">
    <w:name w:val="SubHeading2"/>
    <w:basedOn w:val="HeadingBase"/>
    <w:rsid w:val="000D2B06"/>
    <w:pPr>
      <w:spacing w:before="240" w:after="60"/>
    </w:pPr>
    <w:rPr>
      <w:sz w:val="20"/>
    </w:rPr>
  </w:style>
  <w:style w:type="paragraph" w:customStyle="1" w:styleId="SubHeading1">
    <w:name w:val="SubHeading1"/>
    <w:basedOn w:val="HeadingBase"/>
    <w:rsid w:val="000D2B06"/>
    <w:pPr>
      <w:spacing w:before="240" w:after="60"/>
    </w:pPr>
    <w:rPr>
      <w:color w:val="918585"/>
      <w:sz w:val="22"/>
    </w:rPr>
  </w:style>
  <w:style w:type="paragraph" w:customStyle="1" w:styleId="SideHeading">
    <w:name w:val="Side Heading"/>
    <w:basedOn w:val="HeadingBase"/>
    <w:rsid w:val="000D2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B06"/>
    <w:pPr>
      <w:tabs>
        <w:tab w:val="num" w:pos="360"/>
      </w:tabs>
    </w:pPr>
  </w:style>
  <w:style w:type="paragraph" w:styleId="PlainText">
    <w:name w:val="Plain Text"/>
    <w:basedOn w:val="Normal"/>
    <w:link w:val="PlainTextChar"/>
    <w:rsid w:val="000D2B06"/>
    <w:rPr>
      <w:sz w:val="20"/>
    </w:rPr>
  </w:style>
  <w:style w:type="character" w:customStyle="1" w:styleId="PlainTextChar">
    <w:name w:val="Plain Text Char"/>
    <w:basedOn w:val="DefaultParagraphFont"/>
    <w:link w:val="PlainText"/>
    <w:rsid w:val="000D2B06"/>
    <w:rPr>
      <w:rFonts w:ascii="Courier New" w:eastAsia="Times New Roman" w:hAnsi="Courier New" w:cs="Times New Roman"/>
      <w:sz w:val="20"/>
      <w:szCs w:val="20"/>
      <w:lang w:eastAsia="en-US"/>
    </w:rPr>
  </w:style>
  <w:style w:type="character" w:customStyle="1" w:styleId="MenuOption">
    <w:name w:val="Menu Option"/>
    <w:basedOn w:val="DefaultParagraphFont"/>
    <w:rsid w:val="000D2B06"/>
    <w:rPr>
      <w:b/>
      <w:smallCaps/>
    </w:rPr>
  </w:style>
  <w:style w:type="paragraph" w:customStyle="1" w:styleId="TableListNumber">
    <w:name w:val="Table List Number"/>
    <w:basedOn w:val="ListNumber"/>
    <w:rsid w:val="000D2B06"/>
    <w:pPr>
      <w:numPr>
        <w:numId w:val="0"/>
      </w:numPr>
    </w:pPr>
  </w:style>
  <w:style w:type="paragraph" w:styleId="TOC4">
    <w:name w:val="toc 4"/>
    <w:basedOn w:val="TOCBase"/>
    <w:next w:val="Normal"/>
    <w:semiHidden/>
    <w:rsid w:val="000D2B06"/>
    <w:pPr>
      <w:tabs>
        <w:tab w:val="right" w:leader="dot" w:pos="9071"/>
      </w:tabs>
      <w:ind w:left="1701"/>
    </w:pPr>
  </w:style>
  <w:style w:type="paragraph" w:customStyle="1" w:styleId="ListAlpha">
    <w:name w:val="List Alpha"/>
    <w:basedOn w:val="List"/>
    <w:rsid w:val="000D2B06"/>
    <w:pPr>
      <w:numPr>
        <w:numId w:val="9"/>
      </w:numPr>
    </w:pPr>
  </w:style>
  <w:style w:type="paragraph" w:customStyle="1" w:styleId="ListAlpha2">
    <w:name w:val="List Alpha 2"/>
    <w:basedOn w:val="List2"/>
    <w:rsid w:val="000D2B06"/>
    <w:pPr>
      <w:numPr>
        <w:numId w:val="8"/>
      </w:numPr>
    </w:pPr>
  </w:style>
  <w:style w:type="paragraph" w:styleId="List2">
    <w:name w:val="List 2"/>
    <w:basedOn w:val="BodyText"/>
    <w:rsid w:val="000D2B06"/>
    <w:pPr>
      <w:tabs>
        <w:tab w:val="left" w:pos="680"/>
      </w:tabs>
      <w:spacing w:before="60" w:after="60"/>
      <w:ind w:left="680" w:hanging="340"/>
    </w:pPr>
  </w:style>
  <w:style w:type="paragraph" w:styleId="List3">
    <w:name w:val="List 3"/>
    <w:basedOn w:val="BodyText"/>
    <w:rsid w:val="000D2B06"/>
    <w:pPr>
      <w:tabs>
        <w:tab w:val="left" w:pos="1021"/>
      </w:tabs>
      <w:spacing w:before="60" w:after="60"/>
      <w:ind w:left="1020" w:hanging="340"/>
    </w:pPr>
  </w:style>
  <w:style w:type="paragraph" w:styleId="List4">
    <w:name w:val="List 4"/>
    <w:basedOn w:val="BodyText"/>
    <w:rsid w:val="000D2B06"/>
    <w:pPr>
      <w:tabs>
        <w:tab w:val="left" w:pos="1361"/>
      </w:tabs>
      <w:spacing w:before="60" w:after="60"/>
      <w:ind w:left="1361" w:hanging="340"/>
    </w:pPr>
  </w:style>
  <w:style w:type="paragraph" w:styleId="List5">
    <w:name w:val="List 5"/>
    <w:basedOn w:val="BodyText"/>
    <w:rsid w:val="000D2B06"/>
    <w:pPr>
      <w:tabs>
        <w:tab w:val="left" w:pos="1701"/>
      </w:tabs>
      <w:spacing w:before="60" w:after="60"/>
      <w:ind w:left="1701" w:hanging="340"/>
    </w:pPr>
  </w:style>
  <w:style w:type="paragraph" w:styleId="ListBullet3">
    <w:name w:val="List Bullet 3"/>
    <w:basedOn w:val="List3"/>
    <w:rsid w:val="000D2B06"/>
    <w:pPr>
      <w:numPr>
        <w:numId w:val="14"/>
      </w:numPr>
      <w:tabs>
        <w:tab w:val="clear" w:pos="1021"/>
      </w:tabs>
      <w:ind w:left="1037" w:hanging="357"/>
    </w:pPr>
  </w:style>
  <w:style w:type="paragraph" w:styleId="ListBullet4">
    <w:name w:val="List Bullet 4"/>
    <w:basedOn w:val="List4"/>
    <w:rsid w:val="000D2B06"/>
    <w:pPr>
      <w:numPr>
        <w:numId w:val="3"/>
      </w:numPr>
      <w:tabs>
        <w:tab w:val="clear" w:pos="1361"/>
      </w:tabs>
    </w:pPr>
  </w:style>
  <w:style w:type="paragraph" w:styleId="ListBullet5">
    <w:name w:val="List Bullet 5"/>
    <w:basedOn w:val="List5"/>
    <w:rsid w:val="000D2B06"/>
    <w:pPr>
      <w:numPr>
        <w:numId w:val="4"/>
      </w:numPr>
    </w:pPr>
  </w:style>
  <w:style w:type="paragraph" w:styleId="ListContinue2">
    <w:name w:val="List Continue 2"/>
    <w:basedOn w:val="List2"/>
    <w:rsid w:val="000D2B06"/>
    <w:pPr>
      <w:ind w:firstLine="0"/>
    </w:pPr>
  </w:style>
  <w:style w:type="paragraph" w:styleId="ListContinue3">
    <w:name w:val="List Continue 3"/>
    <w:basedOn w:val="List3"/>
    <w:rsid w:val="000D2B06"/>
    <w:pPr>
      <w:ind w:left="1021" w:firstLine="0"/>
    </w:pPr>
  </w:style>
  <w:style w:type="paragraph" w:styleId="ListContinue4">
    <w:name w:val="List Continue 4"/>
    <w:basedOn w:val="List4"/>
    <w:rsid w:val="000D2B06"/>
    <w:pPr>
      <w:ind w:firstLine="0"/>
    </w:pPr>
  </w:style>
  <w:style w:type="paragraph" w:styleId="ListContinue5">
    <w:name w:val="List Continue 5"/>
    <w:basedOn w:val="List5"/>
    <w:rsid w:val="000D2B06"/>
    <w:pPr>
      <w:ind w:firstLine="0"/>
    </w:pPr>
  </w:style>
  <w:style w:type="paragraph" w:styleId="ListNumber3">
    <w:name w:val="List Number 3"/>
    <w:basedOn w:val="List3"/>
    <w:rsid w:val="000D2B06"/>
    <w:pPr>
      <w:numPr>
        <w:numId w:val="5"/>
      </w:numPr>
    </w:pPr>
  </w:style>
  <w:style w:type="paragraph" w:styleId="ListNumber4">
    <w:name w:val="List Number 4"/>
    <w:basedOn w:val="List4"/>
    <w:rsid w:val="000D2B06"/>
    <w:pPr>
      <w:numPr>
        <w:numId w:val="6"/>
      </w:numPr>
    </w:pPr>
  </w:style>
  <w:style w:type="paragraph" w:styleId="ListNumber5">
    <w:name w:val="List Number 5"/>
    <w:basedOn w:val="List5"/>
    <w:rsid w:val="000D2B06"/>
    <w:pPr>
      <w:numPr>
        <w:numId w:val="7"/>
      </w:numPr>
    </w:pPr>
  </w:style>
  <w:style w:type="paragraph" w:styleId="BlockText">
    <w:name w:val="Block Text"/>
    <w:basedOn w:val="Normal"/>
    <w:rsid w:val="000D2B06"/>
    <w:pPr>
      <w:spacing w:after="120"/>
      <w:ind w:left="1440" w:right="1440"/>
    </w:pPr>
  </w:style>
  <w:style w:type="character" w:customStyle="1" w:styleId="Subscript">
    <w:name w:val="Subscript"/>
    <w:basedOn w:val="DefaultParagraphFont"/>
    <w:rsid w:val="000D2B06"/>
    <w:rPr>
      <w:sz w:val="16"/>
      <w:vertAlign w:val="subscript"/>
    </w:rPr>
  </w:style>
  <w:style w:type="character" w:customStyle="1" w:styleId="Superscript">
    <w:name w:val="Superscript"/>
    <w:basedOn w:val="DefaultParagraphFont"/>
    <w:rsid w:val="000D2B06"/>
    <w:rPr>
      <w:sz w:val="16"/>
      <w:vertAlign w:val="superscript"/>
    </w:rPr>
  </w:style>
  <w:style w:type="character" w:customStyle="1" w:styleId="Symbols">
    <w:name w:val="Symbols"/>
    <w:basedOn w:val="DefaultParagraphFont"/>
    <w:rsid w:val="000D2B06"/>
    <w:rPr>
      <w:rFonts w:ascii="Symbol" w:hAnsi="Symbol"/>
    </w:rPr>
  </w:style>
  <w:style w:type="character" w:customStyle="1" w:styleId="MenuOptions">
    <w:name w:val="Menu Options"/>
    <w:basedOn w:val="DefaultParagraphFont"/>
    <w:rsid w:val="000D2B06"/>
    <w:rPr>
      <w:rFonts w:ascii="Arial Narrow" w:hAnsi="Arial Narrow"/>
      <w:smallCaps/>
    </w:rPr>
  </w:style>
  <w:style w:type="character" w:customStyle="1" w:styleId="Buttons">
    <w:name w:val="Buttons"/>
    <w:basedOn w:val="DefaultParagraphFont"/>
    <w:rsid w:val="000D2B06"/>
    <w:rPr>
      <w:b/>
    </w:rPr>
  </w:style>
  <w:style w:type="character" w:customStyle="1" w:styleId="Underlined">
    <w:name w:val="Underlined"/>
    <w:basedOn w:val="DefaultParagraphFont"/>
    <w:rsid w:val="000D2B06"/>
    <w:rPr>
      <w:u w:val="single"/>
    </w:rPr>
  </w:style>
  <w:style w:type="paragraph" w:customStyle="1" w:styleId="TableBodyTextRight">
    <w:name w:val="Table Body Text Right"/>
    <w:basedOn w:val="TableBodyText"/>
    <w:rsid w:val="000D2B06"/>
    <w:pPr>
      <w:widowControl w:val="0"/>
      <w:autoSpaceDE w:val="0"/>
      <w:autoSpaceDN w:val="0"/>
      <w:adjustRightInd w:val="0"/>
      <w:jc w:val="right"/>
    </w:pPr>
    <w:rPr>
      <w:rFonts w:cs="Arial"/>
      <w:szCs w:val="18"/>
    </w:rPr>
  </w:style>
  <w:style w:type="paragraph" w:customStyle="1" w:styleId="CopyrightText">
    <w:name w:val="Copyright Text"/>
    <w:basedOn w:val="BodyText"/>
    <w:rsid w:val="000D2B06"/>
    <w:rPr>
      <w:sz w:val="18"/>
    </w:rPr>
  </w:style>
  <w:style w:type="paragraph" w:customStyle="1" w:styleId="BodySmallRight">
    <w:name w:val="Body Small Right"/>
    <w:basedOn w:val="BodyTextRight"/>
    <w:rsid w:val="000D2B06"/>
    <w:rPr>
      <w:sz w:val="18"/>
      <w:szCs w:val="18"/>
    </w:rPr>
  </w:style>
  <w:style w:type="paragraph" w:customStyle="1" w:styleId="MarginEdition">
    <w:name w:val="Margin Edition"/>
    <w:basedOn w:val="MarginNote"/>
    <w:rsid w:val="000D2B06"/>
    <w:pPr>
      <w:spacing w:before="0" w:after="0"/>
    </w:pPr>
    <w:rPr>
      <w:rFonts w:ascii="Times New Roman" w:hAnsi="Times New Roman"/>
      <w:color w:val="999999"/>
    </w:rPr>
  </w:style>
  <w:style w:type="paragraph" w:customStyle="1" w:styleId="Spacer">
    <w:name w:val="Spacer"/>
    <w:basedOn w:val="Normal"/>
    <w:rsid w:val="000D2B06"/>
    <w:rPr>
      <w:sz w:val="2"/>
      <w:szCs w:val="2"/>
    </w:rPr>
  </w:style>
  <w:style w:type="character" w:customStyle="1" w:styleId="Small">
    <w:name w:val="Small"/>
    <w:basedOn w:val="DefaultParagraphFont"/>
    <w:rsid w:val="000D2B06"/>
    <w:rPr>
      <w:sz w:val="16"/>
    </w:rPr>
  </w:style>
  <w:style w:type="paragraph" w:customStyle="1" w:styleId="WideTable">
    <w:name w:val="Wide Table"/>
    <w:basedOn w:val="Normal"/>
    <w:rsid w:val="000D2B06"/>
    <w:pPr>
      <w:ind w:left="-1418"/>
    </w:pPr>
    <w:rPr>
      <w:sz w:val="2"/>
      <w:szCs w:val="2"/>
    </w:rPr>
  </w:style>
  <w:style w:type="character" w:styleId="PageNumber">
    <w:name w:val="page number"/>
    <w:basedOn w:val="DefaultParagraphFont"/>
    <w:rsid w:val="000D2B06"/>
  </w:style>
  <w:style w:type="paragraph" w:styleId="Quote">
    <w:name w:val="Quote"/>
    <w:basedOn w:val="Heading1"/>
    <w:link w:val="QuoteChar"/>
    <w:qFormat/>
    <w:rsid w:val="000D2B06"/>
    <w:rPr>
      <w:b w:val="0"/>
      <w:sz w:val="72"/>
      <w:szCs w:val="72"/>
      <w:lang w:val="en-NZ"/>
    </w:rPr>
  </w:style>
  <w:style w:type="character" w:customStyle="1" w:styleId="QuoteChar">
    <w:name w:val="Quote Char"/>
    <w:basedOn w:val="DefaultParagraphFont"/>
    <w:link w:val="Quote"/>
    <w:rsid w:val="000D2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B06"/>
    <w:pPr>
      <w:pageBreakBefore/>
    </w:pPr>
  </w:style>
  <w:style w:type="paragraph" w:customStyle="1" w:styleId="Border">
    <w:name w:val="Border"/>
    <w:basedOn w:val="Normal"/>
    <w:qFormat/>
    <w:rsid w:val="000D2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B06"/>
    <w:rPr>
      <w:b/>
      <w:bCs/>
      <w:i/>
      <w:iCs/>
      <w:color w:val="auto"/>
    </w:rPr>
  </w:style>
  <w:style w:type="paragraph" w:styleId="IntenseQuote">
    <w:name w:val="Intense Quote"/>
    <w:basedOn w:val="Normal"/>
    <w:next w:val="Normal"/>
    <w:link w:val="IntenseQuoteChar"/>
    <w:uiPriority w:val="30"/>
    <w:qFormat/>
    <w:rsid w:val="000D2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B06"/>
    <w:rPr>
      <w:smallCaps/>
      <w:color w:val="auto"/>
      <w:u w:val="single"/>
    </w:rPr>
  </w:style>
  <w:style w:type="character" w:styleId="IntenseReference">
    <w:name w:val="Intense Reference"/>
    <w:basedOn w:val="DefaultParagraphFont"/>
    <w:uiPriority w:val="32"/>
    <w:qFormat/>
    <w:rsid w:val="000D2B06"/>
    <w:rPr>
      <w:b/>
      <w:bCs/>
      <w:smallCaps/>
      <w:color w:val="auto"/>
      <w:spacing w:val="5"/>
      <w:u w:val="single"/>
    </w:rPr>
  </w:style>
  <w:style w:type="paragraph" w:customStyle="1" w:styleId="2ColumnHeading">
    <w:name w:val="2Column Heading"/>
    <w:basedOn w:val="BodyText"/>
    <w:qFormat/>
    <w:rsid w:val="000D2B06"/>
    <w:pPr>
      <w:spacing w:after="60"/>
      <w:ind w:left="-2268"/>
    </w:pPr>
    <w:rPr>
      <w:b/>
    </w:rPr>
  </w:style>
  <w:style w:type="paragraph" w:customStyle="1" w:styleId="Heading1TOC">
    <w:name w:val="Heading1 TOC"/>
    <w:basedOn w:val="Normal"/>
    <w:qFormat/>
    <w:rsid w:val="000D2B06"/>
    <w:pPr>
      <w:spacing w:before="240" w:after="120"/>
    </w:pPr>
    <w:rPr>
      <w:rFonts w:ascii="Times New Roman" w:hAnsi="Times New Roman"/>
      <w:b/>
      <w:sz w:val="32"/>
    </w:rPr>
  </w:style>
  <w:style w:type="paragraph" w:customStyle="1" w:styleId="Heading2TOC">
    <w:name w:val="Heading2 TOC"/>
    <w:basedOn w:val="Normal"/>
    <w:qFormat/>
    <w:rsid w:val="000D2B06"/>
    <w:pPr>
      <w:spacing w:before="240" w:after="60"/>
    </w:pPr>
    <w:rPr>
      <w:rFonts w:ascii="Times New Roman" w:hAnsi="Times New Roman"/>
      <w:b/>
      <w:sz w:val="28"/>
    </w:rPr>
  </w:style>
  <w:style w:type="character" w:customStyle="1" w:styleId="Underline">
    <w:name w:val="Underline"/>
    <w:basedOn w:val="DefaultParagraphFont"/>
    <w:qFormat/>
    <w:rsid w:val="000D2B06"/>
    <w:rPr>
      <w:u w:val="single"/>
    </w:rPr>
  </w:style>
  <w:style w:type="character" w:customStyle="1" w:styleId="BoldandItalics">
    <w:name w:val="Bold and Italics"/>
    <w:qFormat/>
    <w:rsid w:val="000D2B06"/>
    <w:rPr>
      <w:b/>
      <w:i/>
      <w:u w:val="none"/>
    </w:rPr>
  </w:style>
  <w:style w:type="paragraph" w:styleId="BalloonText">
    <w:name w:val="Balloon Text"/>
    <w:basedOn w:val="Normal"/>
    <w:link w:val="BalloonTextChar"/>
    <w:rsid w:val="000D2B06"/>
    <w:rPr>
      <w:rFonts w:ascii="Tahoma" w:hAnsi="Tahoma" w:cs="Tahoma"/>
      <w:sz w:val="16"/>
      <w:szCs w:val="16"/>
    </w:rPr>
  </w:style>
  <w:style w:type="character" w:customStyle="1" w:styleId="BalloonTextChar">
    <w:name w:val="Balloon Text Char"/>
    <w:basedOn w:val="DefaultParagraphFont"/>
    <w:link w:val="BalloonText"/>
    <w:rsid w:val="000D2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B06"/>
    <w:rPr>
      <w:b/>
      <w:color w:val="660033"/>
      <w:spacing w:val="0"/>
    </w:rPr>
  </w:style>
  <w:style w:type="paragraph" w:customStyle="1" w:styleId="Nameditemlist">
    <w:name w:val="Named item list"/>
    <w:basedOn w:val="BodyText"/>
    <w:qFormat/>
    <w:rsid w:val="000D2B06"/>
    <w:pPr>
      <w:tabs>
        <w:tab w:val="left" w:pos="2835"/>
      </w:tabs>
      <w:ind w:left="2835" w:hanging="2835"/>
    </w:pPr>
  </w:style>
  <w:style w:type="paragraph" w:customStyle="1" w:styleId="BodyTextnopadding">
    <w:name w:val="Body Text no padding"/>
    <w:basedOn w:val="BodyText"/>
    <w:qFormat/>
    <w:rsid w:val="000D2B06"/>
    <w:pPr>
      <w:spacing w:before="0" w:after="0"/>
    </w:pPr>
  </w:style>
  <w:style w:type="paragraph" w:customStyle="1" w:styleId="BodyTextBold">
    <w:name w:val="Body Text Bold"/>
    <w:basedOn w:val="BodyText"/>
    <w:qFormat/>
    <w:rsid w:val="000D2B06"/>
    <w:rPr>
      <w:b/>
    </w:rPr>
  </w:style>
  <w:style w:type="character" w:styleId="Hyperlink">
    <w:name w:val="Hyperlink"/>
    <w:basedOn w:val="DefaultParagraphFont"/>
    <w:uiPriority w:val="99"/>
    <w:unhideWhenUsed/>
    <w:rsid w:val="004D0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9370</Characters>
  <Application>Microsoft Office Word</Application>
  <DocSecurity>0</DocSecurity>
  <Lines>347</Lines>
  <Paragraphs>204</Paragraphs>
  <ScaleCrop>false</ScaleCrop>
  <Company>Author-it Software Corporation Ltd.</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MEM05027 Perform aluminothermic welding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