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780" w:rsidP="00EB7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MEM05023 Weld using submerged arc welding process</w:t>
      </w:r>
      <w:r>
        <w:fldChar w:fldCharType="end"/>
      </w:r>
    </w:p>
    <w:p w:rsidR="00EB7780" w:rsidP="00EB7780">
      <w:pPr>
        <w:pStyle w:val="Version"/>
        <w:sectPr w:rsidSect="00570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6DE" w:rsidP="005706DE">
      <w:pPr>
        <w:pStyle w:val="SuperHeading"/>
      </w:pPr>
      <w:r w:rsidRPr="005706DE">
        <w:t>Assessment Requirements for MEM05023 Weld using submerged arc welding process</w:t>
      </w:r>
    </w:p>
    <w:p w:rsidR="00000000" w:rsidRPr="005706DE" w:rsidP="005706DE">
      <w:pPr>
        <w:pStyle w:val="Heading1"/>
      </w:pPr>
      <w:bookmarkStart w:id="1" w:name="O_942354"/>
      <w:bookmarkEnd w:id="1"/>
      <w:r w:rsidRPr="005706DE">
        <w:t>Modification History</w:t>
      </w:r>
    </w:p>
    <w:p w:rsidR="00000000" w:rsidRPr="005706DE" w:rsidP="00EB7780">
      <w:pPr>
        <w:pStyle w:val="BodyText"/>
      </w:pPr>
      <w:r w:rsidRPr="005706DE">
        <w:t xml:space="preserve">Release 1. Supersedes and is equivalent to MEM05023C Weld using submerged arc welding process </w:t>
      </w:r>
    </w:p>
    <w:p w:rsidR="00000000" w:rsidRPr="005706DE" w:rsidP="005706DE">
      <w:pPr>
        <w:pStyle w:val="Heading1"/>
      </w:pPr>
      <w:bookmarkStart w:id="2" w:name="O_942357"/>
      <w:bookmarkEnd w:id="2"/>
      <w:r w:rsidRPr="005706DE">
        <w:t>Performance Evidence</w:t>
      </w:r>
    </w:p>
    <w:p w:rsidR="00000000" w:rsidRPr="005706DE" w:rsidP="00EB7780">
      <w:pPr>
        <w:pStyle w:val="BodyText"/>
      </w:pPr>
      <w:r w:rsidRPr="005706DE">
        <w:t>Evidence required to demonstrate competence in this unit must be relevant to and satisfy the requirements of the elements and performance criteria on at least two (2) occasions and include:</w:t>
      </w:r>
    </w:p>
    <w:p w:rsidR="00000000" w:rsidRPr="005706DE" w:rsidP="005706DE">
      <w:pPr>
        <w:pStyle w:val="ListBullet"/>
      </w:pPr>
      <w:r w:rsidRPr="005706DE">
        <w:t>following work instructions, standard operating procedures (SOPs)</w:t>
      </w:r>
      <w:r w:rsidRPr="005706DE">
        <w:t xml:space="preserve"> and safe work practices </w:t>
      </w:r>
    </w:p>
    <w:p w:rsidR="00000000" w:rsidRPr="005706DE" w:rsidP="005706DE">
      <w:pPr>
        <w:pStyle w:val="ListBullet"/>
      </w:pPr>
      <w:r w:rsidRPr="005706DE">
        <w:t xml:space="preserve">identifying and interpreting specifications from drawings, sketches and verbal or written job instructions for welding using submerged arc welding (SAW) process to AS 1554 General Purpose or equivalent </w:t>
      </w:r>
    </w:p>
    <w:p w:rsidR="00000000" w:rsidRPr="005706DE" w:rsidP="005706DE">
      <w:pPr>
        <w:pStyle w:val="ListBullet"/>
      </w:pPr>
      <w:r w:rsidRPr="005706DE">
        <w:t xml:space="preserve">selecting appropriate weld </w:t>
      </w:r>
      <w:r w:rsidRPr="005706DE">
        <w:t xml:space="preserve">and joint preparation methods </w:t>
      </w:r>
    </w:p>
    <w:p w:rsidR="00000000" w:rsidRPr="005706DE" w:rsidP="005706DE">
      <w:pPr>
        <w:pStyle w:val="ListBullet"/>
      </w:pPr>
      <w:r w:rsidRPr="005706DE">
        <w:t xml:space="preserve">consistently weld materials to the specified standard or equivalent using DC welding machines and electrodes while preventing distortion </w:t>
      </w:r>
    </w:p>
    <w:p w:rsidR="00000000" w:rsidRPr="005706DE" w:rsidP="005706DE">
      <w:pPr>
        <w:pStyle w:val="ListBullet"/>
      </w:pPr>
      <w:r w:rsidRPr="005706DE">
        <w:t xml:space="preserve">rectifying any defects </w:t>
      </w:r>
    </w:p>
    <w:p w:rsidR="00000000" w:rsidRPr="005706DE" w:rsidP="005706DE">
      <w:pPr>
        <w:pStyle w:val="ListBullet"/>
      </w:pPr>
      <w:r w:rsidRPr="005706DE">
        <w:t xml:space="preserve">completing and maintaining weld records related to SAW welding </w:t>
      </w:r>
      <w:r w:rsidRPr="005706DE">
        <w:t>onto standard workplace forms.</w:t>
      </w:r>
    </w:p>
    <w:p w:rsidR="00000000" w:rsidRPr="005706DE" w:rsidP="005706DE">
      <w:pPr>
        <w:pStyle w:val="AllowPageBreak"/>
      </w:pPr>
    </w:p>
    <w:p w:rsidR="00000000" w:rsidRPr="005706DE" w:rsidP="005706DE">
      <w:pPr>
        <w:pStyle w:val="Heading1"/>
      </w:pPr>
      <w:bookmarkStart w:id="3" w:name="O_942356"/>
      <w:bookmarkEnd w:id="3"/>
      <w:r w:rsidRPr="005706DE">
        <w:t>Knowledge Evidence</w:t>
      </w:r>
    </w:p>
    <w:p w:rsidR="00000000" w:rsidRPr="005706DE" w:rsidP="00EB7780">
      <w:pPr>
        <w:pStyle w:val="BodyText"/>
      </w:pPr>
      <w:r w:rsidRPr="005706DE">
        <w:t>Evidence required to demonstrate the required knowledge for this unit must be relevant to and satisfy the requirements of the elements and performance criteria and include knowledge of:</w:t>
      </w:r>
    </w:p>
    <w:p w:rsidR="00000000" w:rsidRPr="005706DE" w:rsidP="005706DE">
      <w:pPr>
        <w:pStyle w:val="ListBullet"/>
      </w:pPr>
      <w:r w:rsidRPr="005706DE">
        <w:t>sa</w:t>
      </w:r>
      <w:r w:rsidRPr="005706DE">
        <w:t>fe welding practices and procedures and use of personal protective equipment (PPE)</w:t>
      </w:r>
    </w:p>
    <w:p w:rsidR="00000000" w:rsidRPr="005706DE" w:rsidP="005706DE">
      <w:pPr>
        <w:pStyle w:val="ListBullet"/>
      </w:pPr>
      <w:r w:rsidRPr="005706DE">
        <w:t>main types of fluxes and flux/wire combinations</w:t>
      </w:r>
    </w:p>
    <w:p w:rsidR="00000000" w:rsidRPr="005706DE" w:rsidP="005706DE">
      <w:pPr>
        <w:pStyle w:val="ListBullet"/>
      </w:pPr>
      <w:r w:rsidRPr="005706DE">
        <w:t>typical applications of SAW and common materials</w:t>
      </w:r>
    </w:p>
    <w:p w:rsidR="00000000" w:rsidRPr="005706DE" w:rsidP="005706DE">
      <w:pPr>
        <w:pStyle w:val="ListBullet"/>
      </w:pPr>
      <w:r w:rsidRPr="005706DE">
        <w:t>application of weld metal transfer (short arc and spray)</w:t>
      </w:r>
    </w:p>
    <w:p w:rsidR="00000000" w:rsidRPr="005706DE" w:rsidP="005706DE">
      <w:pPr>
        <w:pStyle w:val="ListBullet"/>
      </w:pPr>
      <w:r w:rsidRPr="005706DE">
        <w:t>material preparatio</w:t>
      </w:r>
      <w:r w:rsidRPr="005706DE">
        <w:t>n</w:t>
      </w:r>
    </w:p>
    <w:p w:rsidR="00000000" w:rsidRPr="005706DE" w:rsidP="005706DE">
      <w:pPr>
        <w:pStyle w:val="ListBullet"/>
      </w:pPr>
      <w:r w:rsidRPr="005706DE">
        <w:t>joint preparations</w:t>
      </w:r>
    </w:p>
    <w:p w:rsidR="00000000" w:rsidRPr="005706DE" w:rsidP="005706DE">
      <w:pPr>
        <w:pStyle w:val="ListBullet"/>
      </w:pPr>
      <w:r w:rsidRPr="005706DE">
        <w:t>electrode classification</w:t>
      </w:r>
    </w:p>
    <w:p w:rsidR="00000000" w:rsidRPr="005706DE" w:rsidP="005706DE">
      <w:pPr>
        <w:pStyle w:val="ListBullet"/>
      </w:pPr>
      <w:r w:rsidRPr="005706DE">
        <w:t xml:space="preserve">causes of distortion for materials </w:t>
      </w:r>
    </w:p>
    <w:p w:rsidR="00000000" w:rsidRPr="005706DE" w:rsidP="005706DE">
      <w:pPr>
        <w:pStyle w:val="ListBullet"/>
      </w:pPr>
      <w:r w:rsidRPr="005706DE">
        <w:t>causes of defects and methods of rectification</w:t>
      </w:r>
    </w:p>
    <w:p w:rsidR="00000000" w:rsidRPr="005706DE" w:rsidP="005706DE">
      <w:pPr>
        <w:pStyle w:val="ListBullet"/>
      </w:pPr>
      <w:r w:rsidRPr="005706DE">
        <w:t>requirements of AS 1554 General Purpose or equivalent.</w:t>
      </w:r>
    </w:p>
    <w:p w:rsidR="00000000" w:rsidRPr="005706DE" w:rsidP="005706DE">
      <w:pPr>
        <w:pStyle w:val="AllowPageBreak"/>
      </w:pPr>
    </w:p>
    <w:p w:rsidR="00000000" w:rsidRPr="005706DE" w:rsidP="005706DE">
      <w:pPr>
        <w:pStyle w:val="Heading1"/>
      </w:pPr>
      <w:bookmarkStart w:id="4" w:name="O_942355"/>
      <w:bookmarkEnd w:id="4"/>
      <w:r w:rsidRPr="005706DE">
        <w:t>Assessment Conditions</w:t>
      </w:r>
    </w:p>
    <w:p w:rsidR="00000000" w:rsidRPr="005706DE" w:rsidP="005706DE">
      <w:pPr>
        <w:pStyle w:val="ListBullet"/>
      </w:pPr>
      <w:r w:rsidRPr="005706DE">
        <w:t>Assessors must:</w:t>
      </w:r>
    </w:p>
    <w:p w:rsidR="00000000" w:rsidRPr="005706DE" w:rsidP="005706DE">
      <w:pPr>
        <w:pStyle w:val="ListBullet2"/>
      </w:pPr>
      <w:r w:rsidRPr="005706DE">
        <w:t>have vocational competency in welding using SAW process at least to the level being assessed with relevant industry knowledge and experience</w:t>
      </w:r>
    </w:p>
    <w:p w:rsidR="00000000" w:rsidRPr="005706DE" w:rsidP="005706DE">
      <w:pPr>
        <w:pStyle w:val="ListBullet2"/>
      </w:pPr>
      <w:r w:rsidRPr="005706DE">
        <w:t xml:space="preserve">satisfy the assessor requirements in the </w:t>
      </w:r>
      <w:r w:rsidRPr="005706DE">
        <w:rPr>
          <w:rStyle w:val="Emphasis"/>
        </w:rPr>
        <w:t xml:space="preserve">Standards for Registered Training Organisations 2015 </w:t>
      </w:r>
      <w:r w:rsidRPr="005706DE">
        <w:t>or its replacement</w:t>
      </w:r>
      <w:r w:rsidRPr="005706DE">
        <w:rPr>
          <w:rStyle w:val="Emphasis"/>
        </w:rPr>
        <w:t xml:space="preserve"> </w:t>
      </w:r>
      <w:r w:rsidRPr="005706DE">
        <w:t>an</w:t>
      </w:r>
      <w:r w:rsidRPr="005706DE">
        <w:t xml:space="preserve">d comply with the </w:t>
      </w:r>
      <w:r w:rsidRPr="005706DE">
        <w:rPr>
          <w:rStyle w:val="Emphasis"/>
        </w:rPr>
        <w:t xml:space="preserve">National Vocational Education and Training Regulator Act 2011, </w:t>
      </w:r>
      <w:r w:rsidRPr="005706DE">
        <w:t>its replacement</w:t>
      </w:r>
      <w:r w:rsidRPr="005706DE">
        <w:rPr>
          <w:rStyle w:val="Emphasis"/>
        </w:rPr>
        <w:t xml:space="preserve"> </w:t>
      </w:r>
      <w:r w:rsidRPr="005706DE">
        <w:t>or equivalent legislation covering VET regulation in a non-referring state/territory as the case requires</w:t>
      </w:r>
    </w:p>
    <w:p w:rsidR="00000000" w:rsidRPr="005706DE" w:rsidP="005706DE">
      <w:pPr>
        <w:pStyle w:val="ListBullet"/>
      </w:pPr>
      <w:r w:rsidRPr="005706DE">
        <w:t xml:space="preserve">Where possible assessment must occur in operational </w:t>
      </w:r>
      <w:r w:rsidRPr="005706DE">
        <w:t>workplace situations. Where this is not possible or where personal safety or environmental damage are limiting factors, assessment must occur in a sufficiently rigorous simulated environment that reflects realistic operational workplace conditions. This mu</w:t>
      </w:r>
      <w:r w:rsidRPr="005706DE">
        <w:t>st cover all aspects of workplace performance, including environment, task skills, task management skills, contingency management skills and job role environment skills</w:t>
      </w:r>
    </w:p>
    <w:p w:rsidR="00000000" w:rsidRPr="005706DE" w:rsidP="005706DE">
      <w:pPr>
        <w:pStyle w:val="ListBullet"/>
      </w:pPr>
      <w:r w:rsidRPr="005706DE">
        <w:t>Conditions for assessment must include access to all tools, equipment, materials and do</w:t>
      </w:r>
      <w:r w:rsidRPr="005706DE">
        <w:t>cumentation required, including relevant workplace procedures, product and manufacturing specifications</w:t>
      </w:r>
    </w:p>
    <w:p w:rsidR="00000000" w:rsidRPr="005706DE" w:rsidP="005706DE">
      <w:pPr>
        <w:pStyle w:val="ListBullet"/>
      </w:pPr>
      <w:r w:rsidRPr="005706DE">
        <w:t>Assessment processes and techniques must be appropriate to the language, literacy and numeracy requirements of the work being performed and the needs of</w:t>
      </w:r>
      <w:r w:rsidRPr="005706DE">
        <w:t xml:space="preserve"> the candidate.</w:t>
      </w:r>
    </w:p>
    <w:p w:rsidR="00000000" w:rsidRPr="005706DE" w:rsidP="005706DE">
      <w:pPr>
        <w:pStyle w:val="AllowPageBreak"/>
      </w:pPr>
    </w:p>
    <w:p w:rsidR="00000000" w:rsidRPr="005706DE" w:rsidP="005706DE">
      <w:pPr>
        <w:pStyle w:val="Heading1"/>
      </w:pPr>
      <w:bookmarkStart w:id="5" w:name="O_942353"/>
      <w:bookmarkEnd w:id="5"/>
      <w:r w:rsidRPr="005706DE">
        <w:t>Links</w:t>
      </w:r>
    </w:p>
    <w:p w:rsidR="00000000" w:rsidRPr="005706DE" w:rsidP="00EB7780">
      <w:pPr>
        <w:pStyle w:val="BodyText"/>
      </w:pPr>
      <w:r w:rsidRPr="005706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06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06DE" w:rsidP="005706DE"/>
    <w:sectPr w:rsidSect="005706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DE" w:rsidRPr="00EB7780" w:rsidP="00EB7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80" w:rsidP="00570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7780" w:rsidP="00570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7780" w:rsidP="00570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6DE" w:rsidRPr="00EB7780" w:rsidP="00EB7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80" w:rsidRPr="002D2AF8" w:rsidP="00570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MEM05023 Weld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EB7780" w:rsidP="00570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F42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6A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48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6DE"/>
  </w:style>
  <w:style w:type="character" w:customStyle="1" w:styleId="Heading1Char">
    <w:name w:val="Heading 1 Char"/>
    <w:basedOn w:val="DefaultParagraphFont"/>
    <w:link w:val="Heading1"/>
    <w:rsid w:val="00570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6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6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06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06DE"/>
    <w:rPr>
      <w:i/>
    </w:rPr>
  </w:style>
  <w:style w:type="paragraph" w:customStyle="1" w:styleId="SuperHeading">
    <w:name w:val="SuperHeading"/>
    <w:basedOn w:val="Normal"/>
    <w:rsid w:val="00570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6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6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6DE"/>
    <w:rPr>
      <w:b/>
      <w:spacing w:val="0"/>
    </w:rPr>
  </w:style>
  <w:style w:type="paragraph" w:customStyle="1" w:styleId="SuperTitle">
    <w:name w:val="SuperTitle"/>
    <w:basedOn w:val="Title"/>
    <w:rsid w:val="00570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6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6DE"/>
  </w:style>
  <w:style w:type="paragraph" w:styleId="TableofFigures">
    <w:name w:val="table of figures"/>
    <w:basedOn w:val="Normal"/>
    <w:next w:val="Normal"/>
    <w:semiHidden/>
    <w:rsid w:val="00570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6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6DE"/>
    <w:rPr>
      <w:rFonts w:ascii="Wingdings" w:hAnsi="Wingdings"/>
    </w:rPr>
  </w:style>
  <w:style w:type="paragraph" w:customStyle="1" w:styleId="TableHeading">
    <w:name w:val="Table Heading"/>
    <w:basedOn w:val="HeadingBase"/>
    <w:rsid w:val="00570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6DE"/>
    <w:rPr>
      <w:color w:val="0033CC"/>
      <w:u w:val="none"/>
    </w:rPr>
  </w:style>
  <w:style w:type="paragraph" w:customStyle="1" w:styleId="BodyTextRight">
    <w:name w:val="Body Text Right"/>
    <w:basedOn w:val="BodyText"/>
    <w:rsid w:val="00570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6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6DE"/>
    <w:rPr>
      <w:sz w:val="32"/>
    </w:rPr>
  </w:style>
  <w:style w:type="paragraph" w:customStyle="1" w:styleId="HeadingProcedure">
    <w:name w:val="Heading Procedure"/>
    <w:basedOn w:val="HeadingBase"/>
    <w:next w:val="Normal"/>
    <w:rsid w:val="00570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6DE"/>
    <w:pPr>
      <w:spacing w:before="60" w:after="60"/>
    </w:pPr>
  </w:style>
  <w:style w:type="paragraph" w:styleId="ListContinue">
    <w:name w:val="List Continue"/>
    <w:basedOn w:val="List"/>
    <w:rsid w:val="005706DE"/>
    <w:pPr>
      <w:ind w:firstLine="0"/>
    </w:pPr>
  </w:style>
  <w:style w:type="paragraph" w:customStyle="1" w:styleId="ListNote">
    <w:name w:val="List Note"/>
    <w:basedOn w:val="List"/>
    <w:rsid w:val="00570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6DE"/>
    <w:rPr>
      <w:rFonts w:ascii="Courier New" w:hAnsi="Courier New"/>
    </w:rPr>
  </w:style>
  <w:style w:type="paragraph" w:customStyle="1" w:styleId="NoteBullet">
    <w:name w:val="Note Bullet"/>
    <w:basedOn w:val="Note"/>
    <w:rsid w:val="00570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6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6DE"/>
    <w:rPr>
      <w:b/>
      <w:smallCaps/>
    </w:rPr>
  </w:style>
  <w:style w:type="paragraph" w:customStyle="1" w:styleId="TableListNumber">
    <w:name w:val="Table List Number"/>
    <w:basedOn w:val="ListNumber"/>
    <w:rsid w:val="00570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6DE"/>
    <w:pPr>
      <w:numPr>
        <w:numId w:val="9"/>
      </w:numPr>
    </w:pPr>
  </w:style>
  <w:style w:type="paragraph" w:customStyle="1" w:styleId="ListAlpha2">
    <w:name w:val="List Alpha 2"/>
    <w:basedOn w:val="List2"/>
    <w:rsid w:val="005706DE"/>
    <w:pPr>
      <w:numPr>
        <w:numId w:val="8"/>
      </w:numPr>
    </w:pPr>
  </w:style>
  <w:style w:type="paragraph" w:styleId="List2">
    <w:name w:val="List 2"/>
    <w:basedOn w:val="BodyText"/>
    <w:rsid w:val="00570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6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6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6DE"/>
    <w:pPr>
      <w:numPr>
        <w:numId w:val="4"/>
      </w:numPr>
    </w:pPr>
  </w:style>
  <w:style w:type="paragraph" w:styleId="ListContinue2">
    <w:name w:val="List Continue 2"/>
    <w:basedOn w:val="List2"/>
    <w:rsid w:val="005706DE"/>
    <w:pPr>
      <w:ind w:firstLine="0"/>
    </w:pPr>
  </w:style>
  <w:style w:type="paragraph" w:styleId="ListContinue3">
    <w:name w:val="List Continue 3"/>
    <w:basedOn w:val="List3"/>
    <w:rsid w:val="005706DE"/>
    <w:pPr>
      <w:ind w:left="1021" w:firstLine="0"/>
    </w:pPr>
  </w:style>
  <w:style w:type="paragraph" w:styleId="ListContinue4">
    <w:name w:val="List Continue 4"/>
    <w:basedOn w:val="List4"/>
    <w:rsid w:val="005706DE"/>
    <w:pPr>
      <w:ind w:firstLine="0"/>
    </w:pPr>
  </w:style>
  <w:style w:type="paragraph" w:styleId="ListContinue5">
    <w:name w:val="List Continue 5"/>
    <w:basedOn w:val="List5"/>
    <w:rsid w:val="005706DE"/>
    <w:pPr>
      <w:ind w:firstLine="0"/>
    </w:pPr>
  </w:style>
  <w:style w:type="paragraph" w:styleId="ListNumber3">
    <w:name w:val="List Number 3"/>
    <w:basedOn w:val="List3"/>
    <w:rsid w:val="005706DE"/>
    <w:pPr>
      <w:numPr>
        <w:numId w:val="5"/>
      </w:numPr>
    </w:pPr>
  </w:style>
  <w:style w:type="paragraph" w:styleId="ListNumber4">
    <w:name w:val="List Number 4"/>
    <w:basedOn w:val="List4"/>
    <w:rsid w:val="005706DE"/>
    <w:pPr>
      <w:numPr>
        <w:numId w:val="6"/>
      </w:numPr>
    </w:pPr>
  </w:style>
  <w:style w:type="paragraph" w:styleId="ListNumber5">
    <w:name w:val="List Number 5"/>
    <w:basedOn w:val="List5"/>
    <w:rsid w:val="005706DE"/>
    <w:pPr>
      <w:numPr>
        <w:numId w:val="7"/>
      </w:numPr>
    </w:pPr>
  </w:style>
  <w:style w:type="paragraph" w:styleId="BlockText">
    <w:name w:val="Block Text"/>
    <w:basedOn w:val="Normal"/>
    <w:rsid w:val="00570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6DE"/>
    <w:rPr>
      <w:sz w:val="16"/>
      <w:vertAlign w:val="superscript"/>
    </w:rPr>
  </w:style>
  <w:style w:type="character" w:customStyle="1" w:styleId="Symbols">
    <w:name w:val="Symbols"/>
    <w:basedOn w:val="DefaultParagraphFont"/>
    <w:rsid w:val="005706DE"/>
    <w:rPr>
      <w:rFonts w:ascii="Symbol" w:hAnsi="Symbol"/>
    </w:rPr>
  </w:style>
  <w:style w:type="character" w:customStyle="1" w:styleId="MenuOptions">
    <w:name w:val="Menu Options"/>
    <w:basedOn w:val="DefaultParagraphFont"/>
    <w:rsid w:val="00570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6DE"/>
    <w:rPr>
      <w:b/>
    </w:rPr>
  </w:style>
  <w:style w:type="character" w:customStyle="1" w:styleId="Underlined">
    <w:name w:val="Underlined"/>
    <w:basedOn w:val="DefaultParagraphFont"/>
    <w:rsid w:val="005706DE"/>
    <w:rPr>
      <w:u w:val="single"/>
    </w:rPr>
  </w:style>
  <w:style w:type="paragraph" w:customStyle="1" w:styleId="TableBodyTextRight">
    <w:name w:val="Table Body Text Right"/>
    <w:basedOn w:val="TableBodyText"/>
    <w:rsid w:val="00570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6DE"/>
    <w:rPr>
      <w:sz w:val="18"/>
    </w:rPr>
  </w:style>
  <w:style w:type="paragraph" w:customStyle="1" w:styleId="BodySmallRight">
    <w:name w:val="Body Small Right"/>
    <w:basedOn w:val="BodyTextRight"/>
    <w:rsid w:val="005706DE"/>
    <w:rPr>
      <w:sz w:val="18"/>
      <w:szCs w:val="18"/>
    </w:rPr>
  </w:style>
  <w:style w:type="paragraph" w:customStyle="1" w:styleId="MarginEdition">
    <w:name w:val="Margin Edition"/>
    <w:basedOn w:val="MarginNote"/>
    <w:rsid w:val="00570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6DE"/>
    <w:rPr>
      <w:sz w:val="2"/>
      <w:szCs w:val="2"/>
    </w:rPr>
  </w:style>
  <w:style w:type="character" w:customStyle="1" w:styleId="Small">
    <w:name w:val="Small"/>
    <w:basedOn w:val="DefaultParagraphFont"/>
    <w:rsid w:val="005706DE"/>
    <w:rPr>
      <w:sz w:val="16"/>
    </w:rPr>
  </w:style>
  <w:style w:type="paragraph" w:customStyle="1" w:styleId="WideTable">
    <w:name w:val="Wide Table"/>
    <w:basedOn w:val="Normal"/>
    <w:rsid w:val="00570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6DE"/>
  </w:style>
  <w:style w:type="paragraph" w:styleId="Quote">
    <w:name w:val="Quote"/>
    <w:basedOn w:val="Heading1"/>
    <w:link w:val="QuoteChar"/>
    <w:qFormat/>
    <w:rsid w:val="00570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6DE"/>
    <w:pPr>
      <w:pageBreakBefore/>
    </w:pPr>
  </w:style>
  <w:style w:type="paragraph" w:customStyle="1" w:styleId="Border">
    <w:name w:val="Border"/>
    <w:basedOn w:val="Normal"/>
    <w:qFormat/>
    <w:rsid w:val="00570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6DE"/>
    <w:rPr>
      <w:u w:val="single"/>
    </w:rPr>
  </w:style>
  <w:style w:type="character" w:customStyle="1" w:styleId="BoldandItalics">
    <w:name w:val="Bold and Italics"/>
    <w:qFormat/>
    <w:rsid w:val="005706DE"/>
    <w:rPr>
      <w:b/>
      <w:i/>
      <w:u w:val="none"/>
    </w:rPr>
  </w:style>
  <w:style w:type="paragraph" w:styleId="BalloonText">
    <w:name w:val="Balloon Text"/>
    <w:basedOn w:val="Normal"/>
    <w:link w:val="BalloonTextChar"/>
    <w:rsid w:val="00570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6DE"/>
    <w:pPr>
      <w:spacing w:before="0" w:after="0"/>
    </w:pPr>
  </w:style>
  <w:style w:type="paragraph" w:customStyle="1" w:styleId="BodyTextBold">
    <w:name w:val="Body Text Bold"/>
    <w:basedOn w:val="BodyText"/>
    <w:qFormat/>
    <w:rsid w:val="005706DE"/>
    <w:rPr>
      <w:b/>
    </w:rPr>
  </w:style>
  <w:style w:type="character" w:styleId="Hyperlink">
    <w:name w:val="Hyperlink"/>
    <w:basedOn w:val="DefaultParagraphFont"/>
    <w:uiPriority w:val="99"/>
    <w:unhideWhenUsed/>
    <w:rsid w:val="00EB7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2958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MEM05023 Weld using submerged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2021-03-31T03:23:00Z</dcterms:created>
  <dcterms:modified xsi:type="dcterms:W3CDTF">2021-03-31T03:23:00Z</dcterms:modified>
</cp:coreProperties>
</file>