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829" w:rsidP="004C1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MEM05022 Perform advanced welding using oxy acetylene welding process</w:t>
      </w:r>
      <w:r>
        <w:fldChar w:fldCharType="end"/>
      </w:r>
    </w:p>
    <w:p w:rsidR="004C1829" w:rsidP="004C1829">
      <w:pPr>
        <w:pStyle w:val="Version"/>
        <w:sectPr w:rsidSect="004A7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7FDB" w:rsidP="004A7FDB">
      <w:pPr>
        <w:pStyle w:val="SuperHeading"/>
      </w:pPr>
      <w:r w:rsidRPr="004A7FDB">
        <w:t>MEM05022 Perf</w:t>
      </w:r>
      <w:r w:rsidRPr="004A7FDB">
        <w:t>orm advanced welding using oxy acetylene welding process</w:t>
      </w:r>
    </w:p>
    <w:p w:rsidR="00000000" w:rsidRPr="004A7FDB" w:rsidP="004A7FDB">
      <w:pPr>
        <w:pStyle w:val="Heading1"/>
      </w:pPr>
      <w:bookmarkStart w:id="1" w:name="O_1169064"/>
      <w:bookmarkEnd w:id="1"/>
      <w:r w:rsidRPr="004A7FDB">
        <w:t>Modification History</w:t>
      </w:r>
    </w:p>
    <w:p w:rsidR="00000000" w:rsidRPr="004A7FDB" w:rsidP="004C1829">
      <w:pPr>
        <w:pStyle w:val="BodyText"/>
      </w:pPr>
      <w:r w:rsidRPr="004A7FDB">
        <w:t xml:space="preserve">Release 2. Quantum of hours of workplace practice removed. Supersedes and is equivalent to MEM05022 Perform advanced welding using oxy acetylene welding </w:t>
      </w:r>
      <w:r w:rsidRPr="004A7FDB">
        <w:t>process (Release 1).</w:t>
      </w:r>
    </w:p>
    <w:p w:rsidR="00000000" w:rsidRPr="004A7FDB" w:rsidP="004C1829">
      <w:pPr>
        <w:pStyle w:val="BodyText"/>
      </w:pPr>
      <w:r w:rsidRPr="004A7FDB">
        <w:t>Release 1. Supersedes and is equivalent to MEM05022C Perform advanced welding using oxy acetylene welding process.</w:t>
      </w:r>
    </w:p>
    <w:p w:rsidR="00000000" w:rsidRPr="004A7FDB" w:rsidP="004A7FDB">
      <w:pPr>
        <w:pStyle w:val="Heading1"/>
      </w:pPr>
      <w:bookmarkStart w:id="2" w:name="O_1169063"/>
      <w:bookmarkEnd w:id="2"/>
      <w:r w:rsidRPr="004A7FDB">
        <w:t>Application</w:t>
      </w:r>
    </w:p>
    <w:p w:rsidR="00000000" w:rsidRPr="004A7FDB" w:rsidP="004C1829">
      <w:pPr>
        <w:pStyle w:val="BodyText"/>
      </w:pPr>
      <w:r w:rsidRPr="004A7FDB">
        <w:t>This unit of competency defines the skills and knowledge required to perform advanced oxy</w:t>
      </w:r>
      <w:r w:rsidRPr="004A7FDB">
        <w:t xml:space="preserve"> acetylene welding using a range of materials for general fabrication.</w:t>
      </w:r>
    </w:p>
    <w:p w:rsidR="00000000" w:rsidRPr="004A7FDB" w:rsidP="004C1829">
      <w:pPr>
        <w:pStyle w:val="BodyText"/>
      </w:pPr>
      <w:r w:rsidRPr="004A7FDB">
        <w:t>Welding quality would meet AS 1554 Special Purpose or equivalent.</w:t>
      </w:r>
    </w:p>
    <w:p w:rsidR="00000000" w:rsidRPr="004A7FDB" w:rsidP="004C1829">
      <w:pPr>
        <w:pStyle w:val="BodyText"/>
      </w:pPr>
      <w:r w:rsidRPr="004A7FDB">
        <w:t xml:space="preserve">Where advanced manual thermal cutting, gouging and shaping is required unit MEM05008 Perform advanced manual thermal </w:t>
      </w:r>
      <w:r w:rsidRPr="004A7FDB">
        <w:t>cutting, gouging and shaping should also be selected.</w:t>
      </w:r>
    </w:p>
    <w:p w:rsidR="00000000" w:rsidRPr="004A7FDB" w:rsidP="004C1829">
      <w:pPr>
        <w:pStyle w:val="BodyText"/>
      </w:pPr>
      <w:r w:rsidRPr="004A7FDB">
        <w:t>No licensing, legislative or certification requirements apply to this unit at the time of publication.</w:t>
      </w:r>
    </w:p>
    <w:p w:rsidR="00000000" w:rsidRPr="004A7FDB" w:rsidP="004A7FDB">
      <w:pPr>
        <w:pStyle w:val="BodyText"/>
      </w:pPr>
      <w:r w:rsidRPr="004A7FDB">
        <w:rPr>
          <w:rStyle w:val="SpecialBold"/>
        </w:rPr>
        <w:t>Band:</w:t>
      </w:r>
      <w:r w:rsidRPr="004A7FDB">
        <w:rPr>
          <w:rStyle w:val="SpecialBold"/>
        </w:rPr>
        <w:tab/>
        <w:t>A</w:t>
      </w:r>
    </w:p>
    <w:p w:rsidR="00000000" w:rsidRPr="004A7FDB" w:rsidP="004A7FDB">
      <w:pPr>
        <w:pStyle w:val="BodyText"/>
      </w:pPr>
      <w:r w:rsidRPr="004A7FDB">
        <w:rPr>
          <w:rStyle w:val="SpecialBold"/>
        </w:rPr>
        <w:t>Unit Weight:</w:t>
      </w:r>
      <w:r w:rsidRPr="004A7FDB">
        <w:rPr>
          <w:rStyle w:val="SpecialBold"/>
        </w:rPr>
        <w:tab/>
        <w:t>6</w:t>
      </w:r>
    </w:p>
    <w:p w:rsidR="00000000" w:rsidRPr="004A7FDB" w:rsidP="004A7FDB">
      <w:pPr>
        <w:pStyle w:val="AllowPageBreak"/>
      </w:pPr>
    </w:p>
    <w:p w:rsidR="00000000" w:rsidRPr="004A7FDB" w:rsidP="004A7FDB">
      <w:pPr>
        <w:pStyle w:val="Heading1"/>
      </w:pPr>
      <w:bookmarkStart w:id="3" w:name="O_1169062"/>
      <w:bookmarkEnd w:id="3"/>
      <w:r w:rsidRPr="004A7FD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MEM05004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Perform routine oxy fuel ga</w:t>
            </w:r>
            <w:r w:rsidRPr="004A7FDB">
              <w:t>s welding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Perform manual heating and thermal cutting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Select welding processes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Apply safe welding practices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MEM05055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Weld using oxy fuel gas welding process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Interpret technical drawing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Undertake manual handling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Perform engineering measurements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Perform computations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Work safely and effectively in manufacturing and engineering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Plan work activities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Organise and communicate information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Use hand tools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BodyText"/>
            </w:pPr>
            <w:r w:rsidRPr="004A7FDB">
              <w:t>Use power tools/hand held operations</w:t>
            </w:r>
          </w:p>
        </w:tc>
      </w:tr>
    </w:tbl>
    <w:p w:rsidR="00000000" w:rsidRPr="004A7FDB" w:rsidP="004A7FDB">
      <w:pPr>
        <w:pStyle w:val="BodyText"/>
      </w:pPr>
    </w:p>
    <w:p w:rsidR="00000000" w:rsidRPr="004A7FDB" w:rsidP="004A7FDB">
      <w:pPr>
        <w:pStyle w:val="AllowPageBreak"/>
      </w:pPr>
    </w:p>
    <w:p w:rsidR="00000000" w:rsidRPr="004A7FDB" w:rsidP="004A7FDB">
      <w:pPr>
        <w:pStyle w:val="Heading1"/>
      </w:pPr>
      <w:bookmarkStart w:id="4" w:name="O_1169061"/>
      <w:bookmarkEnd w:id="4"/>
      <w:r w:rsidRPr="004A7FDB">
        <w:t>Competency Field</w:t>
      </w:r>
    </w:p>
    <w:p w:rsidR="00000000" w:rsidRPr="004A7FDB" w:rsidP="004C1829">
      <w:pPr>
        <w:pStyle w:val="BodyText"/>
      </w:pPr>
      <w:r w:rsidRPr="004A7FDB">
        <w:t>Fabrication</w:t>
      </w:r>
    </w:p>
    <w:p w:rsidR="00000000" w:rsidRPr="004A7FDB" w:rsidP="004A7FDB">
      <w:pPr>
        <w:pStyle w:val="Heading1"/>
      </w:pPr>
      <w:bookmarkStart w:id="5" w:name="O_1169060"/>
      <w:bookmarkEnd w:id="5"/>
      <w:r w:rsidRPr="004A7F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Performance criteria describe the performance needed to demonstrate achievement of the element.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BodyText"/>
            </w:pPr>
            <w:r w:rsidRPr="004A7FD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Follow standard operating procedures (SOPs)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Comply with work health and safety (WHS) requirements at all times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Use appropriate personal protective equipment (PPE) in accordance with SOPs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Identify job requirements from specifications, drawings, job sheets or work instructions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BodyText"/>
            </w:pPr>
            <w:r w:rsidRPr="004A7FD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 xml:space="preserve">Prepare materials to achieve the required weld requirements 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 xml:space="preserve">Assemble/align materials to specification, where required 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BodyText"/>
            </w:pPr>
            <w:r w:rsidRPr="004A7FD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 xml:space="preserve">Select, assemble and set up </w:t>
            </w:r>
            <w:r w:rsidRPr="004A7FDB">
              <w:rPr>
                <w:rStyle w:val="SpecialBold"/>
              </w:rPr>
              <w:t>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Identify and select welding equipment and consumables according to job requirements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Assemble and set up welding equipment in accordance with SOPs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BodyText"/>
            </w:pPr>
            <w:r w:rsidRPr="004A7FD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>Weld joints to Australian Standard 1554 SP or equivalent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Weld materials to AS 1554 Structural Purpose or equivalent in all positions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Interpret instructions, symbols and specifications, including bead size, bead placement and reinforcement in accordance with weld procedure sheet, if available, and SOPs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BodyText"/>
            </w:pPr>
            <w:r w:rsidRPr="004A7FD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Inspect weld joints visually for conformance to specifications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 xml:space="preserve">Remove defects with minimum loss of sound metal using correct and appropriate techniques and tools 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BodyText"/>
            </w:pPr>
            <w:r w:rsidRPr="004A7FDB">
              <w:t>Complete weld records, where required</w:t>
            </w:r>
          </w:p>
        </w:tc>
      </w:tr>
    </w:tbl>
    <w:p w:rsidR="00000000" w:rsidRPr="004A7FDB" w:rsidP="004A7FDB">
      <w:pPr>
        <w:pStyle w:val="BodyText"/>
      </w:pPr>
    </w:p>
    <w:p w:rsidR="00000000" w:rsidRPr="004A7FDB" w:rsidP="004A7FDB">
      <w:pPr>
        <w:pStyle w:val="AllowPageBreak"/>
      </w:pPr>
    </w:p>
    <w:p w:rsidR="00000000" w:rsidRPr="004A7FDB" w:rsidP="004A7FDB">
      <w:pPr>
        <w:pStyle w:val="Heading1"/>
      </w:pPr>
      <w:bookmarkStart w:id="6" w:name="O_1169059"/>
      <w:bookmarkEnd w:id="6"/>
      <w:r w:rsidRPr="004A7FDB">
        <w:t>Foundation Skills</w:t>
      </w:r>
    </w:p>
    <w:p w:rsidR="00000000" w:rsidRPr="004A7FDB" w:rsidP="004C1829">
      <w:pPr>
        <w:pStyle w:val="BodyText"/>
      </w:pPr>
      <w:r w:rsidRPr="004A7FD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A7FDB" w:rsidP="004C1829">
      <w:pPr>
        <w:pStyle w:val="BodyText"/>
      </w:pPr>
      <w:r w:rsidRPr="004A7FDB">
        <w:t>Foundation skills essential to performance are e</w:t>
      </w:r>
      <w:r w:rsidRPr="004A7FDB">
        <w:t>xplicit in the performance criteria of this unit of competency.</w:t>
      </w:r>
    </w:p>
    <w:p w:rsidR="00000000" w:rsidRPr="004A7FDB" w:rsidP="004A7FDB">
      <w:pPr>
        <w:pStyle w:val="Heading1"/>
      </w:pPr>
      <w:bookmarkStart w:id="7" w:name="O_1169058"/>
      <w:bookmarkEnd w:id="7"/>
      <w:r w:rsidRPr="004A7FD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t>This field allows for different work environments and conditions that may affect performance. Essential operating conditions that may be present (dependi</w:t>
            </w:r>
            <w:r w:rsidRPr="004A7FDB">
              <w:t>ng on the work situation, needs of the candidate, accessibility of the item, and local industry and regional contexts) are included.</w:t>
            </w: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>Welds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ListBullet"/>
            </w:pPr>
            <w:r w:rsidRPr="004A7FDB">
              <w:t>fillet and butt in the horizontal, vertical and overhead positions</w:t>
            </w:r>
          </w:p>
          <w:p w:rsidR="00000000" w:rsidP="004A7FDB">
            <w:pPr>
              <w:pStyle w:val="BodyText"/>
              <w:rPr>
                <w:lang w:val="en-NZ"/>
              </w:rPr>
            </w:pP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ListBullet"/>
            </w:pPr>
            <w:r w:rsidRPr="004A7FDB">
              <w:t>low carbon steel, plate, pipe, tube and round bar</w:t>
            </w:r>
          </w:p>
          <w:p w:rsidR="00000000" w:rsidRPr="004A7FDB" w:rsidP="004A7FDB">
            <w:pPr>
              <w:pStyle w:val="BodyText"/>
            </w:pPr>
          </w:p>
          <w:p w:rsidR="00000000" w:rsidP="004A7FDB">
            <w:pPr>
              <w:pStyle w:val="BodyText"/>
              <w:rPr>
                <w:lang w:val="en-NZ"/>
              </w:rPr>
            </w:pP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>Fuel gases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ListBullet"/>
            </w:pPr>
            <w:r w:rsidRPr="004A7FDB">
              <w:t>acetylene</w:t>
            </w:r>
          </w:p>
          <w:p w:rsidR="00000000" w:rsidRPr="004A7FDB" w:rsidP="004A7FDB">
            <w:pPr>
              <w:pStyle w:val="ListBullet"/>
            </w:pPr>
            <w:r w:rsidRPr="004A7FDB">
              <w:t xml:space="preserve">liquefied petroleum gas (LPG) </w:t>
            </w:r>
          </w:p>
          <w:p w:rsidR="00000000" w:rsidRPr="004A7FDB" w:rsidP="004A7FDB">
            <w:pPr>
              <w:pStyle w:val="ListBullet"/>
            </w:pPr>
            <w:r w:rsidRPr="004A7FDB">
              <w:t>hydrogen</w:t>
            </w:r>
          </w:p>
          <w:p w:rsidR="00000000" w:rsidP="004A7FDB">
            <w:pPr>
              <w:pStyle w:val="BodyText"/>
              <w:rPr>
                <w:lang w:val="en-NZ"/>
              </w:rPr>
            </w:pP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>Equipment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ListBullet"/>
            </w:pPr>
            <w:r w:rsidRPr="004A7FDB">
              <w:t>cylinders</w:t>
            </w:r>
          </w:p>
          <w:p w:rsidR="00000000" w:rsidRPr="004A7FDB" w:rsidP="004A7FDB">
            <w:pPr>
              <w:pStyle w:val="ListBullet"/>
            </w:pPr>
            <w:r w:rsidRPr="004A7FDB">
              <w:t>regulators</w:t>
            </w:r>
          </w:p>
          <w:p w:rsidR="00000000" w:rsidRPr="004A7FDB" w:rsidP="004A7FDB">
            <w:pPr>
              <w:pStyle w:val="ListBullet"/>
            </w:pPr>
            <w:r w:rsidRPr="004A7FDB">
              <w:t>hoses</w:t>
            </w:r>
          </w:p>
          <w:p w:rsidR="00000000" w:rsidRPr="004A7FDB" w:rsidP="004A7FDB">
            <w:pPr>
              <w:pStyle w:val="ListBullet"/>
            </w:pPr>
            <w:r w:rsidRPr="004A7FDB">
              <w:t>torches</w:t>
            </w:r>
          </w:p>
          <w:p w:rsidR="00000000" w:rsidRPr="004A7FDB" w:rsidP="004A7FDB">
            <w:pPr>
              <w:pStyle w:val="ListBullet"/>
            </w:pPr>
            <w:r w:rsidRPr="004A7FDB">
              <w:t>tips</w:t>
            </w:r>
          </w:p>
          <w:p w:rsidR="00000000" w:rsidRPr="004A7FDB" w:rsidP="004A7FDB">
            <w:pPr>
              <w:pStyle w:val="ListBullet"/>
            </w:pPr>
            <w:r w:rsidRPr="004A7FDB">
              <w:t>flash back arrestors</w:t>
            </w:r>
          </w:p>
          <w:p w:rsidR="00000000" w:rsidP="004A7FDB">
            <w:pPr>
              <w:pStyle w:val="BodyText"/>
              <w:rPr>
                <w:lang w:val="en-NZ"/>
              </w:rPr>
            </w:pP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>Consumables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ListBullet"/>
            </w:pPr>
            <w:r w:rsidRPr="004A7FDB">
              <w:t>appropriate fuel gas</w:t>
            </w:r>
          </w:p>
          <w:p w:rsidR="00000000" w:rsidRPr="004A7FDB" w:rsidP="004A7FDB">
            <w:pPr>
              <w:pStyle w:val="ListBullet"/>
            </w:pPr>
            <w:r w:rsidRPr="004A7FDB">
              <w:t>filler rods</w:t>
            </w:r>
          </w:p>
          <w:p w:rsidR="00000000" w:rsidRPr="004A7FDB" w:rsidP="004A7FDB">
            <w:pPr>
              <w:pStyle w:val="ListBullet"/>
            </w:pPr>
            <w:r w:rsidRPr="004A7FDB">
              <w:t>fluxes</w:t>
            </w:r>
          </w:p>
          <w:p w:rsidR="00000000" w:rsidP="004A7FDB">
            <w:pPr>
              <w:pStyle w:val="BodyText"/>
              <w:rPr>
                <w:lang w:val="en-NZ"/>
              </w:rPr>
            </w:pPr>
          </w:p>
        </w:tc>
      </w:tr>
      <w:tr w:rsidTr="004A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DB">
            <w:pPr>
              <w:pStyle w:val="BodyText"/>
              <w:rPr>
                <w:lang w:val="en-NZ"/>
              </w:rPr>
            </w:pPr>
            <w:r w:rsidRPr="004A7FDB">
              <w:rPr>
                <w:rStyle w:val="SpecialBold"/>
              </w:rPr>
              <w:t>Preparing materials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DB" w:rsidP="004A7FDB">
            <w:pPr>
              <w:pStyle w:val="ListBullet"/>
            </w:pPr>
            <w:r w:rsidRPr="004A7FDB">
              <w:t>pre-heating</w:t>
            </w:r>
          </w:p>
          <w:p w:rsidR="00000000" w:rsidRPr="004A7FDB" w:rsidP="004A7FDB">
            <w:pPr>
              <w:pStyle w:val="ListBullet"/>
            </w:pPr>
            <w:r w:rsidRPr="004A7FDB">
              <w:t>setting up of jigs, fixtures and clamps</w:t>
            </w:r>
          </w:p>
          <w:p w:rsidR="00000000" w:rsidRPr="004A7FDB" w:rsidP="004A7FDB">
            <w:pPr>
              <w:pStyle w:val="ListBullet"/>
            </w:pPr>
            <w:r w:rsidRPr="004A7FDB">
              <w:t>joint preparation e.g. bevelling</w:t>
            </w:r>
          </w:p>
        </w:tc>
      </w:tr>
    </w:tbl>
    <w:p w:rsidR="00000000" w:rsidRPr="004A7FDB" w:rsidP="004A7FDB">
      <w:pPr>
        <w:pStyle w:val="BodyText"/>
      </w:pPr>
    </w:p>
    <w:p w:rsidR="00000000" w:rsidRPr="004A7FDB" w:rsidP="004A7FDB">
      <w:pPr>
        <w:pStyle w:val="AllowPageBreak"/>
      </w:pPr>
    </w:p>
    <w:p w:rsidR="00000000" w:rsidRPr="004A7FDB" w:rsidP="004A7FDB">
      <w:pPr>
        <w:pStyle w:val="Heading1"/>
      </w:pPr>
      <w:bookmarkStart w:id="8" w:name="O_1169057"/>
      <w:bookmarkEnd w:id="8"/>
      <w:r w:rsidRPr="004A7FDB">
        <w:t>Unit Mapping Information</w:t>
      </w:r>
    </w:p>
    <w:p w:rsidR="00000000" w:rsidRPr="004A7FDB" w:rsidP="004C1829">
      <w:pPr>
        <w:pStyle w:val="BodyText"/>
      </w:pPr>
      <w:r w:rsidRPr="004A7FDB">
        <w:t>Release 2. Supersedes and is equivalent to MEM05022 Perform advanced welding using oxy acetylene welding process (Release 1).</w:t>
      </w:r>
    </w:p>
    <w:p w:rsidR="00000000" w:rsidRPr="004A7FDB" w:rsidP="004C1829">
      <w:pPr>
        <w:pStyle w:val="BodyText"/>
      </w:pPr>
      <w:r w:rsidRPr="004A7FDB">
        <w:t>Release 1. Supersedes and is equivalent to MEM05022</w:t>
      </w:r>
      <w:r w:rsidRPr="004A7FDB">
        <w:t>C Perform advanced welding using oxy acetylene welding process.</w:t>
      </w:r>
    </w:p>
    <w:p w:rsidR="00000000" w:rsidRPr="004A7FDB" w:rsidP="004A7FDB">
      <w:pPr>
        <w:pStyle w:val="Heading1"/>
      </w:pPr>
      <w:bookmarkStart w:id="9" w:name="O_1169065"/>
      <w:bookmarkEnd w:id="9"/>
      <w:r w:rsidRPr="004A7FDB">
        <w:t>Links</w:t>
      </w:r>
    </w:p>
    <w:p w:rsidR="00000000" w:rsidRPr="004A7FDB" w:rsidP="004C1829">
      <w:pPr>
        <w:pStyle w:val="BodyText"/>
      </w:pPr>
      <w:r w:rsidRPr="004A7F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7221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A7FDB" w:rsidP="004A7FDB"/>
    <w:sectPr w:rsidSect="004A7F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DB" w:rsidRPr="004C1829" w:rsidP="004C1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29" w:rsidP="004A7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829" w:rsidP="004A7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1829" w:rsidP="004A7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FDB" w:rsidRPr="004C1829" w:rsidP="004C1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29" w:rsidRPr="002D2AF8" w:rsidP="004A7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MEM05022 Perform advanced welding using oxy acetylene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C1829" w:rsidP="004A7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82F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801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FDB"/>
  </w:style>
  <w:style w:type="character" w:customStyle="1" w:styleId="Heading1Char">
    <w:name w:val="Heading 1 Char"/>
    <w:basedOn w:val="DefaultParagraphFont"/>
    <w:link w:val="Heading1"/>
    <w:rsid w:val="004A7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F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FDB"/>
    <w:rPr>
      <w:b/>
      <w:spacing w:val="0"/>
    </w:rPr>
  </w:style>
  <w:style w:type="paragraph" w:customStyle="1" w:styleId="SuperHeading">
    <w:name w:val="SuperHeading"/>
    <w:basedOn w:val="Normal"/>
    <w:rsid w:val="004A7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F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F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FDB"/>
    <w:rPr>
      <w:i/>
    </w:rPr>
  </w:style>
  <w:style w:type="paragraph" w:styleId="Caption">
    <w:name w:val="caption"/>
    <w:basedOn w:val="BodyText"/>
    <w:next w:val="Normal"/>
    <w:qFormat/>
    <w:rsid w:val="004A7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FDB"/>
  </w:style>
  <w:style w:type="paragraph" w:styleId="TableofFigures">
    <w:name w:val="table of figures"/>
    <w:basedOn w:val="Normal"/>
    <w:next w:val="Normal"/>
    <w:semiHidden/>
    <w:rsid w:val="004A7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F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FDB"/>
    <w:rPr>
      <w:rFonts w:ascii="Wingdings" w:hAnsi="Wingdings"/>
    </w:rPr>
  </w:style>
  <w:style w:type="paragraph" w:customStyle="1" w:styleId="TableHeading">
    <w:name w:val="Table Heading"/>
    <w:basedOn w:val="HeadingBase"/>
    <w:rsid w:val="004A7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FDB"/>
    <w:rPr>
      <w:color w:val="0033CC"/>
      <w:u w:val="none"/>
    </w:rPr>
  </w:style>
  <w:style w:type="paragraph" w:customStyle="1" w:styleId="BodyTextRight">
    <w:name w:val="Body Text Right"/>
    <w:basedOn w:val="BodyText"/>
    <w:rsid w:val="004A7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F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FDB"/>
    <w:rPr>
      <w:sz w:val="32"/>
    </w:rPr>
  </w:style>
  <w:style w:type="paragraph" w:customStyle="1" w:styleId="HeadingProcedure">
    <w:name w:val="Heading Procedure"/>
    <w:basedOn w:val="HeadingBase"/>
    <w:next w:val="Normal"/>
    <w:rsid w:val="004A7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FDB"/>
    <w:pPr>
      <w:spacing w:before="60" w:after="60"/>
    </w:pPr>
  </w:style>
  <w:style w:type="paragraph" w:styleId="ListContinue">
    <w:name w:val="List Continue"/>
    <w:basedOn w:val="List"/>
    <w:rsid w:val="004A7FDB"/>
    <w:pPr>
      <w:ind w:firstLine="0"/>
    </w:pPr>
  </w:style>
  <w:style w:type="paragraph" w:customStyle="1" w:styleId="ListNote">
    <w:name w:val="List Note"/>
    <w:basedOn w:val="List"/>
    <w:rsid w:val="004A7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FDB"/>
    <w:rPr>
      <w:rFonts w:ascii="Courier New" w:hAnsi="Courier New"/>
    </w:rPr>
  </w:style>
  <w:style w:type="paragraph" w:customStyle="1" w:styleId="NoteBullet">
    <w:name w:val="Note Bullet"/>
    <w:basedOn w:val="Note"/>
    <w:rsid w:val="004A7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F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FDB"/>
    <w:rPr>
      <w:b/>
      <w:smallCaps/>
    </w:rPr>
  </w:style>
  <w:style w:type="paragraph" w:customStyle="1" w:styleId="TableListNumber">
    <w:name w:val="Table List Number"/>
    <w:basedOn w:val="ListNumber"/>
    <w:rsid w:val="004A7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FDB"/>
    <w:pPr>
      <w:numPr>
        <w:numId w:val="8"/>
      </w:numPr>
    </w:pPr>
  </w:style>
  <w:style w:type="paragraph" w:customStyle="1" w:styleId="ListAlpha2">
    <w:name w:val="List Alpha 2"/>
    <w:basedOn w:val="List2"/>
    <w:rsid w:val="004A7FDB"/>
    <w:pPr>
      <w:numPr>
        <w:numId w:val="7"/>
      </w:numPr>
    </w:pPr>
  </w:style>
  <w:style w:type="paragraph" w:styleId="List2">
    <w:name w:val="List 2"/>
    <w:basedOn w:val="BodyText"/>
    <w:rsid w:val="004A7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F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F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FDB"/>
    <w:pPr>
      <w:numPr>
        <w:numId w:val="3"/>
      </w:numPr>
    </w:pPr>
  </w:style>
  <w:style w:type="paragraph" w:styleId="ListContinue2">
    <w:name w:val="List Continue 2"/>
    <w:basedOn w:val="List2"/>
    <w:rsid w:val="004A7FDB"/>
    <w:pPr>
      <w:ind w:firstLine="0"/>
    </w:pPr>
  </w:style>
  <w:style w:type="paragraph" w:styleId="ListContinue3">
    <w:name w:val="List Continue 3"/>
    <w:basedOn w:val="List3"/>
    <w:rsid w:val="004A7FDB"/>
    <w:pPr>
      <w:ind w:left="1021" w:firstLine="0"/>
    </w:pPr>
  </w:style>
  <w:style w:type="paragraph" w:styleId="ListContinue4">
    <w:name w:val="List Continue 4"/>
    <w:basedOn w:val="List4"/>
    <w:rsid w:val="004A7FDB"/>
    <w:pPr>
      <w:ind w:firstLine="0"/>
    </w:pPr>
  </w:style>
  <w:style w:type="paragraph" w:styleId="ListContinue5">
    <w:name w:val="List Continue 5"/>
    <w:basedOn w:val="List5"/>
    <w:rsid w:val="004A7FDB"/>
    <w:pPr>
      <w:ind w:firstLine="0"/>
    </w:pPr>
  </w:style>
  <w:style w:type="paragraph" w:styleId="ListNumber3">
    <w:name w:val="List Number 3"/>
    <w:basedOn w:val="List3"/>
    <w:rsid w:val="004A7FDB"/>
    <w:pPr>
      <w:numPr>
        <w:numId w:val="4"/>
      </w:numPr>
    </w:pPr>
  </w:style>
  <w:style w:type="paragraph" w:styleId="ListNumber4">
    <w:name w:val="List Number 4"/>
    <w:basedOn w:val="List4"/>
    <w:rsid w:val="004A7FDB"/>
    <w:pPr>
      <w:numPr>
        <w:numId w:val="5"/>
      </w:numPr>
    </w:pPr>
  </w:style>
  <w:style w:type="paragraph" w:styleId="ListNumber5">
    <w:name w:val="List Number 5"/>
    <w:basedOn w:val="List5"/>
    <w:rsid w:val="004A7FDB"/>
    <w:pPr>
      <w:numPr>
        <w:numId w:val="6"/>
      </w:numPr>
    </w:pPr>
  </w:style>
  <w:style w:type="paragraph" w:styleId="BlockText">
    <w:name w:val="Block Text"/>
    <w:basedOn w:val="Normal"/>
    <w:rsid w:val="004A7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FDB"/>
    <w:rPr>
      <w:sz w:val="16"/>
      <w:vertAlign w:val="superscript"/>
    </w:rPr>
  </w:style>
  <w:style w:type="character" w:customStyle="1" w:styleId="Symbols">
    <w:name w:val="Symbols"/>
    <w:basedOn w:val="DefaultParagraphFont"/>
    <w:rsid w:val="004A7FDB"/>
    <w:rPr>
      <w:rFonts w:ascii="Symbol" w:hAnsi="Symbol"/>
    </w:rPr>
  </w:style>
  <w:style w:type="character" w:customStyle="1" w:styleId="MenuOptions">
    <w:name w:val="Menu Options"/>
    <w:basedOn w:val="DefaultParagraphFont"/>
    <w:rsid w:val="004A7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FDB"/>
    <w:rPr>
      <w:b/>
    </w:rPr>
  </w:style>
  <w:style w:type="character" w:customStyle="1" w:styleId="Underlined">
    <w:name w:val="Underlined"/>
    <w:basedOn w:val="DefaultParagraphFont"/>
    <w:rsid w:val="004A7FDB"/>
    <w:rPr>
      <w:u w:val="single"/>
    </w:rPr>
  </w:style>
  <w:style w:type="paragraph" w:customStyle="1" w:styleId="TableBodyTextRight">
    <w:name w:val="Table Body Text Right"/>
    <w:basedOn w:val="TableBodyText"/>
    <w:rsid w:val="004A7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FDB"/>
    <w:rPr>
      <w:sz w:val="18"/>
    </w:rPr>
  </w:style>
  <w:style w:type="paragraph" w:customStyle="1" w:styleId="BodySmallRight">
    <w:name w:val="Body Small Right"/>
    <w:basedOn w:val="BodyTextRight"/>
    <w:rsid w:val="004A7FDB"/>
    <w:rPr>
      <w:sz w:val="18"/>
      <w:szCs w:val="18"/>
    </w:rPr>
  </w:style>
  <w:style w:type="paragraph" w:customStyle="1" w:styleId="MarginEdition">
    <w:name w:val="Margin Edition"/>
    <w:basedOn w:val="MarginNote"/>
    <w:rsid w:val="004A7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FDB"/>
    <w:rPr>
      <w:sz w:val="2"/>
      <w:szCs w:val="2"/>
    </w:rPr>
  </w:style>
  <w:style w:type="character" w:customStyle="1" w:styleId="Small">
    <w:name w:val="Small"/>
    <w:basedOn w:val="DefaultParagraphFont"/>
    <w:rsid w:val="004A7FDB"/>
    <w:rPr>
      <w:sz w:val="16"/>
    </w:rPr>
  </w:style>
  <w:style w:type="paragraph" w:customStyle="1" w:styleId="WideTable">
    <w:name w:val="Wide Table"/>
    <w:basedOn w:val="Normal"/>
    <w:rsid w:val="004A7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FDB"/>
  </w:style>
  <w:style w:type="paragraph" w:styleId="Quote">
    <w:name w:val="Quote"/>
    <w:basedOn w:val="Heading1"/>
    <w:link w:val="QuoteChar"/>
    <w:qFormat/>
    <w:rsid w:val="004A7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FDB"/>
    <w:pPr>
      <w:pageBreakBefore/>
    </w:pPr>
  </w:style>
  <w:style w:type="paragraph" w:customStyle="1" w:styleId="Border">
    <w:name w:val="Border"/>
    <w:basedOn w:val="Normal"/>
    <w:qFormat/>
    <w:rsid w:val="004A7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FDB"/>
    <w:rPr>
      <w:u w:val="single"/>
    </w:rPr>
  </w:style>
  <w:style w:type="character" w:customStyle="1" w:styleId="BoldandItalics">
    <w:name w:val="Bold and Italics"/>
    <w:qFormat/>
    <w:rsid w:val="004A7FDB"/>
    <w:rPr>
      <w:b/>
      <w:i/>
      <w:u w:val="none"/>
    </w:rPr>
  </w:style>
  <w:style w:type="paragraph" w:styleId="BalloonText">
    <w:name w:val="Balloon Text"/>
    <w:basedOn w:val="Normal"/>
    <w:link w:val="BalloonTextChar"/>
    <w:rsid w:val="004A7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FDB"/>
    <w:pPr>
      <w:spacing w:before="0" w:after="0"/>
    </w:pPr>
  </w:style>
  <w:style w:type="paragraph" w:customStyle="1" w:styleId="BodyTextBold">
    <w:name w:val="Body Text Bold"/>
    <w:basedOn w:val="BodyText"/>
    <w:qFormat/>
    <w:rsid w:val="004A7FDB"/>
    <w:rPr>
      <w:b/>
    </w:rPr>
  </w:style>
  <w:style w:type="character" w:styleId="Hyperlink">
    <w:name w:val="Hyperlink"/>
    <w:basedOn w:val="DefaultParagraphFont"/>
    <w:uiPriority w:val="99"/>
    <w:unhideWhenUsed/>
    <w:rsid w:val="004C1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4254</Characters>
  <Application>Microsoft Office Word</Application>
  <DocSecurity>0</DocSecurity>
  <Lines>223</Lines>
  <Paragraphs>140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MEM05022 Perform advanced welding using oxy acetylene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