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2998" w:rsidP="001C29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MEM05017 Weld using gas metal arc welding process</w:t>
      </w:r>
      <w:r>
        <w:fldChar w:fldCharType="end"/>
      </w:r>
    </w:p>
    <w:p w:rsidR="001C2998" w:rsidP="001C2998">
      <w:pPr>
        <w:pStyle w:val="Version"/>
        <w:sectPr w:rsidSect="00A815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815D3" w:rsidP="00A815D3">
      <w:pPr>
        <w:pStyle w:val="SuperHeading"/>
      </w:pPr>
      <w:r w:rsidRPr="00A815D3">
        <w:t>MEM05017 Weld using gas metal arc welding process</w:t>
      </w:r>
    </w:p>
    <w:p w:rsidR="00000000" w:rsidRPr="00A815D3" w:rsidP="00A815D3">
      <w:pPr>
        <w:pStyle w:val="Heading1"/>
      </w:pPr>
      <w:bookmarkStart w:id="1" w:name="O_1168996"/>
      <w:bookmarkEnd w:id="1"/>
      <w:r w:rsidRPr="00A815D3">
        <w:t>Modification History</w:t>
      </w:r>
    </w:p>
    <w:p w:rsidR="00000000" w:rsidRPr="00A815D3" w:rsidP="001C2998">
      <w:pPr>
        <w:pStyle w:val="BodyText"/>
      </w:pPr>
      <w:r w:rsidRPr="00A815D3">
        <w:t>Release 2. Quantum of hours of workplace practice removed. Supersedes and is equivalent to MEM05017 Weld using gas metal arc welding process (Release 1).</w:t>
      </w:r>
    </w:p>
    <w:p w:rsidR="00000000" w:rsidRPr="00A815D3" w:rsidP="001C2998">
      <w:pPr>
        <w:pStyle w:val="BodyText"/>
      </w:pPr>
      <w:r w:rsidRPr="00A815D3">
        <w:t>Release 1. Supersedes and is equivalent to MEM05017D Weld using gas meta</w:t>
      </w:r>
      <w:r w:rsidRPr="00A815D3">
        <w:t>l arc welding process.</w:t>
      </w:r>
    </w:p>
    <w:p w:rsidR="00000000" w:rsidRPr="00A815D3" w:rsidP="00A815D3">
      <w:pPr>
        <w:pStyle w:val="Heading1"/>
      </w:pPr>
      <w:bookmarkStart w:id="2" w:name="O_1168995"/>
      <w:bookmarkEnd w:id="2"/>
      <w:r w:rsidRPr="00A815D3">
        <w:t>Application</w:t>
      </w:r>
    </w:p>
    <w:p w:rsidR="00000000" w:rsidRPr="00A815D3" w:rsidP="001C2998">
      <w:pPr>
        <w:pStyle w:val="BodyText"/>
      </w:pPr>
      <w:r w:rsidRPr="00A815D3">
        <w:t xml:space="preserve">This unit of competency has been developed for Engineering Tradesperson - Fabrication apprenticeship training and the recognition of trade-level skills in gas metal arc welding (GMAW) on heavy or light </w:t>
      </w:r>
      <w:r w:rsidRPr="00A815D3">
        <w:t>metal fabrications. It may also apply to other trade occupations requiring higher level GMAW welding skills.</w:t>
      </w:r>
    </w:p>
    <w:p w:rsidR="00000000" w:rsidRPr="00A815D3" w:rsidP="001C2998">
      <w:pPr>
        <w:pStyle w:val="BodyText"/>
      </w:pPr>
      <w:r w:rsidRPr="00A815D3">
        <w:t>Weld quality would typically conform to Australian Standard 1554 General Purpose, and American Bureau of Shipping (ABS) or equivalent.</w:t>
      </w:r>
    </w:p>
    <w:p w:rsidR="00000000" w:rsidRPr="00A815D3" w:rsidP="001C2998">
      <w:pPr>
        <w:pStyle w:val="BodyText"/>
      </w:pPr>
      <w:r w:rsidRPr="00A815D3">
        <w:t>Where manu</w:t>
      </w:r>
      <w:r w:rsidRPr="00A815D3">
        <w:t>al thermal processes associated with preparation, pre-heat and/or post-heat is required unit MEM05007 Perform manual heating and thermal cutting and unit MEM05008 Perform advanced manual thermal cutting, gouging and shaping, should also be selected as appr</w:t>
      </w:r>
      <w:r w:rsidRPr="00A815D3">
        <w:t>opriate.</w:t>
      </w:r>
    </w:p>
    <w:p w:rsidR="00000000" w:rsidRPr="00A815D3" w:rsidP="001C2998">
      <w:pPr>
        <w:pStyle w:val="BodyText"/>
      </w:pPr>
      <w:r w:rsidRPr="00A815D3">
        <w:t>No licensing, legislative or certification requirements apply to this unit at the time of publication.</w:t>
      </w:r>
    </w:p>
    <w:p w:rsidR="00000000" w:rsidRPr="00A815D3" w:rsidP="00A815D3">
      <w:pPr>
        <w:pStyle w:val="BodyText"/>
      </w:pPr>
      <w:r w:rsidRPr="00A815D3">
        <w:rPr>
          <w:rStyle w:val="SpecialBold"/>
        </w:rPr>
        <w:t>Band:</w:t>
      </w:r>
      <w:r w:rsidRPr="00A815D3">
        <w:rPr>
          <w:rStyle w:val="SpecialBold"/>
        </w:rPr>
        <w:tab/>
        <w:t>A</w:t>
      </w:r>
    </w:p>
    <w:p w:rsidR="00000000" w:rsidRPr="00A815D3" w:rsidP="00A815D3">
      <w:pPr>
        <w:pStyle w:val="BodyText"/>
      </w:pPr>
      <w:r w:rsidRPr="00A815D3">
        <w:rPr>
          <w:rStyle w:val="SpecialBold"/>
        </w:rPr>
        <w:t>Unit Weight:</w:t>
      </w:r>
      <w:r w:rsidRPr="00A815D3">
        <w:rPr>
          <w:rStyle w:val="SpecialBold"/>
        </w:rPr>
        <w:tab/>
        <w:t>4</w:t>
      </w:r>
    </w:p>
    <w:p w:rsidR="00000000" w:rsidRPr="00A815D3" w:rsidP="00A815D3">
      <w:pPr>
        <w:pStyle w:val="AllowPageBreak"/>
      </w:pPr>
    </w:p>
    <w:p w:rsidR="00000000" w:rsidRPr="00A815D3" w:rsidP="00A815D3">
      <w:pPr>
        <w:pStyle w:val="Heading1"/>
      </w:pPr>
      <w:bookmarkStart w:id="3" w:name="O_1168994"/>
      <w:bookmarkEnd w:id="3"/>
      <w:r w:rsidRPr="00A815D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MEM05050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Perform routine gas metal arc welding</w:t>
            </w: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MEM05051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Select welding processes</w:t>
            </w: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MEM05052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Apply safe welding practices</w:t>
            </w: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Interpret technical drawing</w:t>
            </w: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Undertake manual handling</w:t>
            </w: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Perform engineering measurements</w:t>
            </w: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Perform computations</w:t>
            </w: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Work safely and effectively in manufacturing and engineeri</w:t>
            </w:r>
            <w:r w:rsidRPr="00A815D3">
              <w:t>ng</w:t>
            </w: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Plan work activities</w:t>
            </w: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Organise and communicate information</w:t>
            </w: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Use hand tools</w:t>
            </w: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D3" w:rsidP="00A815D3">
            <w:pPr>
              <w:pStyle w:val="BodyText"/>
            </w:pPr>
            <w:r w:rsidRPr="00A815D3">
              <w:t>Use power tools/hand held operations</w:t>
            </w:r>
          </w:p>
        </w:tc>
      </w:tr>
    </w:tbl>
    <w:p w:rsidR="00000000" w:rsidRPr="00A815D3" w:rsidP="00A815D3">
      <w:pPr>
        <w:pStyle w:val="BodyText"/>
      </w:pPr>
    </w:p>
    <w:p w:rsidR="00000000" w:rsidRPr="00A815D3" w:rsidP="00A815D3">
      <w:pPr>
        <w:pStyle w:val="AllowPageBreak"/>
      </w:pPr>
    </w:p>
    <w:p w:rsidR="00000000" w:rsidRPr="00A815D3" w:rsidP="00A815D3">
      <w:pPr>
        <w:pStyle w:val="Heading1"/>
      </w:pPr>
      <w:bookmarkStart w:id="4" w:name="O_1168993"/>
      <w:bookmarkEnd w:id="4"/>
      <w:r w:rsidRPr="00A815D3">
        <w:t>Competency Field</w:t>
      </w:r>
    </w:p>
    <w:p w:rsidR="00000000" w:rsidRPr="00A815D3" w:rsidP="001C2998">
      <w:pPr>
        <w:pStyle w:val="BodyText"/>
      </w:pPr>
      <w:r w:rsidRPr="00A815D3">
        <w:t>Fabrication</w:t>
      </w:r>
    </w:p>
    <w:p w:rsidR="00000000" w:rsidRPr="00A815D3" w:rsidP="00A815D3">
      <w:pPr>
        <w:pStyle w:val="Heading1"/>
      </w:pPr>
      <w:bookmarkStart w:id="5" w:name="O_1168992"/>
      <w:bookmarkEnd w:id="5"/>
      <w:r w:rsidRPr="00A815D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Performance criteria describe the performance needed to demonstrate achievement of the element.</w:t>
            </w: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D3" w:rsidP="00A815D3">
            <w:pPr>
              <w:pStyle w:val="BodyText"/>
            </w:pPr>
            <w:r w:rsidRPr="00A815D3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Follow standard operating procedures (SOPs)</w:t>
            </w: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Comply with work health and safety (WHS) requirements at all times</w:t>
            </w: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Use appropriate personal protective equipment (PPE) in accordance with SOPs</w:t>
            </w: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Identify job requirements from specifications, drawings, job sheets or work instructions</w:t>
            </w: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D3" w:rsidP="00A815D3">
            <w:pPr>
              <w:pStyle w:val="BodyText"/>
            </w:pPr>
            <w:r w:rsidRPr="00A815D3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rPr>
                <w:rStyle w:val="SpecialBold"/>
              </w:rPr>
              <w:t>Prepare materials for GMAW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Prepare materials to achieve the required weld requirements</w:t>
            </w: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Assemble/align materials to specification where required</w:t>
            </w: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D3" w:rsidP="00A815D3">
            <w:pPr>
              <w:pStyle w:val="BodyText"/>
            </w:pPr>
            <w:r w:rsidRPr="00A815D3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rPr>
                <w:rStyle w:val="SpecialBold"/>
              </w:rPr>
              <w:t xml:space="preserve">Select, assemble and set up </w:t>
            </w:r>
            <w:r w:rsidRPr="00A815D3">
              <w:rPr>
                <w:rStyle w:val="SpecialBold"/>
              </w:rPr>
              <w:t>welding equipment and consumables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Identify and select welding equipment and electrodes, accessories and consumables appropriate to the material</w:t>
            </w: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 xml:space="preserve">Assemble and set up AC or DC welding equipment </w:t>
            </w: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D3" w:rsidP="00A815D3">
            <w:pPr>
              <w:pStyle w:val="BodyText"/>
            </w:pPr>
            <w:r w:rsidRPr="00A815D3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rPr>
                <w:rStyle w:val="SpecialBold"/>
              </w:rPr>
              <w:t>Minimise and rectify distortion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Apply appropriate distortion prevention measures</w:t>
            </w: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Rectify any distortion using appropriate techniques</w:t>
            </w: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D3" w:rsidP="00A815D3">
            <w:pPr>
              <w:pStyle w:val="BodyText"/>
            </w:pPr>
            <w:r w:rsidRPr="00A815D3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rPr>
                <w:rStyle w:val="SpecialBold"/>
              </w:rPr>
              <w:t>Weld to job specification using GMAW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Ensure weld deposit is to specifications</w:t>
            </w: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Clean joints to specifications</w:t>
            </w: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D3" w:rsidP="00A815D3">
            <w:pPr>
              <w:pStyle w:val="BodyText"/>
            </w:pPr>
            <w:r w:rsidRPr="00A815D3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rPr>
                <w:rStyle w:val="SpecialBold"/>
              </w:rPr>
              <w:t>Ensure weld conformance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Visually inspect weld joints for conformance to specifications</w:t>
            </w: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Rectify any weld defects with minimum loss of sound metal using correct techniques and tools</w:t>
            </w: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D3" w:rsidP="00A815D3">
            <w:pPr>
              <w:pStyle w:val="BodyText"/>
            </w:pPr>
            <w:r w:rsidRPr="00A815D3">
              <w:t>Complete weld records, where required</w:t>
            </w:r>
          </w:p>
        </w:tc>
      </w:tr>
    </w:tbl>
    <w:p w:rsidR="00000000" w:rsidRPr="00A815D3" w:rsidP="00A815D3">
      <w:pPr>
        <w:pStyle w:val="BodyText"/>
      </w:pPr>
    </w:p>
    <w:p w:rsidR="00000000" w:rsidRPr="00A815D3" w:rsidP="00A815D3">
      <w:pPr>
        <w:pStyle w:val="AllowPageBreak"/>
      </w:pPr>
    </w:p>
    <w:p w:rsidR="00000000" w:rsidRPr="00A815D3" w:rsidP="00A815D3">
      <w:pPr>
        <w:pStyle w:val="Heading1"/>
      </w:pPr>
      <w:bookmarkStart w:id="6" w:name="O_1168991"/>
      <w:bookmarkEnd w:id="6"/>
      <w:r w:rsidRPr="00A815D3">
        <w:t>Foundation Skills</w:t>
      </w:r>
    </w:p>
    <w:p w:rsidR="00000000" w:rsidRPr="00A815D3" w:rsidP="001C2998">
      <w:pPr>
        <w:pStyle w:val="BodyText"/>
      </w:pPr>
      <w:r w:rsidRPr="00A815D3">
        <w:t xml:space="preserve">This section describes those required skills (reading, writing, oral communication and numeracy) that are essential to workplace performance in this unit of competency.  </w:t>
      </w:r>
    </w:p>
    <w:p w:rsidR="00000000" w:rsidRPr="00A815D3" w:rsidP="001C2998">
      <w:pPr>
        <w:pStyle w:val="BodyText"/>
      </w:pPr>
      <w:r w:rsidRPr="00A815D3">
        <w:t>Foundation skills essential to performance are explicit in the performance criteria of this unit of competency.</w:t>
      </w:r>
    </w:p>
    <w:p w:rsidR="00000000" w:rsidRPr="00A815D3" w:rsidP="00A815D3">
      <w:pPr>
        <w:pStyle w:val="Heading1"/>
      </w:pPr>
      <w:bookmarkStart w:id="7" w:name="O_1168990"/>
      <w:bookmarkEnd w:id="7"/>
      <w:r w:rsidRPr="00A815D3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410"/>
      </w:tblGrid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t>This field allows for different work environments and conditions that may affect performance. Essential o</w:t>
            </w:r>
            <w:r w:rsidRPr="00A815D3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rPr>
                <w:rStyle w:val="SpecialBold"/>
              </w:rPr>
              <w:t>Welds include the following: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D3" w:rsidP="00A815D3">
            <w:pPr>
              <w:pStyle w:val="ListBullet"/>
            </w:pPr>
            <w:r w:rsidRPr="00A815D3">
              <w:t>fillet and butt welds carried out in all po</w:t>
            </w:r>
            <w:r w:rsidRPr="00A815D3">
              <w:t xml:space="preserve">sitions </w:t>
            </w:r>
          </w:p>
          <w:p w:rsidR="00000000" w:rsidP="00A815D3">
            <w:pPr>
              <w:pStyle w:val="BodyText"/>
              <w:rPr>
                <w:lang w:val="en-NZ"/>
              </w:rPr>
            </w:pP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D3" w:rsidP="00A815D3">
            <w:pPr>
              <w:pStyle w:val="ListBullet"/>
            </w:pPr>
            <w:r w:rsidRPr="00A815D3">
              <w:t>ferrous, including carbon or stainless steel</w:t>
            </w:r>
          </w:p>
          <w:p w:rsidR="00000000" w:rsidRPr="00A815D3" w:rsidP="00A815D3">
            <w:pPr>
              <w:pStyle w:val="ListBullet"/>
            </w:pPr>
            <w:r w:rsidRPr="00A815D3">
              <w:t xml:space="preserve">non-ferrous metals </w:t>
            </w:r>
          </w:p>
          <w:p w:rsidR="00000000" w:rsidRPr="00A815D3" w:rsidP="00A815D3">
            <w:pPr>
              <w:pStyle w:val="ListBullet"/>
            </w:pPr>
            <w:r w:rsidRPr="00A815D3">
              <w:t>alloys suitable for GMAW</w:t>
            </w:r>
          </w:p>
          <w:p w:rsidR="00000000" w:rsidP="00A815D3">
            <w:pPr>
              <w:pStyle w:val="BodyText"/>
              <w:rPr>
                <w:lang w:val="en-NZ"/>
              </w:rPr>
            </w:pP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rPr>
                <w:rStyle w:val="SpecialBold"/>
              </w:rPr>
              <w:t>Preparation includes one (1) or more of the following: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D3" w:rsidP="00A815D3">
            <w:pPr>
              <w:pStyle w:val="ListBullet"/>
            </w:pPr>
            <w:r w:rsidRPr="00A815D3">
              <w:t>pre-heating</w:t>
            </w:r>
          </w:p>
          <w:p w:rsidR="00000000" w:rsidRPr="00A815D3" w:rsidP="00A815D3">
            <w:pPr>
              <w:pStyle w:val="ListBullet"/>
            </w:pPr>
            <w:r w:rsidRPr="00A815D3">
              <w:t>setting up of jigs</w:t>
            </w:r>
          </w:p>
          <w:p w:rsidR="00000000" w:rsidRPr="00A815D3" w:rsidP="00A815D3">
            <w:pPr>
              <w:pStyle w:val="ListBullet"/>
            </w:pPr>
            <w:r w:rsidRPr="00A815D3">
              <w:t>fixtures and clamps</w:t>
            </w:r>
          </w:p>
          <w:p w:rsidR="00000000" w:rsidRPr="00A815D3" w:rsidP="00A815D3">
            <w:pPr>
              <w:pStyle w:val="ListBullet"/>
            </w:pPr>
            <w:r w:rsidRPr="00A815D3">
              <w:t>joint preparation (e.g. bevelling)</w:t>
            </w:r>
          </w:p>
          <w:p w:rsidR="00000000" w:rsidP="00A815D3">
            <w:pPr>
              <w:pStyle w:val="BodyText"/>
              <w:rPr>
                <w:lang w:val="en-NZ"/>
              </w:rPr>
            </w:pP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rPr>
                <w:rStyle w:val="SpecialBold"/>
              </w:rPr>
              <w:t>Distortion prevention measures include one (1) or more of the following: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D3" w:rsidP="00A815D3">
            <w:pPr>
              <w:pStyle w:val="ListBullet"/>
            </w:pPr>
            <w:r w:rsidRPr="00A815D3">
              <w:t>pre-heating</w:t>
            </w:r>
          </w:p>
          <w:p w:rsidR="00000000" w:rsidRPr="00A815D3" w:rsidP="00A815D3">
            <w:pPr>
              <w:pStyle w:val="ListBullet"/>
            </w:pPr>
            <w:r w:rsidRPr="00A815D3">
              <w:t>setting up of jigs</w:t>
            </w:r>
          </w:p>
          <w:p w:rsidR="00000000" w:rsidRPr="00A815D3" w:rsidP="00A815D3">
            <w:pPr>
              <w:pStyle w:val="ListBullet"/>
            </w:pPr>
            <w:r w:rsidRPr="00A815D3">
              <w:t>fixtures and clamps</w:t>
            </w:r>
          </w:p>
          <w:p w:rsidR="00000000" w:rsidP="00A815D3">
            <w:pPr>
              <w:pStyle w:val="BodyText"/>
              <w:rPr>
                <w:lang w:val="en-NZ"/>
              </w:rPr>
            </w:pP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rPr>
                <w:rStyle w:val="SpecialBold"/>
              </w:rPr>
              <w:t>Rectify includes the use of one (1) or more of the following: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D3" w:rsidP="00A815D3">
            <w:pPr>
              <w:pStyle w:val="ListBullet"/>
            </w:pPr>
            <w:r w:rsidRPr="00A815D3">
              <w:t>oxy acetylene</w:t>
            </w:r>
          </w:p>
          <w:p w:rsidR="00000000" w:rsidRPr="00A815D3" w:rsidP="00A815D3">
            <w:pPr>
              <w:pStyle w:val="ListBullet"/>
            </w:pPr>
            <w:r w:rsidRPr="00A815D3">
              <w:t xml:space="preserve">air arc equipment </w:t>
            </w:r>
          </w:p>
          <w:p w:rsidR="00000000" w:rsidRPr="00A815D3" w:rsidP="00A815D3">
            <w:pPr>
              <w:pStyle w:val="ListBullet"/>
            </w:pPr>
            <w:r w:rsidRPr="00A815D3">
              <w:t>grinding devices</w:t>
            </w:r>
          </w:p>
          <w:p w:rsidR="00000000" w:rsidP="00A815D3">
            <w:pPr>
              <w:pStyle w:val="BodyText"/>
              <w:rPr>
                <w:lang w:val="en-NZ"/>
              </w:rPr>
            </w:pPr>
          </w:p>
        </w:tc>
      </w:tr>
      <w:tr w:rsidTr="00A81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D3">
            <w:pPr>
              <w:pStyle w:val="BodyText"/>
              <w:rPr>
                <w:lang w:val="en-NZ"/>
              </w:rPr>
            </w:pPr>
            <w:r w:rsidRPr="00A815D3">
              <w:rPr>
                <w:rStyle w:val="SpecialBold"/>
              </w:rPr>
              <w:t>Defects include one (1) r more of the following: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D3" w:rsidP="00A815D3">
            <w:pPr>
              <w:pStyle w:val="ListBullet"/>
            </w:pPr>
            <w:r w:rsidRPr="00A815D3">
              <w:t>porosity</w:t>
            </w:r>
          </w:p>
          <w:p w:rsidR="00000000" w:rsidRPr="00A815D3" w:rsidP="00A815D3">
            <w:pPr>
              <w:pStyle w:val="ListBullet"/>
            </w:pPr>
            <w:r w:rsidRPr="00A815D3">
              <w:t>slag inclusions</w:t>
            </w:r>
          </w:p>
          <w:p w:rsidR="00000000" w:rsidRPr="00A815D3" w:rsidP="00A815D3">
            <w:pPr>
              <w:pStyle w:val="ListBullet"/>
            </w:pPr>
            <w:r w:rsidRPr="00A815D3">
              <w:t>discontinuities</w:t>
            </w:r>
          </w:p>
          <w:p w:rsidR="00000000" w:rsidRPr="00A815D3" w:rsidP="00A815D3">
            <w:pPr>
              <w:pStyle w:val="ListBullet"/>
            </w:pPr>
            <w:r w:rsidRPr="00A815D3">
              <w:t>lack of penetration</w:t>
            </w:r>
          </w:p>
          <w:p w:rsidR="00000000" w:rsidRPr="00A815D3" w:rsidP="00A815D3">
            <w:pPr>
              <w:pStyle w:val="ListBullet"/>
            </w:pPr>
            <w:r w:rsidRPr="00A815D3">
              <w:t>undercut</w:t>
            </w:r>
          </w:p>
        </w:tc>
      </w:tr>
    </w:tbl>
    <w:p w:rsidR="00000000" w:rsidRPr="00A815D3" w:rsidP="00A815D3">
      <w:pPr>
        <w:pStyle w:val="BodyText"/>
      </w:pPr>
    </w:p>
    <w:p w:rsidR="00000000" w:rsidRPr="00A815D3" w:rsidP="00A815D3">
      <w:pPr>
        <w:pStyle w:val="AllowPageBreak"/>
      </w:pPr>
    </w:p>
    <w:p w:rsidR="00000000" w:rsidRPr="00A815D3" w:rsidP="00A815D3">
      <w:pPr>
        <w:pStyle w:val="Heading1"/>
      </w:pPr>
      <w:bookmarkStart w:id="8" w:name="O_1168989"/>
      <w:bookmarkEnd w:id="8"/>
      <w:r w:rsidRPr="00A815D3">
        <w:t>Unit Mapping Information</w:t>
      </w:r>
    </w:p>
    <w:p w:rsidR="00000000" w:rsidRPr="00A815D3" w:rsidP="001C2998">
      <w:pPr>
        <w:pStyle w:val="BodyText"/>
      </w:pPr>
      <w:r w:rsidRPr="00A815D3">
        <w:t>Release 2. Supersedes and is equivalent to MEM05017 Weld using gas metal arc welding process (Release 1).</w:t>
      </w:r>
    </w:p>
    <w:p w:rsidR="00000000" w:rsidRPr="00A815D3" w:rsidP="001C2998">
      <w:pPr>
        <w:pStyle w:val="BodyText"/>
      </w:pPr>
      <w:r w:rsidRPr="00A815D3">
        <w:t>Release 1. Supersedes and is equivalent to MEM05017D Weld using gas metal arc welding process.</w:t>
      </w:r>
    </w:p>
    <w:p w:rsidR="00000000" w:rsidRPr="00A815D3" w:rsidP="00A815D3">
      <w:pPr>
        <w:pStyle w:val="Heading1"/>
      </w:pPr>
      <w:bookmarkStart w:id="9" w:name="O_1168997"/>
      <w:bookmarkEnd w:id="9"/>
      <w:r w:rsidRPr="00A815D3">
        <w:t>Links</w:t>
      </w:r>
    </w:p>
    <w:p w:rsidR="00000000" w:rsidRPr="00A815D3" w:rsidP="001C2998">
      <w:pPr>
        <w:pStyle w:val="BodyText"/>
      </w:pPr>
      <w:r w:rsidRPr="00A815D3">
        <w:t>Companion Volume implementatio</w:t>
      </w:r>
      <w:r w:rsidRPr="00A815D3">
        <w:t xml:space="preserve">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10E9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815D3" w:rsidP="00A815D3"/>
    <w:sectPr w:rsidSect="00A815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5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5D3" w:rsidRPr="001C2998" w:rsidP="001C29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5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998" w:rsidP="00A815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2998" w:rsidP="00A815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C2998" w:rsidP="00A815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5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9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15D3" w:rsidRPr="001C2998" w:rsidP="001C29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5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998" w:rsidRPr="002D2AF8" w:rsidP="00A815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MEM05017 Weld using gas metal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C2998" w:rsidP="00A815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843D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14AE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5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15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15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15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15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15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15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15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15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15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15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15D3"/>
  </w:style>
  <w:style w:type="character" w:customStyle="1" w:styleId="Heading1Char">
    <w:name w:val="Heading 1 Char"/>
    <w:basedOn w:val="DefaultParagraphFont"/>
    <w:link w:val="Heading1"/>
    <w:rsid w:val="00A815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15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15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15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15D3"/>
    <w:rPr>
      <w:b/>
      <w:spacing w:val="0"/>
    </w:rPr>
  </w:style>
  <w:style w:type="paragraph" w:customStyle="1" w:styleId="SuperHeading">
    <w:name w:val="SuperHeading"/>
    <w:basedOn w:val="Normal"/>
    <w:rsid w:val="00A815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15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15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15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15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15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15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15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15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15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15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15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15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15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15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15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15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15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15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15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15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15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15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15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15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15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15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15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15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15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15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15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15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15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15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15D3"/>
    <w:rPr>
      <w:i/>
    </w:rPr>
  </w:style>
  <w:style w:type="paragraph" w:styleId="Caption">
    <w:name w:val="caption"/>
    <w:basedOn w:val="BodyText"/>
    <w:next w:val="Normal"/>
    <w:qFormat/>
    <w:rsid w:val="00A815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15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15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15D3"/>
  </w:style>
  <w:style w:type="paragraph" w:styleId="TableofFigures">
    <w:name w:val="table of figures"/>
    <w:basedOn w:val="Normal"/>
    <w:next w:val="Normal"/>
    <w:semiHidden/>
    <w:rsid w:val="00A815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15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15D3"/>
    <w:rPr>
      <w:rFonts w:ascii="Wingdings" w:hAnsi="Wingdings"/>
    </w:rPr>
  </w:style>
  <w:style w:type="paragraph" w:customStyle="1" w:styleId="TableHeading">
    <w:name w:val="Table Heading"/>
    <w:basedOn w:val="HeadingBase"/>
    <w:rsid w:val="00A815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15D3"/>
    <w:rPr>
      <w:color w:val="0033CC"/>
      <w:u w:val="none"/>
    </w:rPr>
  </w:style>
  <w:style w:type="paragraph" w:customStyle="1" w:styleId="BodyTextRight">
    <w:name w:val="Body Text Right"/>
    <w:basedOn w:val="BodyText"/>
    <w:rsid w:val="00A815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15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15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15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15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15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15D3"/>
    <w:rPr>
      <w:sz w:val="32"/>
    </w:rPr>
  </w:style>
  <w:style w:type="paragraph" w:customStyle="1" w:styleId="HeadingProcedure">
    <w:name w:val="Heading Procedure"/>
    <w:basedOn w:val="HeadingBase"/>
    <w:next w:val="Normal"/>
    <w:rsid w:val="00A815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15D3"/>
    <w:pPr>
      <w:spacing w:before="60" w:after="60"/>
    </w:pPr>
  </w:style>
  <w:style w:type="paragraph" w:styleId="ListContinue">
    <w:name w:val="List Continue"/>
    <w:basedOn w:val="List"/>
    <w:rsid w:val="00A815D3"/>
    <w:pPr>
      <w:ind w:firstLine="0"/>
    </w:pPr>
  </w:style>
  <w:style w:type="paragraph" w:customStyle="1" w:styleId="ListNote">
    <w:name w:val="List Note"/>
    <w:basedOn w:val="List"/>
    <w:rsid w:val="00A815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15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15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15D3"/>
    <w:rPr>
      <w:rFonts w:ascii="Courier New" w:hAnsi="Courier New"/>
    </w:rPr>
  </w:style>
  <w:style w:type="paragraph" w:customStyle="1" w:styleId="NoteBullet">
    <w:name w:val="Note Bullet"/>
    <w:basedOn w:val="Note"/>
    <w:rsid w:val="00A815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15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15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15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15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15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15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15D3"/>
    <w:rPr>
      <w:b/>
      <w:smallCaps/>
    </w:rPr>
  </w:style>
  <w:style w:type="paragraph" w:customStyle="1" w:styleId="TableListNumber">
    <w:name w:val="Table List Number"/>
    <w:basedOn w:val="ListNumber"/>
    <w:rsid w:val="00A815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15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15D3"/>
    <w:pPr>
      <w:numPr>
        <w:numId w:val="8"/>
      </w:numPr>
    </w:pPr>
  </w:style>
  <w:style w:type="paragraph" w:customStyle="1" w:styleId="ListAlpha2">
    <w:name w:val="List Alpha 2"/>
    <w:basedOn w:val="List2"/>
    <w:rsid w:val="00A815D3"/>
    <w:pPr>
      <w:numPr>
        <w:numId w:val="7"/>
      </w:numPr>
    </w:pPr>
  </w:style>
  <w:style w:type="paragraph" w:styleId="List2">
    <w:name w:val="List 2"/>
    <w:basedOn w:val="BodyText"/>
    <w:rsid w:val="00A815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15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15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15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15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15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15D3"/>
    <w:pPr>
      <w:numPr>
        <w:numId w:val="3"/>
      </w:numPr>
    </w:pPr>
  </w:style>
  <w:style w:type="paragraph" w:styleId="ListContinue2">
    <w:name w:val="List Continue 2"/>
    <w:basedOn w:val="List2"/>
    <w:rsid w:val="00A815D3"/>
    <w:pPr>
      <w:ind w:firstLine="0"/>
    </w:pPr>
  </w:style>
  <w:style w:type="paragraph" w:styleId="ListContinue3">
    <w:name w:val="List Continue 3"/>
    <w:basedOn w:val="List3"/>
    <w:rsid w:val="00A815D3"/>
    <w:pPr>
      <w:ind w:left="1021" w:firstLine="0"/>
    </w:pPr>
  </w:style>
  <w:style w:type="paragraph" w:styleId="ListContinue4">
    <w:name w:val="List Continue 4"/>
    <w:basedOn w:val="List4"/>
    <w:rsid w:val="00A815D3"/>
    <w:pPr>
      <w:ind w:firstLine="0"/>
    </w:pPr>
  </w:style>
  <w:style w:type="paragraph" w:styleId="ListContinue5">
    <w:name w:val="List Continue 5"/>
    <w:basedOn w:val="List5"/>
    <w:rsid w:val="00A815D3"/>
    <w:pPr>
      <w:ind w:firstLine="0"/>
    </w:pPr>
  </w:style>
  <w:style w:type="paragraph" w:styleId="ListNumber3">
    <w:name w:val="List Number 3"/>
    <w:basedOn w:val="List3"/>
    <w:rsid w:val="00A815D3"/>
    <w:pPr>
      <w:numPr>
        <w:numId w:val="4"/>
      </w:numPr>
    </w:pPr>
  </w:style>
  <w:style w:type="paragraph" w:styleId="ListNumber4">
    <w:name w:val="List Number 4"/>
    <w:basedOn w:val="List4"/>
    <w:rsid w:val="00A815D3"/>
    <w:pPr>
      <w:numPr>
        <w:numId w:val="5"/>
      </w:numPr>
    </w:pPr>
  </w:style>
  <w:style w:type="paragraph" w:styleId="ListNumber5">
    <w:name w:val="List Number 5"/>
    <w:basedOn w:val="List5"/>
    <w:rsid w:val="00A815D3"/>
    <w:pPr>
      <w:numPr>
        <w:numId w:val="6"/>
      </w:numPr>
    </w:pPr>
  </w:style>
  <w:style w:type="paragraph" w:styleId="BlockText">
    <w:name w:val="Block Text"/>
    <w:basedOn w:val="Normal"/>
    <w:rsid w:val="00A815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15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15D3"/>
    <w:rPr>
      <w:sz w:val="16"/>
      <w:vertAlign w:val="superscript"/>
    </w:rPr>
  </w:style>
  <w:style w:type="character" w:customStyle="1" w:styleId="Symbols">
    <w:name w:val="Symbols"/>
    <w:basedOn w:val="DefaultParagraphFont"/>
    <w:rsid w:val="00A815D3"/>
    <w:rPr>
      <w:rFonts w:ascii="Symbol" w:hAnsi="Symbol"/>
    </w:rPr>
  </w:style>
  <w:style w:type="character" w:customStyle="1" w:styleId="MenuOptions">
    <w:name w:val="Menu Options"/>
    <w:basedOn w:val="DefaultParagraphFont"/>
    <w:rsid w:val="00A815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15D3"/>
    <w:rPr>
      <w:b/>
    </w:rPr>
  </w:style>
  <w:style w:type="character" w:customStyle="1" w:styleId="Underlined">
    <w:name w:val="Underlined"/>
    <w:basedOn w:val="DefaultParagraphFont"/>
    <w:rsid w:val="00A815D3"/>
    <w:rPr>
      <w:u w:val="single"/>
    </w:rPr>
  </w:style>
  <w:style w:type="paragraph" w:customStyle="1" w:styleId="TableBodyTextRight">
    <w:name w:val="Table Body Text Right"/>
    <w:basedOn w:val="TableBodyText"/>
    <w:rsid w:val="00A815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15D3"/>
    <w:rPr>
      <w:sz w:val="18"/>
    </w:rPr>
  </w:style>
  <w:style w:type="paragraph" w:customStyle="1" w:styleId="BodySmallRight">
    <w:name w:val="Body Small Right"/>
    <w:basedOn w:val="BodyTextRight"/>
    <w:rsid w:val="00A815D3"/>
    <w:rPr>
      <w:sz w:val="18"/>
      <w:szCs w:val="18"/>
    </w:rPr>
  </w:style>
  <w:style w:type="paragraph" w:customStyle="1" w:styleId="MarginEdition">
    <w:name w:val="Margin Edition"/>
    <w:basedOn w:val="MarginNote"/>
    <w:rsid w:val="00A815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15D3"/>
    <w:rPr>
      <w:sz w:val="2"/>
      <w:szCs w:val="2"/>
    </w:rPr>
  </w:style>
  <w:style w:type="character" w:customStyle="1" w:styleId="Small">
    <w:name w:val="Small"/>
    <w:basedOn w:val="DefaultParagraphFont"/>
    <w:rsid w:val="00A815D3"/>
    <w:rPr>
      <w:sz w:val="16"/>
    </w:rPr>
  </w:style>
  <w:style w:type="paragraph" w:customStyle="1" w:styleId="WideTable">
    <w:name w:val="Wide Table"/>
    <w:basedOn w:val="Normal"/>
    <w:rsid w:val="00A815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15D3"/>
  </w:style>
  <w:style w:type="paragraph" w:styleId="Quote">
    <w:name w:val="Quote"/>
    <w:basedOn w:val="Heading1"/>
    <w:link w:val="QuoteChar"/>
    <w:qFormat/>
    <w:rsid w:val="00A815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15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15D3"/>
    <w:pPr>
      <w:pageBreakBefore/>
    </w:pPr>
  </w:style>
  <w:style w:type="paragraph" w:customStyle="1" w:styleId="Border">
    <w:name w:val="Border"/>
    <w:basedOn w:val="Normal"/>
    <w:qFormat/>
    <w:rsid w:val="00A815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15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5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5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15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15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15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15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15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15D3"/>
    <w:rPr>
      <w:u w:val="single"/>
    </w:rPr>
  </w:style>
  <w:style w:type="character" w:customStyle="1" w:styleId="BoldandItalics">
    <w:name w:val="Bold and Italics"/>
    <w:qFormat/>
    <w:rsid w:val="00A815D3"/>
    <w:rPr>
      <w:b/>
      <w:i/>
      <w:u w:val="none"/>
    </w:rPr>
  </w:style>
  <w:style w:type="paragraph" w:styleId="BalloonText">
    <w:name w:val="Balloon Text"/>
    <w:basedOn w:val="Normal"/>
    <w:link w:val="BalloonTextChar"/>
    <w:rsid w:val="00A815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5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15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15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15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15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15D3"/>
    <w:pPr>
      <w:spacing w:before="0" w:after="0"/>
    </w:pPr>
  </w:style>
  <w:style w:type="paragraph" w:customStyle="1" w:styleId="BodyTextBold">
    <w:name w:val="Body Text Bold"/>
    <w:basedOn w:val="BodyText"/>
    <w:qFormat/>
    <w:rsid w:val="00A815D3"/>
    <w:rPr>
      <w:b/>
    </w:rPr>
  </w:style>
  <w:style w:type="character" w:styleId="Hyperlink">
    <w:name w:val="Hyperlink"/>
    <w:basedOn w:val="DefaultParagraphFont"/>
    <w:uiPriority w:val="99"/>
    <w:unhideWhenUsed/>
    <w:rsid w:val="001C29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4374</Characters>
  <Application>Microsoft Office Word</Application>
  <DocSecurity>0</DocSecurity>
  <Lines>230</Lines>
  <Paragraphs>145</Paragraphs>
  <ScaleCrop>false</ScaleCrop>
  <Company>Author-it Software Corporation Ltd.</Company>
  <LinksUpToDate>false</LinksUpToDate>
  <CharactersWithSpaces>4943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MEM05017 Weld using gas metal arc welding process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2022-12-13T06:21:00Z</dcterms:created>
  <dcterms:modified xsi:type="dcterms:W3CDTF">2022-12-13T06:21:00Z</dcterms:modified>
</cp:coreProperties>
</file>