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636" w:rsidP="004866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MEM05002 Perform high reliability soldering and desoldering</w:t>
      </w:r>
      <w:r>
        <w:fldChar w:fldCharType="end"/>
      </w:r>
    </w:p>
    <w:p w:rsidR="00486636" w:rsidP="00486636">
      <w:pPr>
        <w:pStyle w:val="Version"/>
        <w:sectPr w:rsidSect="00DB7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A98" w:rsidP="00DB7A98">
      <w:pPr>
        <w:pStyle w:val="SuperHeading"/>
      </w:pPr>
      <w:r w:rsidRPr="00DB7A98">
        <w:t>MEM05002 Perform high reliability soldering and desoldering</w:t>
      </w:r>
    </w:p>
    <w:p w:rsidR="00000000" w:rsidRPr="00DB7A98" w:rsidP="00DB7A98">
      <w:pPr>
        <w:pStyle w:val="Heading1"/>
      </w:pPr>
      <w:bookmarkStart w:id="1" w:name="O_941978"/>
      <w:bookmarkEnd w:id="1"/>
      <w:r w:rsidRPr="00DB7A98">
        <w:t>Modification History</w:t>
      </w:r>
    </w:p>
    <w:p w:rsidR="00000000" w:rsidRPr="00DB7A98" w:rsidP="00486636">
      <w:pPr>
        <w:pStyle w:val="BodyText"/>
      </w:pPr>
      <w:r w:rsidRPr="00DB7A98">
        <w:t xml:space="preserve">Release 1. Supersedes and is equivalent to MEM05002B Perform high reliability soldering and desoldering </w:t>
      </w:r>
    </w:p>
    <w:p w:rsidR="00000000" w:rsidRPr="00DB7A98" w:rsidP="00DB7A98">
      <w:pPr>
        <w:pStyle w:val="Heading1"/>
      </w:pPr>
      <w:bookmarkStart w:id="2" w:name="O_941986"/>
      <w:bookmarkEnd w:id="2"/>
      <w:r w:rsidRPr="00DB7A98">
        <w:t>Application</w:t>
      </w:r>
    </w:p>
    <w:p w:rsidR="00000000" w:rsidRPr="00DB7A98" w:rsidP="00486636">
      <w:pPr>
        <w:pStyle w:val="BodyText"/>
      </w:pPr>
      <w:r w:rsidRPr="00DB7A98">
        <w:t>This unit of competency defines the skills and knowledge required to perform solderin</w:t>
      </w:r>
      <w:r w:rsidRPr="00DB7A98">
        <w:t>g/desoldering for the installation and fabrication of electrical/electronic components to advanced or military specifications, or where the reliability of electrical connections is critical and where the prevention of damage through electrostatic discharge</w:t>
      </w:r>
      <w:r w:rsidRPr="00DB7A98">
        <w:t xml:space="preserve"> or other means is required as well as the soldering of electronic surface mount devices (SMD).</w:t>
      </w:r>
    </w:p>
    <w:p w:rsidR="00000000" w:rsidRPr="00DB7A98" w:rsidP="00486636">
      <w:pPr>
        <w:pStyle w:val="BodyText"/>
      </w:pPr>
      <w:r w:rsidRPr="00DB7A98">
        <w:t>It applies to work undertaken on equipment where continuous performance is critical, and this includes work to military specifications in a workshop, laborator</w:t>
      </w:r>
      <w:r w:rsidRPr="00DB7A98">
        <w:t>y or in situ.</w:t>
      </w:r>
    </w:p>
    <w:p w:rsidR="00000000" w:rsidRPr="00DB7A98" w:rsidP="00486636">
      <w:pPr>
        <w:pStyle w:val="BodyText"/>
      </w:pPr>
      <w:r w:rsidRPr="00DB7A98">
        <w:t>Where manual soldering for the installation and fabrication of electrical/electronic components and where the reliability of connections is not critical unit MEM05001 Perform manual soldering/desoldering - electrical/electronic components sh</w:t>
      </w:r>
      <w:r w:rsidRPr="00DB7A98">
        <w:t>ould be selected.</w:t>
      </w:r>
    </w:p>
    <w:p w:rsidR="00000000" w:rsidRPr="00DB7A98" w:rsidP="00486636">
      <w:pPr>
        <w:pStyle w:val="BodyText"/>
      </w:pPr>
      <w:r w:rsidRPr="00DB7A98">
        <w:t>Where the interpretation of technical drawings is required unit MEM09002 Interpret technical drawing should also be selected.</w:t>
      </w:r>
    </w:p>
    <w:p w:rsidR="00000000" w:rsidRPr="00DB7A98" w:rsidP="00486636">
      <w:pPr>
        <w:pStyle w:val="BodyText"/>
      </w:pPr>
      <w:r w:rsidRPr="00DB7A98">
        <w:t>Where the selection and use of engineering measuring equipment is required unit MEM12023 Perform engineering m</w:t>
      </w:r>
      <w:r w:rsidRPr="00DB7A98">
        <w:t>easurements should also be selected.</w:t>
      </w:r>
    </w:p>
    <w:p w:rsidR="00000000" w:rsidRPr="00DB7A98" w:rsidP="00486636">
      <w:pPr>
        <w:pStyle w:val="BodyText"/>
      </w:pPr>
      <w:r w:rsidRPr="00DB7A98">
        <w:t>Where the selection and use of tools is required unit MEM18001 Use hand tools and unit MEM18002 Use power tools/hand held operations, should also be selected as appropriate.</w:t>
      </w:r>
    </w:p>
    <w:p w:rsidR="00000000" w:rsidRPr="00DB7A98" w:rsidP="00486636">
      <w:pPr>
        <w:pStyle w:val="BodyText"/>
      </w:pPr>
      <w:r w:rsidRPr="00DB7A98">
        <w:t xml:space="preserve">No licensing, legislative or certification </w:t>
      </w:r>
      <w:r w:rsidRPr="00DB7A98">
        <w:t>requirements apply to this unit at the time of publication.</w:t>
      </w:r>
    </w:p>
    <w:p w:rsidR="00000000" w:rsidRPr="00DB7A98" w:rsidP="00DB7A98">
      <w:pPr>
        <w:pStyle w:val="BodyText"/>
      </w:pPr>
      <w:r w:rsidRPr="00DB7A98">
        <w:rPr>
          <w:rStyle w:val="SpecialBold"/>
        </w:rPr>
        <w:t>Band:</w:t>
      </w:r>
      <w:r w:rsidRPr="00DB7A98">
        <w:rPr>
          <w:rStyle w:val="SpecialBold"/>
        </w:rPr>
        <w:tab/>
        <w:t>A</w:t>
      </w:r>
    </w:p>
    <w:p w:rsidR="00000000" w:rsidRPr="00DB7A98" w:rsidP="00DB7A98">
      <w:pPr>
        <w:pStyle w:val="BodyText"/>
      </w:pPr>
      <w:r w:rsidRPr="00DB7A98">
        <w:rPr>
          <w:rStyle w:val="SpecialBold"/>
        </w:rPr>
        <w:t>Unit Weight:</w:t>
      </w:r>
      <w:r w:rsidRPr="00DB7A98">
        <w:rPr>
          <w:rStyle w:val="SpecialBold"/>
        </w:rPr>
        <w:tab/>
        <w:t>4</w:t>
      </w:r>
    </w:p>
    <w:p w:rsidR="00000000" w:rsidRPr="00DB7A98" w:rsidP="00DB7A98">
      <w:pPr>
        <w:pStyle w:val="AllowPageBreak"/>
      </w:pPr>
    </w:p>
    <w:p w:rsidR="00000000" w:rsidRPr="00DB7A98" w:rsidP="00DB7A98">
      <w:pPr>
        <w:pStyle w:val="Heading1"/>
      </w:pPr>
      <w:bookmarkStart w:id="3" w:name="O_941985"/>
      <w:bookmarkEnd w:id="3"/>
      <w:r w:rsidRPr="00DB7A9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Perform manual soldering/desoldering - electrical/electronic components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Undertake manual handling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Work safely and effectively in manufacturing and engineering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BodyText"/>
            </w:pPr>
            <w:r w:rsidRPr="00DB7A98">
              <w:t>Organise and communicate information</w:t>
            </w:r>
          </w:p>
        </w:tc>
      </w:tr>
    </w:tbl>
    <w:p w:rsidR="00000000" w:rsidRPr="00DB7A98" w:rsidP="00DB7A98">
      <w:pPr>
        <w:pStyle w:val="BodyText"/>
      </w:pPr>
    </w:p>
    <w:p w:rsidR="00000000" w:rsidRPr="00DB7A98" w:rsidP="00DB7A98">
      <w:pPr>
        <w:pStyle w:val="AllowPageBreak"/>
      </w:pPr>
    </w:p>
    <w:p w:rsidR="00000000" w:rsidRPr="00DB7A98" w:rsidP="00DB7A98">
      <w:pPr>
        <w:pStyle w:val="Heading1"/>
      </w:pPr>
      <w:bookmarkStart w:id="4" w:name="O_941984"/>
      <w:bookmarkEnd w:id="4"/>
      <w:r w:rsidRPr="00DB7A98">
        <w:t>Competency Field</w:t>
      </w:r>
    </w:p>
    <w:p w:rsidR="00000000" w:rsidRPr="00DB7A98" w:rsidP="00486636">
      <w:pPr>
        <w:pStyle w:val="BodyText"/>
      </w:pPr>
      <w:r w:rsidRPr="00DB7A98">
        <w:t>Fabrication</w:t>
      </w:r>
    </w:p>
    <w:p w:rsidR="00000000" w:rsidRPr="00DB7A98" w:rsidP="00DB7A98">
      <w:pPr>
        <w:pStyle w:val="Heading1"/>
      </w:pPr>
      <w:bookmarkStart w:id="5" w:name="O_941982"/>
      <w:bookmarkEnd w:id="5"/>
      <w:r w:rsidRPr="00DB7A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Perfor</w:t>
            </w:r>
            <w:r w:rsidRPr="00DB7A98">
              <w:t>mance criteria describe the performance needed to demonstrate achievement of the element.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BodyText"/>
            </w:pPr>
            <w:r w:rsidRPr="00DB7A9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Follow standard operating procedures (SOPs)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Comply with work health and safety (WHS) requirements at all times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Use appropriate personal protective equipment (PPE) in accordance with SOPs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Identify job requirements from specifications, sketches, job sheets or work instructions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BodyText"/>
            </w:pPr>
            <w:r w:rsidRPr="00DB7A9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rPr>
                <w:rStyle w:val="SpecialBold"/>
              </w:rPr>
              <w:t>Prepare and solder materials/devices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Prepare material/device to specification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Clean materials/devices to specifications using appropriate materials and SOPs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Mount material/device to specifications using appropriate tools and techniques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Undertake necessary techniques to protect materials/devices from heat damage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 xml:space="preserve">Handle printed circuit boards, assemblies and components in such a way as to prevent electrostatic </w:t>
            </w:r>
            <w:r w:rsidRPr="00DB7A98">
              <w:t>discharge or mechanical damage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Undertake soldering using correct a</w:t>
            </w:r>
            <w:r w:rsidRPr="00DB7A98">
              <w:t xml:space="preserve">nd appropriate techniques including appropriate use of flux 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BodyText"/>
            </w:pPr>
            <w:r w:rsidRPr="00DB7A9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rPr>
                <w:rStyle w:val="SpecialBold"/>
              </w:rPr>
              <w:t>Test/inspect soldered joints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Carry out test/inspection using appropriate techniques and equipment to ensure compliance with specifications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BodyText"/>
            </w:pPr>
            <w:r w:rsidRPr="00DB7A98">
              <w:t>Carry out rework/repair, where required, and inspect/test to meet specifications</w:t>
            </w:r>
          </w:p>
        </w:tc>
      </w:tr>
    </w:tbl>
    <w:p w:rsidR="00000000" w:rsidRPr="00DB7A98" w:rsidP="00DB7A98">
      <w:pPr>
        <w:pStyle w:val="BodyText"/>
      </w:pPr>
    </w:p>
    <w:p w:rsidR="00000000" w:rsidRPr="00DB7A98" w:rsidP="00DB7A98">
      <w:pPr>
        <w:pStyle w:val="AllowPageBreak"/>
      </w:pPr>
    </w:p>
    <w:p w:rsidR="00000000" w:rsidRPr="00DB7A98" w:rsidP="00DB7A98">
      <w:pPr>
        <w:pStyle w:val="Heading1"/>
      </w:pPr>
      <w:bookmarkStart w:id="6" w:name="O_941981"/>
      <w:bookmarkEnd w:id="6"/>
      <w:r w:rsidRPr="00DB7A98">
        <w:t>Foundation Skills</w:t>
      </w:r>
    </w:p>
    <w:p w:rsidR="00000000" w:rsidRPr="00DB7A98" w:rsidP="00486636">
      <w:pPr>
        <w:pStyle w:val="BodyText"/>
      </w:pPr>
      <w:r w:rsidRPr="00DB7A9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B7A98" w:rsidP="00486636">
      <w:pPr>
        <w:pStyle w:val="BodyText"/>
      </w:pPr>
      <w:r w:rsidRPr="00DB7A98">
        <w:t xml:space="preserve">Foundation skills essential to performance are explicit in the performance criteria </w:t>
      </w:r>
      <w:r w:rsidRPr="00DB7A98">
        <w:t>of this unit of competency.</w:t>
      </w:r>
    </w:p>
    <w:p w:rsidR="00000000" w:rsidRPr="00DB7A98" w:rsidP="00DB7A98">
      <w:pPr>
        <w:pStyle w:val="Heading1"/>
      </w:pPr>
      <w:bookmarkStart w:id="7" w:name="O_941980"/>
      <w:bookmarkEnd w:id="7"/>
      <w:r w:rsidRPr="00DB7A9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t>This field allows for different work environments and conditions that may affect performance. Essential operating conditions that may be present (depending on the work situation, needs of the</w:t>
            </w:r>
            <w:r w:rsidRPr="00DB7A98">
              <w:t xml:space="preserve"> candidate, accessibility of the item, and local industry and regional contexts) are included.</w:t>
            </w: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rPr>
                <w:rStyle w:val="SpecialBold"/>
              </w:rPr>
              <w:t xml:space="preserve">Materials include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ListBullet"/>
            </w:pPr>
            <w:r w:rsidRPr="00DB7A98">
              <w:t>solder</w:t>
            </w:r>
          </w:p>
          <w:p w:rsidR="00000000" w:rsidRPr="00DB7A98" w:rsidP="00DB7A98">
            <w:pPr>
              <w:pStyle w:val="ListBullet"/>
            </w:pPr>
            <w:r w:rsidRPr="00DB7A98">
              <w:t>flux</w:t>
            </w:r>
          </w:p>
          <w:p w:rsidR="00000000" w:rsidP="00DB7A98">
            <w:pPr>
              <w:pStyle w:val="BodyText"/>
              <w:rPr>
                <w:lang w:val="en-NZ"/>
              </w:rPr>
            </w:pP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rPr>
                <w:rStyle w:val="SpecialBold"/>
              </w:rPr>
              <w:t xml:space="preserve">Solder includes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ListBullet"/>
            </w:pPr>
            <w:r w:rsidRPr="00DB7A98">
              <w:t>solid</w:t>
            </w:r>
          </w:p>
          <w:p w:rsidR="00000000" w:rsidRPr="00DB7A98" w:rsidP="00DB7A98">
            <w:pPr>
              <w:pStyle w:val="ListBullet"/>
            </w:pPr>
            <w:r w:rsidRPr="00DB7A98">
              <w:t>resin core</w:t>
            </w:r>
          </w:p>
          <w:p w:rsidR="00000000" w:rsidRPr="00DB7A98" w:rsidP="00DB7A98">
            <w:pPr>
              <w:pStyle w:val="ListBullet"/>
            </w:pPr>
            <w:r w:rsidRPr="00DB7A98">
              <w:t>paste</w:t>
            </w:r>
          </w:p>
          <w:p w:rsidR="00000000" w:rsidP="00DB7A98">
            <w:pPr>
              <w:pStyle w:val="BodyText"/>
              <w:rPr>
                <w:lang w:val="en-NZ"/>
              </w:rPr>
            </w:pP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rPr>
                <w:rStyle w:val="SpecialBold"/>
              </w:rPr>
              <w:t xml:space="preserve">Flux includes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ListBullet"/>
            </w:pPr>
            <w:r w:rsidRPr="00DB7A98">
              <w:t>resin</w:t>
            </w:r>
          </w:p>
          <w:p w:rsidR="00000000" w:rsidRPr="00DB7A98" w:rsidP="00DB7A98">
            <w:pPr>
              <w:pStyle w:val="ListBullet"/>
            </w:pPr>
            <w:r w:rsidRPr="00DB7A98">
              <w:t>powder</w:t>
            </w:r>
          </w:p>
          <w:p w:rsidR="00000000" w:rsidP="00DB7A98">
            <w:pPr>
              <w:pStyle w:val="BodyText"/>
              <w:rPr>
                <w:lang w:val="en-NZ"/>
              </w:rPr>
            </w:pP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rPr>
                <w:rStyle w:val="SpecialBold"/>
              </w:rPr>
              <w:t>Soldering irons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ListBullet"/>
            </w:pPr>
            <w:r w:rsidRPr="00DB7A98">
              <w:t>simple</w:t>
            </w:r>
          </w:p>
          <w:p w:rsidR="00000000" w:rsidRPr="00DB7A98" w:rsidP="00DB7A98">
            <w:pPr>
              <w:pStyle w:val="ListBullet"/>
            </w:pPr>
            <w:r w:rsidRPr="00DB7A98">
              <w:t>cordless</w:t>
            </w:r>
          </w:p>
          <w:p w:rsidR="00000000" w:rsidRPr="00DB7A98" w:rsidP="00DB7A98">
            <w:pPr>
              <w:pStyle w:val="ListBullet"/>
            </w:pPr>
            <w:r w:rsidRPr="00DB7A98">
              <w:t>temperature controlled</w:t>
            </w:r>
          </w:p>
          <w:p w:rsidR="00000000" w:rsidRPr="00DB7A98" w:rsidP="00DB7A98">
            <w:pPr>
              <w:pStyle w:val="ListBullet"/>
            </w:pPr>
            <w:r w:rsidRPr="00DB7A98">
              <w:t>soldering station</w:t>
            </w:r>
          </w:p>
          <w:p w:rsidR="00000000" w:rsidRPr="00DB7A98" w:rsidP="00DB7A98">
            <w:pPr>
              <w:pStyle w:val="ListBullet"/>
            </w:pPr>
            <w:r w:rsidRPr="00DB7A98">
              <w:t>soldering tweezers</w:t>
            </w:r>
          </w:p>
          <w:p w:rsidR="00000000" w:rsidRPr="00DB7A98" w:rsidP="00DB7A98">
            <w:pPr>
              <w:pStyle w:val="ListBullet"/>
            </w:pPr>
            <w:r w:rsidRPr="00DB7A98">
              <w:t>hot knife</w:t>
            </w:r>
          </w:p>
          <w:p w:rsidR="00000000" w:rsidP="00DB7A98">
            <w:pPr>
              <w:pStyle w:val="BodyText"/>
              <w:rPr>
                <w:lang w:val="en-NZ"/>
              </w:rPr>
            </w:pP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rPr>
                <w:rStyle w:val="SpecialBold"/>
              </w:rPr>
              <w:t xml:space="preserve">Device includes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ListBullet"/>
            </w:pPr>
            <w:r w:rsidRPr="00DB7A98">
              <w:t>medical</w:t>
            </w:r>
          </w:p>
          <w:p w:rsidR="00000000" w:rsidRPr="00DB7A98" w:rsidP="00DB7A98">
            <w:pPr>
              <w:pStyle w:val="ListBullet"/>
            </w:pPr>
            <w:r w:rsidRPr="00DB7A98">
              <w:t>navigation equipment</w:t>
            </w:r>
          </w:p>
          <w:p w:rsidR="00000000" w:rsidP="00DB7A98">
            <w:pPr>
              <w:pStyle w:val="BodyText"/>
              <w:rPr>
                <w:lang w:val="en-NZ"/>
              </w:rPr>
            </w:pPr>
          </w:p>
        </w:tc>
      </w:tr>
      <w:tr w:rsidTr="00DB7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A98">
            <w:pPr>
              <w:pStyle w:val="BodyText"/>
              <w:rPr>
                <w:lang w:val="en-NZ"/>
              </w:rPr>
            </w:pPr>
            <w:r w:rsidRPr="00DB7A98">
              <w:rPr>
                <w:rStyle w:val="SpecialBold"/>
              </w:rPr>
              <w:t>Test/inspection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A98" w:rsidP="00DB7A98">
            <w:pPr>
              <w:pStyle w:val="ListBullet"/>
            </w:pPr>
            <w:r w:rsidRPr="00DB7A98">
              <w:t>visual</w:t>
            </w:r>
          </w:p>
          <w:p w:rsidR="00000000" w:rsidRPr="00DB7A98" w:rsidP="00DB7A98">
            <w:pPr>
              <w:pStyle w:val="ListBullet"/>
            </w:pPr>
            <w:r w:rsidRPr="00DB7A98">
              <w:t>mechanical</w:t>
            </w:r>
          </w:p>
          <w:p w:rsidR="00000000" w:rsidRPr="00DB7A98" w:rsidP="00DB7A98">
            <w:pPr>
              <w:pStyle w:val="ListBullet"/>
            </w:pPr>
            <w:r w:rsidRPr="00DB7A98">
              <w:t>electrical techniques</w:t>
            </w:r>
          </w:p>
          <w:p w:rsidR="00000000" w:rsidRPr="00DB7A98" w:rsidP="00DB7A98">
            <w:pPr>
              <w:pStyle w:val="BodyText"/>
            </w:pPr>
          </w:p>
        </w:tc>
      </w:tr>
    </w:tbl>
    <w:p w:rsidR="00000000" w:rsidRPr="00DB7A98" w:rsidP="00DB7A98">
      <w:pPr>
        <w:pStyle w:val="BodyText"/>
      </w:pPr>
    </w:p>
    <w:p w:rsidR="00000000" w:rsidRPr="00DB7A98" w:rsidP="00DB7A98">
      <w:pPr>
        <w:pStyle w:val="AllowPageBreak"/>
      </w:pPr>
    </w:p>
    <w:p w:rsidR="00000000" w:rsidRPr="00DB7A98" w:rsidP="00DB7A98">
      <w:pPr>
        <w:pStyle w:val="Heading1"/>
      </w:pPr>
      <w:bookmarkStart w:id="8" w:name="O_941979"/>
      <w:bookmarkEnd w:id="8"/>
      <w:r w:rsidRPr="00DB7A98">
        <w:t>Unit Mapping Information</w:t>
      </w:r>
    </w:p>
    <w:p w:rsidR="00000000" w:rsidRPr="00DB7A98" w:rsidP="00486636">
      <w:pPr>
        <w:pStyle w:val="BodyText"/>
      </w:pPr>
      <w:r w:rsidRPr="00DB7A98">
        <w:t xml:space="preserve">Release 1. Supersedes and is equivalent to MEM05002B Perform high reliability soldering and desoldering </w:t>
      </w:r>
    </w:p>
    <w:p w:rsidR="00000000" w:rsidRPr="00DB7A98" w:rsidP="00DB7A98">
      <w:pPr>
        <w:pStyle w:val="Heading1"/>
      </w:pPr>
      <w:bookmarkStart w:id="9" w:name="O_941972"/>
      <w:bookmarkEnd w:id="9"/>
      <w:r w:rsidRPr="00DB7A98">
        <w:t>Links</w:t>
      </w:r>
    </w:p>
    <w:p w:rsidR="00000000" w:rsidRPr="00DB7A98" w:rsidP="00486636">
      <w:pPr>
        <w:pStyle w:val="BodyText"/>
      </w:pPr>
      <w:r w:rsidRPr="00DB7A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812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B7A98" w:rsidP="00DB7A98"/>
    <w:sectPr w:rsidSect="00DB7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A98" w:rsidRPr="00486636" w:rsidP="004866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36" w:rsidP="00DB7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636" w:rsidP="00DB7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6636" w:rsidP="00DB7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A98" w:rsidRPr="00486636" w:rsidP="004866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36" w:rsidRPr="002D2AF8" w:rsidP="00DB7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MEM05002 Perform high reliability soldering and desoldering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86636" w:rsidP="00DB7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76A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0E98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A98"/>
  </w:style>
  <w:style w:type="character" w:customStyle="1" w:styleId="Heading1Char">
    <w:name w:val="Heading 1 Char"/>
    <w:basedOn w:val="DefaultParagraphFont"/>
    <w:link w:val="Heading1"/>
    <w:rsid w:val="00DB7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A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A98"/>
    <w:rPr>
      <w:b/>
      <w:spacing w:val="0"/>
    </w:rPr>
  </w:style>
  <w:style w:type="paragraph" w:customStyle="1" w:styleId="SuperHeading">
    <w:name w:val="SuperHeading"/>
    <w:basedOn w:val="Normal"/>
    <w:rsid w:val="00DB7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A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A98"/>
    <w:rPr>
      <w:i/>
    </w:rPr>
  </w:style>
  <w:style w:type="paragraph" w:styleId="Caption">
    <w:name w:val="caption"/>
    <w:basedOn w:val="BodyText"/>
    <w:next w:val="Normal"/>
    <w:qFormat/>
    <w:rsid w:val="00DB7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A98"/>
  </w:style>
  <w:style w:type="paragraph" w:styleId="TableofFigures">
    <w:name w:val="table of figures"/>
    <w:basedOn w:val="Normal"/>
    <w:next w:val="Normal"/>
    <w:semiHidden/>
    <w:rsid w:val="00DB7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A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7A98"/>
    <w:rPr>
      <w:rFonts w:ascii="Wingdings" w:hAnsi="Wingdings"/>
    </w:rPr>
  </w:style>
  <w:style w:type="paragraph" w:customStyle="1" w:styleId="TableHeading">
    <w:name w:val="Table Heading"/>
    <w:basedOn w:val="HeadingBase"/>
    <w:rsid w:val="00DB7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A98"/>
    <w:rPr>
      <w:color w:val="0033CC"/>
      <w:u w:val="none"/>
    </w:rPr>
  </w:style>
  <w:style w:type="paragraph" w:customStyle="1" w:styleId="BodyTextRight">
    <w:name w:val="Body Text Right"/>
    <w:basedOn w:val="BodyText"/>
    <w:rsid w:val="00DB7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A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A98"/>
    <w:rPr>
      <w:sz w:val="32"/>
    </w:rPr>
  </w:style>
  <w:style w:type="paragraph" w:customStyle="1" w:styleId="HeadingProcedure">
    <w:name w:val="Heading Procedure"/>
    <w:basedOn w:val="HeadingBase"/>
    <w:next w:val="Normal"/>
    <w:rsid w:val="00DB7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A98"/>
    <w:pPr>
      <w:spacing w:before="60" w:after="60"/>
    </w:pPr>
  </w:style>
  <w:style w:type="paragraph" w:styleId="ListContinue">
    <w:name w:val="List Continue"/>
    <w:basedOn w:val="List"/>
    <w:rsid w:val="00DB7A98"/>
    <w:pPr>
      <w:ind w:firstLine="0"/>
    </w:pPr>
  </w:style>
  <w:style w:type="paragraph" w:customStyle="1" w:styleId="ListNote">
    <w:name w:val="List Note"/>
    <w:basedOn w:val="List"/>
    <w:rsid w:val="00DB7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A98"/>
    <w:rPr>
      <w:rFonts w:ascii="Courier New" w:hAnsi="Courier New"/>
    </w:rPr>
  </w:style>
  <w:style w:type="paragraph" w:customStyle="1" w:styleId="NoteBullet">
    <w:name w:val="Note Bullet"/>
    <w:basedOn w:val="Note"/>
    <w:rsid w:val="00DB7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A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7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A98"/>
    <w:rPr>
      <w:b/>
      <w:smallCaps/>
    </w:rPr>
  </w:style>
  <w:style w:type="paragraph" w:customStyle="1" w:styleId="TableListNumber">
    <w:name w:val="Table List Number"/>
    <w:basedOn w:val="ListNumber"/>
    <w:rsid w:val="00DB7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A98"/>
    <w:pPr>
      <w:numPr>
        <w:numId w:val="8"/>
      </w:numPr>
    </w:pPr>
  </w:style>
  <w:style w:type="paragraph" w:customStyle="1" w:styleId="ListAlpha2">
    <w:name w:val="List Alpha 2"/>
    <w:basedOn w:val="List2"/>
    <w:rsid w:val="00DB7A98"/>
    <w:pPr>
      <w:numPr>
        <w:numId w:val="7"/>
      </w:numPr>
    </w:pPr>
  </w:style>
  <w:style w:type="paragraph" w:styleId="List2">
    <w:name w:val="List 2"/>
    <w:basedOn w:val="BodyText"/>
    <w:rsid w:val="00DB7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A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A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7A98"/>
    <w:pPr>
      <w:numPr>
        <w:numId w:val="3"/>
      </w:numPr>
    </w:pPr>
  </w:style>
  <w:style w:type="paragraph" w:styleId="ListContinue2">
    <w:name w:val="List Continue 2"/>
    <w:basedOn w:val="List2"/>
    <w:rsid w:val="00DB7A98"/>
    <w:pPr>
      <w:ind w:firstLine="0"/>
    </w:pPr>
  </w:style>
  <w:style w:type="paragraph" w:styleId="ListContinue3">
    <w:name w:val="List Continue 3"/>
    <w:basedOn w:val="List3"/>
    <w:rsid w:val="00DB7A98"/>
    <w:pPr>
      <w:ind w:left="1021" w:firstLine="0"/>
    </w:pPr>
  </w:style>
  <w:style w:type="paragraph" w:styleId="ListContinue4">
    <w:name w:val="List Continue 4"/>
    <w:basedOn w:val="List4"/>
    <w:rsid w:val="00DB7A98"/>
    <w:pPr>
      <w:ind w:firstLine="0"/>
    </w:pPr>
  </w:style>
  <w:style w:type="paragraph" w:styleId="ListContinue5">
    <w:name w:val="List Continue 5"/>
    <w:basedOn w:val="List5"/>
    <w:rsid w:val="00DB7A98"/>
    <w:pPr>
      <w:ind w:firstLine="0"/>
    </w:pPr>
  </w:style>
  <w:style w:type="paragraph" w:styleId="ListNumber3">
    <w:name w:val="List Number 3"/>
    <w:basedOn w:val="List3"/>
    <w:rsid w:val="00DB7A98"/>
    <w:pPr>
      <w:numPr>
        <w:numId w:val="4"/>
      </w:numPr>
    </w:pPr>
  </w:style>
  <w:style w:type="paragraph" w:styleId="ListNumber4">
    <w:name w:val="List Number 4"/>
    <w:basedOn w:val="List4"/>
    <w:rsid w:val="00DB7A98"/>
    <w:pPr>
      <w:numPr>
        <w:numId w:val="5"/>
      </w:numPr>
    </w:pPr>
  </w:style>
  <w:style w:type="paragraph" w:styleId="ListNumber5">
    <w:name w:val="List Number 5"/>
    <w:basedOn w:val="List5"/>
    <w:rsid w:val="00DB7A98"/>
    <w:pPr>
      <w:numPr>
        <w:numId w:val="6"/>
      </w:numPr>
    </w:pPr>
  </w:style>
  <w:style w:type="paragraph" w:styleId="BlockText">
    <w:name w:val="Block Text"/>
    <w:basedOn w:val="Normal"/>
    <w:rsid w:val="00DB7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A98"/>
    <w:rPr>
      <w:sz w:val="16"/>
      <w:vertAlign w:val="superscript"/>
    </w:rPr>
  </w:style>
  <w:style w:type="character" w:customStyle="1" w:styleId="Symbols">
    <w:name w:val="Symbols"/>
    <w:basedOn w:val="DefaultParagraphFont"/>
    <w:rsid w:val="00DB7A98"/>
    <w:rPr>
      <w:rFonts w:ascii="Symbol" w:hAnsi="Symbol"/>
    </w:rPr>
  </w:style>
  <w:style w:type="character" w:customStyle="1" w:styleId="MenuOptions">
    <w:name w:val="Menu Options"/>
    <w:basedOn w:val="DefaultParagraphFont"/>
    <w:rsid w:val="00DB7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A98"/>
    <w:rPr>
      <w:b/>
    </w:rPr>
  </w:style>
  <w:style w:type="character" w:customStyle="1" w:styleId="Underlined">
    <w:name w:val="Underlined"/>
    <w:basedOn w:val="DefaultParagraphFont"/>
    <w:rsid w:val="00DB7A98"/>
    <w:rPr>
      <w:u w:val="single"/>
    </w:rPr>
  </w:style>
  <w:style w:type="paragraph" w:customStyle="1" w:styleId="TableBodyTextRight">
    <w:name w:val="Table Body Text Right"/>
    <w:basedOn w:val="TableBodyText"/>
    <w:rsid w:val="00DB7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A98"/>
    <w:rPr>
      <w:sz w:val="18"/>
    </w:rPr>
  </w:style>
  <w:style w:type="paragraph" w:customStyle="1" w:styleId="BodySmallRight">
    <w:name w:val="Body Small Right"/>
    <w:basedOn w:val="BodyTextRight"/>
    <w:rsid w:val="00DB7A98"/>
    <w:rPr>
      <w:sz w:val="18"/>
      <w:szCs w:val="18"/>
    </w:rPr>
  </w:style>
  <w:style w:type="paragraph" w:customStyle="1" w:styleId="MarginEdition">
    <w:name w:val="Margin Edition"/>
    <w:basedOn w:val="MarginNote"/>
    <w:rsid w:val="00DB7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A98"/>
    <w:rPr>
      <w:sz w:val="2"/>
      <w:szCs w:val="2"/>
    </w:rPr>
  </w:style>
  <w:style w:type="character" w:customStyle="1" w:styleId="Small">
    <w:name w:val="Small"/>
    <w:basedOn w:val="DefaultParagraphFont"/>
    <w:rsid w:val="00DB7A98"/>
    <w:rPr>
      <w:sz w:val="16"/>
    </w:rPr>
  </w:style>
  <w:style w:type="paragraph" w:customStyle="1" w:styleId="WideTable">
    <w:name w:val="Wide Table"/>
    <w:basedOn w:val="Normal"/>
    <w:rsid w:val="00DB7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A98"/>
  </w:style>
  <w:style w:type="paragraph" w:styleId="Quote">
    <w:name w:val="Quote"/>
    <w:basedOn w:val="Heading1"/>
    <w:link w:val="QuoteChar"/>
    <w:qFormat/>
    <w:rsid w:val="00DB7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A98"/>
    <w:pPr>
      <w:pageBreakBefore/>
    </w:pPr>
  </w:style>
  <w:style w:type="paragraph" w:customStyle="1" w:styleId="Border">
    <w:name w:val="Border"/>
    <w:basedOn w:val="Normal"/>
    <w:qFormat/>
    <w:rsid w:val="00DB7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A98"/>
    <w:rPr>
      <w:u w:val="single"/>
    </w:rPr>
  </w:style>
  <w:style w:type="character" w:customStyle="1" w:styleId="BoldandItalics">
    <w:name w:val="Bold and Italics"/>
    <w:qFormat/>
    <w:rsid w:val="00DB7A98"/>
    <w:rPr>
      <w:b/>
      <w:i/>
      <w:u w:val="none"/>
    </w:rPr>
  </w:style>
  <w:style w:type="paragraph" w:styleId="BalloonText">
    <w:name w:val="Balloon Text"/>
    <w:basedOn w:val="Normal"/>
    <w:link w:val="BalloonTextChar"/>
    <w:rsid w:val="00DB7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A98"/>
    <w:pPr>
      <w:spacing w:before="0" w:after="0"/>
    </w:pPr>
  </w:style>
  <w:style w:type="paragraph" w:customStyle="1" w:styleId="BodyTextBold">
    <w:name w:val="Body Text Bold"/>
    <w:basedOn w:val="BodyText"/>
    <w:qFormat/>
    <w:rsid w:val="00DB7A98"/>
    <w:rPr>
      <w:b/>
    </w:rPr>
  </w:style>
  <w:style w:type="character" w:styleId="Hyperlink">
    <w:name w:val="Hyperlink"/>
    <w:basedOn w:val="DefaultParagraphFont"/>
    <w:uiPriority w:val="99"/>
    <w:unhideWhenUsed/>
    <w:rsid w:val="00486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4252</Characters>
  <Application>Microsoft Office Word</Application>
  <DocSecurity>0</DocSecurity>
  <Lines>193</Lines>
  <Paragraphs>108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MEM05002 Perform high reliability soldering and desoldering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