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ABF" w:rsidP="000F4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MEM05001 Perform manual soldering/desoldering - electrical/electronic components</w:t>
      </w:r>
      <w:r>
        <w:fldChar w:fldCharType="end"/>
      </w:r>
    </w:p>
    <w:p w:rsidR="000F4ABF" w:rsidP="000F4ABF">
      <w:pPr>
        <w:pStyle w:val="Version"/>
        <w:sectPr w:rsidSect="00354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CFF" w:rsidP="00354CFF">
      <w:pPr>
        <w:pStyle w:val="SuperHeading"/>
      </w:pPr>
      <w:r w:rsidRPr="00354CFF">
        <w:t>MEM05001 Perf</w:t>
      </w:r>
      <w:r w:rsidRPr="00354CFF">
        <w:t>orm manual soldering/desoldering - electrical/electronic components</w:t>
      </w:r>
    </w:p>
    <w:p w:rsidR="00000000" w:rsidRPr="00354CFF" w:rsidP="00354CFF">
      <w:pPr>
        <w:pStyle w:val="Heading1"/>
      </w:pPr>
      <w:bookmarkStart w:id="1" w:name="O_941959"/>
      <w:bookmarkEnd w:id="1"/>
      <w:r w:rsidRPr="00354CFF">
        <w:t>Modification History</w:t>
      </w:r>
    </w:p>
    <w:p w:rsidR="00000000" w:rsidRPr="00354CFF" w:rsidP="000F4ABF">
      <w:pPr>
        <w:pStyle w:val="BodyText"/>
      </w:pPr>
      <w:r w:rsidRPr="00354CFF">
        <w:t xml:space="preserve">Release 1. Supersedes and is equivalent to MEM05001B Perform manual soldering/desoldering – electrical/electronic components </w:t>
      </w:r>
    </w:p>
    <w:p w:rsidR="00000000" w:rsidRPr="00354CFF" w:rsidP="00354CFF">
      <w:pPr>
        <w:pStyle w:val="Heading1"/>
      </w:pPr>
      <w:bookmarkStart w:id="2" w:name="O_941967"/>
      <w:bookmarkEnd w:id="2"/>
      <w:r w:rsidRPr="00354CFF">
        <w:t>Application</w:t>
      </w:r>
    </w:p>
    <w:p w:rsidR="00000000" w:rsidRPr="00354CFF" w:rsidP="000F4ABF">
      <w:pPr>
        <w:pStyle w:val="BodyText"/>
      </w:pPr>
      <w:r w:rsidRPr="00354CFF">
        <w:t>This unit of competency defines the skills and knowledge required to perform manual soldering/desoldering for the installation and fabrication of electrical/electronic components.</w:t>
      </w:r>
    </w:p>
    <w:p w:rsidR="00000000" w:rsidRPr="00354CFF" w:rsidP="000F4ABF">
      <w:pPr>
        <w:pStyle w:val="BodyText"/>
      </w:pPr>
      <w:r w:rsidRPr="00354CFF">
        <w:t>Where advanced specification and high reliability soldering ass</w:t>
      </w:r>
      <w:r w:rsidRPr="00354CFF">
        <w:t>ociated with the installation of electrical/electronic components and in areas where reliability of connections is critical unit MEM05002 Perform high reliability soldering and desoldering should also be selected.</w:t>
      </w:r>
    </w:p>
    <w:p w:rsidR="00000000" w:rsidRPr="00354CFF" w:rsidP="000F4ABF">
      <w:pPr>
        <w:pStyle w:val="BodyText"/>
      </w:pPr>
      <w:r w:rsidRPr="00354CFF">
        <w:t>Where the interpretation of technical dra</w:t>
      </w:r>
      <w:r w:rsidRPr="00354CFF">
        <w:t>wings is required unit MEM09002 Interpret technical drawing should also be selected.</w:t>
      </w:r>
    </w:p>
    <w:p w:rsidR="00000000" w:rsidRPr="00354CFF" w:rsidP="000F4ABF">
      <w:pPr>
        <w:pStyle w:val="BodyText"/>
      </w:pPr>
      <w:r w:rsidRPr="00354CFF">
        <w:t>Where the selection and use of engineering measuring equipment is required unit MEM12023 Perform engineering measurements should also be selected.</w:t>
      </w:r>
    </w:p>
    <w:p w:rsidR="00000000" w:rsidRPr="00354CFF" w:rsidP="000F4ABF">
      <w:pPr>
        <w:pStyle w:val="BodyText"/>
      </w:pPr>
      <w:r w:rsidRPr="00354CFF">
        <w:t>Where the selection an</w:t>
      </w:r>
      <w:r w:rsidRPr="00354CFF">
        <w:t>d use of tools is required unit MEM18001 Use hand tools and unit MEM18002 Use power tools/hand held operations, should also be selected as appropriate.</w:t>
      </w:r>
    </w:p>
    <w:p w:rsidR="00000000" w:rsidRPr="00354CFF" w:rsidP="000F4ABF">
      <w:pPr>
        <w:pStyle w:val="BodyText"/>
      </w:pPr>
      <w:r w:rsidRPr="00354CFF">
        <w:t>No licensing, legislative or certification requirements apply to this unit at the time of publication.</w:t>
      </w:r>
    </w:p>
    <w:p w:rsidR="00000000" w:rsidRPr="00354CFF" w:rsidP="00354CFF">
      <w:pPr>
        <w:pStyle w:val="BodyText"/>
      </w:pPr>
      <w:r w:rsidRPr="00354CFF">
        <w:rPr>
          <w:rStyle w:val="SpecialBold"/>
        </w:rPr>
        <w:t>Band:</w:t>
      </w:r>
      <w:r w:rsidRPr="00354CFF">
        <w:rPr>
          <w:rStyle w:val="SpecialBold"/>
        </w:rPr>
        <w:tab/>
        <w:t>A</w:t>
      </w:r>
    </w:p>
    <w:p w:rsidR="00000000" w:rsidRPr="00354CFF" w:rsidP="00354CFF">
      <w:pPr>
        <w:pStyle w:val="BodyText"/>
      </w:pPr>
      <w:r w:rsidRPr="00354CFF">
        <w:rPr>
          <w:rStyle w:val="SpecialBold"/>
        </w:rPr>
        <w:t>Unit Weight:</w:t>
      </w:r>
      <w:r w:rsidRPr="00354CFF">
        <w:rPr>
          <w:rStyle w:val="SpecialBold"/>
        </w:rPr>
        <w:tab/>
        <w:t>4</w:t>
      </w:r>
    </w:p>
    <w:p w:rsidR="00000000" w:rsidRPr="00354CFF" w:rsidP="00354CFF">
      <w:pPr>
        <w:pStyle w:val="AllowPageBreak"/>
      </w:pPr>
    </w:p>
    <w:p w:rsidR="00000000" w:rsidRPr="00354CFF" w:rsidP="00354CFF">
      <w:pPr>
        <w:pStyle w:val="Heading1"/>
      </w:pPr>
      <w:bookmarkStart w:id="3" w:name="O_941966"/>
      <w:bookmarkEnd w:id="3"/>
      <w:r w:rsidRPr="00354CF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337"/>
      </w:tblGrid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MEM11011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Undertake manual handling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MEM13015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Work safely and effectively in manufacturing and engineering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MEM16006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BodyText"/>
            </w:pPr>
            <w:r w:rsidRPr="00354CFF">
              <w:t>Organise and communicate information</w:t>
            </w:r>
          </w:p>
        </w:tc>
      </w:tr>
    </w:tbl>
    <w:p w:rsidR="00000000" w:rsidRPr="00354CFF" w:rsidP="00354CFF">
      <w:pPr>
        <w:pStyle w:val="BodyText"/>
      </w:pPr>
    </w:p>
    <w:p w:rsidR="00000000" w:rsidRPr="00354CFF" w:rsidP="00354CFF">
      <w:pPr>
        <w:pStyle w:val="AllowPageBreak"/>
      </w:pPr>
    </w:p>
    <w:p w:rsidR="00000000" w:rsidRPr="00354CFF" w:rsidP="00354CFF">
      <w:pPr>
        <w:pStyle w:val="Heading1"/>
      </w:pPr>
      <w:bookmarkStart w:id="4" w:name="O_941965"/>
      <w:bookmarkEnd w:id="4"/>
      <w:r w:rsidRPr="00354CFF">
        <w:t>Competency Field</w:t>
      </w:r>
    </w:p>
    <w:p w:rsidR="00000000" w:rsidRPr="00354CFF" w:rsidP="000F4ABF">
      <w:pPr>
        <w:pStyle w:val="BodyText"/>
      </w:pPr>
      <w:r w:rsidRPr="00354CFF">
        <w:t>Fabrication</w:t>
      </w:r>
    </w:p>
    <w:p w:rsidR="00000000" w:rsidRPr="00354CFF" w:rsidP="00354CFF">
      <w:pPr>
        <w:pStyle w:val="Heading1"/>
      </w:pPr>
      <w:bookmarkStart w:id="5" w:name="O_941963"/>
      <w:bookmarkEnd w:id="5"/>
      <w:r w:rsidRPr="00354C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Performance criteria describe the performance needed to demonstrate achievement of the element.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BodyText"/>
            </w:pPr>
            <w:r w:rsidRPr="00354CF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Follow standard operating procedures (SOPs)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Comply with work health and safety (WHS) requirements at all times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Use appropriate personal protective equipment (PPE) in accordance with SOPs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Identify job requirements from specifications, sketches, job sheets or work instructions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BodyText"/>
            </w:pPr>
            <w:r w:rsidRPr="00354CF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>Prepare and solder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Prepare materials to specifications using appropriate tools, equipment, materials and SOPs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Select correct soldering techniques, materials and soldering tools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Joint, mount, shape materials to specification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Observe procedures for the protection of components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Apply solder to component and remove excess material using appropriate techniques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Undertake inspection and report and record inspection results according to SOPs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BodyText"/>
            </w:pPr>
            <w:r w:rsidRPr="00354CF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>Undertake desoldering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Select appropriate techniques, desoldering tools and equipment for given task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Desolder materials/components and minimise damage to materials/components according to SOPs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BodyText"/>
            </w:pPr>
            <w:r w:rsidRPr="00354CFF">
              <w:t xml:space="preserve">Remove and clean material/components to specifications </w:t>
            </w:r>
          </w:p>
        </w:tc>
      </w:tr>
    </w:tbl>
    <w:p w:rsidR="00000000" w:rsidRPr="00354CFF" w:rsidP="00354CFF">
      <w:pPr>
        <w:pStyle w:val="BodyText"/>
      </w:pPr>
    </w:p>
    <w:p w:rsidR="00000000" w:rsidRPr="00354CFF" w:rsidP="00354CFF">
      <w:pPr>
        <w:pStyle w:val="AllowPageBreak"/>
      </w:pPr>
    </w:p>
    <w:p w:rsidR="00000000" w:rsidRPr="00354CFF" w:rsidP="00354CFF">
      <w:pPr>
        <w:pStyle w:val="Heading1"/>
      </w:pPr>
      <w:bookmarkStart w:id="6" w:name="O_941962"/>
      <w:bookmarkEnd w:id="6"/>
      <w:r w:rsidRPr="00354CFF">
        <w:t>Foundation Skills</w:t>
      </w:r>
    </w:p>
    <w:p w:rsidR="00000000" w:rsidRPr="00354CFF" w:rsidP="000F4ABF">
      <w:pPr>
        <w:pStyle w:val="BodyText"/>
      </w:pPr>
      <w:r w:rsidRPr="00354CF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54CFF" w:rsidP="000F4ABF">
      <w:pPr>
        <w:pStyle w:val="BodyText"/>
      </w:pPr>
      <w:r w:rsidRPr="00354CFF">
        <w:t>Foundation skills essential to performance are explicit in</w:t>
      </w:r>
      <w:r w:rsidRPr="00354CFF">
        <w:t xml:space="preserve"> the performance criteria of this unit of competency.</w:t>
      </w:r>
    </w:p>
    <w:p w:rsidR="00000000" w:rsidRPr="00354CFF" w:rsidP="00354CFF">
      <w:pPr>
        <w:pStyle w:val="Heading1"/>
      </w:pPr>
      <w:bookmarkStart w:id="7" w:name="O_941961"/>
      <w:bookmarkEnd w:id="7"/>
      <w:r w:rsidRPr="00354CF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48"/>
      </w:tblGrid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t>This field allows for different work environments and conditions that may affect performance. Essential operating conditions that may be present (depending on the wo</w:t>
            </w:r>
            <w:r w:rsidRPr="00354CFF">
              <w:t>rk situation, needs of the candidate, accessibility of the item, and local industry and regional contexts) are included.</w:t>
            </w: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 xml:space="preserve">Materials include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ListBullet"/>
            </w:pPr>
            <w:r w:rsidRPr="00354CFF">
              <w:t>solder</w:t>
            </w:r>
          </w:p>
          <w:p w:rsidR="00000000" w:rsidRPr="00354CFF" w:rsidP="00354CFF">
            <w:pPr>
              <w:pStyle w:val="ListBullet"/>
            </w:pPr>
            <w:r w:rsidRPr="00354CFF">
              <w:t>flux</w:t>
            </w:r>
          </w:p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 xml:space="preserve">Solder includes one (1) or more of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ListBullet"/>
            </w:pPr>
            <w:r w:rsidRPr="00354CFF">
              <w:t>solid</w:t>
            </w:r>
          </w:p>
          <w:p w:rsidR="00000000" w:rsidRPr="00354CFF" w:rsidP="00354CFF">
            <w:pPr>
              <w:pStyle w:val="ListBullet"/>
            </w:pPr>
            <w:r w:rsidRPr="00354CFF">
              <w:t>resin core</w:t>
            </w:r>
          </w:p>
          <w:p w:rsidR="00000000" w:rsidRPr="00354CFF" w:rsidP="00354CFF">
            <w:pPr>
              <w:pStyle w:val="ListBullet"/>
            </w:pPr>
            <w:r w:rsidRPr="00354CFF">
              <w:t>paste</w:t>
            </w:r>
          </w:p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 xml:space="preserve">Flux includes one (1) or more of the following: 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ListBullet"/>
            </w:pPr>
            <w:r w:rsidRPr="00354CFF">
              <w:t>resin</w:t>
            </w:r>
          </w:p>
          <w:p w:rsidR="00000000" w:rsidRPr="00354CFF" w:rsidP="00354CFF">
            <w:pPr>
              <w:pStyle w:val="ListBullet"/>
            </w:pPr>
            <w:r w:rsidRPr="00354CFF">
              <w:t>powder</w:t>
            </w:r>
          </w:p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>Soldering irons include one (1) or more of the following: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ListBullet"/>
            </w:pPr>
            <w:r w:rsidRPr="00354CFF">
              <w:t>simple</w:t>
            </w:r>
          </w:p>
          <w:p w:rsidR="00000000" w:rsidRPr="00354CFF" w:rsidP="00354CFF">
            <w:pPr>
              <w:pStyle w:val="ListBullet"/>
            </w:pPr>
            <w:r w:rsidRPr="00354CFF">
              <w:t>cordless</w:t>
            </w:r>
          </w:p>
          <w:p w:rsidR="00000000" w:rsidRPr="00354CFF" w:rsidP="00354CFF">
            <w:pPr>
              <w:pStyle w:val="ListBullet"/>
            </w:pPr>
            <w:r w:rsidRPr="00354CFF">
              <w:t>temperature controlled</w:t>
            </w:r>
          </w:p>
          <w:p w:rsidR="00000000" w:rsidRPr="00354CFF" w:rsidP="00354CFF">
            <w:pPr>
              <w:pStyle w:val="ListBullet"/>
            </w:pPr>
            <w:r w:rsidRPr="00354CFF">
              <w:t>soldering station</w:t>
            </w:r>
          </w:p>
          <w:p w:rsidR="00000000" w:rsidRPr="00354CFF" w:rsidP="00354CFF">
            <w:pPr>
              <w:pStyle w:val="ListBullet"/>
            </w:pPr>
            <w:r w:rsidRPr="00354CFF">
              <w:t>soldering tweezers</w:t>
            </w:r>
          </w:p>
          <w:p w:rsidR="00000000" w:rsidRPr="00354CFF" w:rsidP="00354CFF">
            <w:pPr>
              <w:pStyle w:val="ListBullet"/>
            </w:pPr>
            <w:r w:rsidRPr="00354CFF">
              <w:t>hot knife</w:t>
            </w:r>
          </w:p>
          <w:p w:rsidR="00000000" w:rsidP="00354CFF">
            <w:pPr>
              <w:pStyle w:val="BodyText"/>
              <w:rPr>
                <w:lang w:val="en-NZ"/>
              </w:rPr>
            </w:pPr>
          </w:p>
        </w:tc>
      </w:tr>
      <w:tr w:rsidTr="00354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FF">
            <w:pPr>
              <w:pStyle w:val="BodyText"/>
              <w:rPr>
                <w:lang w:val="en-NZ"/>
              </w:rPr>
            </w:pPr>
            <w:r w:rsidRPr="00354CFF">
              <w:rPr>
                <w:rStyle w:val="SpecialBold"/>
              </w:rPr>
              <w:t xml:space="preserve">Tools used with soldering irons include one </w:t>
            </w:r>
            <w:r w:rsidRPr="00354CFF">
              <w:rPr>
                <w:rStyle w:val="SpecialBold"/>
              </w:rPr>
              <w:t>(1) or more of the following:</w:t>
            </w:r>
          </w:p>
        </w:tc>
        <w:tc>
          <w:tcPr>
            <w:tcW w:w="6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FF" w:rsidP="00354CFF">
            <w:pPr>
              <w:pStyle w:val="ListBullet"/>
            </w:pPr>
            <w:r w:rsidRPr="00354CFF">
              <w:t>pliers</w:t>
            </w:r>
          </w:p>
          <w:p w:rsidR="00000000" w:rsidRPr="00354CFF" w:rsidP="00354CFF">
            <w:pPr>
              <w:pStyle w:val="ListBullet"/>
            </w:pPr>
            <w:r w:rsidRPr="00354CFF">
              <w:t xml:space="preserve">side cutters </w:t>
            </w:r>
          </w:p>
          <w:p w:rsidR="00000000" w:rsidRPr="00354CFF" w:rsidP="00354CFF">
            <w:pPr>
              <w:pStyle w:val="ListBullet"/>
            </w:pPr>
            <w:r w:rsidRPr="00354CFF">
              <w:t>brushes</w:t>
            </w:r>
          </w:p>
          <w:p w:rsidR="00000000" w:rsidRPr="00354CFF" w:rsidP="00354CFF">
            <w:pPr>
              <w:pStyle w:val="ListBullet"/>
            </w:pPr>
            <w:r w:rsidRPr="00354CFF">
              <w:t>files</w:t>
            </w:r>
          </w:p>
          <w:p w:rsidR="00000000" w:rsidRPr="00354CFF" w:rsidP="00354CFF">
            <w:pPr>
              <w:pStyle w:val="ListBullet"/>
            </w:pPr>
            <w:r w:rsidRPr="00354CFF">
              <w:t>solder syringes</w:t>
            </w:r>
          </w:p>
          <w:p w:rsidR="00000000" w:rsidRPr="00354CFF" w:rsidP="00354CFF">
            <w:pPr>
              <w:pStyle w:val="ListBullet"/>
            </w:pPr>
            <w:r w:rsidRPr="00354CFF">
              <w:t>holding devices</w:t>
            </w:r>
          </w:p>
          <w:p w:rsidR="00000000" w:rsidRPr="00354CFF" w:rsidP="00354CFF">
            <w:pPr>
              <w:pStyle w:val="BodyText"/>
            </w:pPr>
          </w:p>
        </w:tc>
      </w:tr>
    </w:tbl>
    <w:p w:rsidR="00000000" w:rsidRPr="00354CFF" w:rsidP="00354CFF">
      <w:pPr>
        <w:pStyle w:val="BodyText"/>
      </w:pPr>
    </w:p>
    <w:p w:rsidR="00000000" w:rsidRPr="00354CFF" w:rsidP="00354CFF">
      <w:pPr>
        <w:pStyle w:val="AllowPageBreak"/>
      </w:pPr>
    </w:p>
    <w:p w:rsidR="00000000" w:rsidRPr="00354CFF" w:rsidP="00354CFF">
      <w:pPr>
        <w:pStyle w:val="Heading1"/>
      </w:pPr>
      <w:bookmarkStart w:id="8" w:name="O_941960"/>
      <w:bookmarkEnd w:id="8"/>
      <w:r w:rsidRPr="00354CFF">
        <w:t>Unit Mapping Information</w:t>
      </w:r>
    </w:p>
    <w:p w:rsidR="00000000" w:rsidRPr="00354CFF" w:rsidP="000F4ABF">
      <w:pPr>
        <w:pStyle w:val="BodyText"/>
      </w:pPr>
      <w:r w:rsidRPr="00354CFF">
        <w:t>Release 1. Supersedes and is equivalent to MEM05001B Perform manual soldering/desoldering –</w:t>
      </w:r>
      <w:r w:rsidRPr="00354CFF">
        <w:t xml:space="preserve"> electrical/electronic components </w:t>
      </w:r>
    </w:p>
    <w:p w:rsidR="00000000" w:rsidRPr="00354CFF" w:rsidP="00354CFF">
      <w:pPr>
        <w:pStyle w:val="Heading1"/>
      </w:pPr>
      <w:bookmarkStart w:id="9" w:name="O_941953"/>
      <w:bookmarkEnd w:id="9"/>
      <w:r w:rsidRPr="00354CFF">
        <w:t>Links</w:t>
      </w:r>
    </w:p>
    <w:p w:rsidR="00000000" w:rsidRPr="00354CFF" w:rsidP="000F4ABF">
      <w:pPr>
        <w:pStyle w:val="BodyText"/>
      </w:pPr>
      <w:r w:rsidRPr="00354C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420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4CFF" w:rsidP="00354CFF"/>
    <w:sectPr w:rsidSect="00354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F" w:rsidRPr="000F4ABF" w:rsidP="000F4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BF" w:rsidP="00354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ABF" w:rsidP="00354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4ABF" w:rsidP="00354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CFF" w:rsidRPr="000F4ABF" w:rsidP="000F4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ABF" w:rsidRPr="002D2AF8" w:rsidP="00354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MEM05001 Perform manual soldering/desoldering - electrical/electronic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F4ABF" w:rsidP="00354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8C5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AEE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CFF"/>
  </w:style>
  <w:style w:type="character" w:customStyle="1" w:styleId="Heading1Char">
    <w:name w:val="Heading 1 Char"/>
    <w:basedOn w:val="DefaultParagraphFont"/>
    <w:link w:val="Heading1"/>
    <w:rsid w:val="00354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C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CFF"/>
    <w:rPr>
      <w:b/>
      <w:spacing w:val="0"/>
    </w:rPr>
  </w:style>
  <w:style w:type="paragraph" w:customStyle="1" w:styleId="SuperHeading">
    <w:name w:val="SuperHeading"/>
    <w:basedOn w:val="Normal"/>
    <w:rsid w:val="00354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C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CFF"/>
    <w:rPr>
      <w:i/>
    </w:rPr>
  </w:style>
  <w:style w:type="paragraph" w:styleId="Caption">
    <w:name w:val="caption"/>
    <w:basedOn w:val="BodyText"/>
    <w:next w:val="Normal"/>
    <w:qFormat/>
    <w:rsid w:val="00354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CFF"/>
  </w:style>
  <w:style w:type="paragraph" w:styleId="TableofFigures">
    <w:name w:val="table of figures"/>
    <w:basedOn w:val="Normal"/>
    <w:next w:val="Normal"/>
    <w:semiHidden/>
    <w:rsid w:val="00354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C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4CFF"/>
    <w:rPr>
      <w:rFonts w:ascii="Wingdings" w:hAnsi="Wingdings"/>
    </w:rPr>
  </w:style>
  <w:style w:type="paragraph" w:customStyle="1" w:styleId="TableHeading">
    <w:name w:val="Table Heading"/>
    <w:basedOn w:val="HeadingBase"/>
    <w:rsid w:val="00354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CFF"/>
    <w:rPr>
      <w:color w:val="0033CC"/>
      <w:u w:val="none"/>
    </w:rPr>
  </w:style>
  <w:style w:type="paragraph" w:customStyle="1" w:styleId="BodyTextRight">
    <w:name w:val="Body Text Right"/>
    <w:basedOn w:val="BodyText"/>
    <w:rsid w:val="00354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C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CFF"/>
    <w:rPr>
      <w:sz w:val="32"/>
    </w:rPr>
  </w:style>
  <w:style w:type="paragraph" w:customStyle="1" w:styleId="HeadingProcedure">
    <w:name w:val="Heading Procedure"/>
    <w:basedOn w:val="HeadingBase"/>
    <w:next w:val="Normal"/>
    <w:rsid w:val="00354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CFF"/>
    <w:pPr>
      <w:spacing w:before="60" w:after="60"/>
    </w:pPr>
  </w:style>
  <w:style w:type="paragraph" w:styleId="ListContinue">
    <w:name w:val="List Continue"/>
    <w:basedOn w:val="List"/>
    <w:rsid w:val="00354CFF"/>
    <w:pPr>
      <w:ind w:firstLine="0"/>
    </w:pPr>
  </w:style>
  <w:style w:type="paragraph" w:customStyle="1" w:styleId="ListNote">
    <w:name w:val="List Note"/>
    <w:basedOn w:val="List"/>
    <w:rsid w:val="00354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CFF"/>
    <w:rPr>
      <w:rFonts w:ascii="Courier New" w:hAnsi="Courier New"/>
    </w:rPr>
  </w:style>
  <w:style w:type="paragraph" w:customStyle="1" w:styleId="NoteBullet">
    <w:name w:val="Note Bullet"/>
    <w:basedOn w:val="Note"/>
    <w:rsid w:val="00354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C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4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CFF"/>
    <w:rPr>
      <w:b/>
      <w:smallCaps/>
    </w:rPr>
  </w:style>
  <w:style w:type="paragraph" w:customStyle="1" w:styleId="TableListNumber">
    <w:name w:val="Table List Number"/>
    <w:basedOn w:val="ListNumber"/>
    <w:rsid w:val="00354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CFF"/>
    <w:pPr>
      <w:numPr>
        <w:numId w:val="8"/>
      </w:numPr>
    </w:pPr>
  </w:style>
  <w:style w:type="paragraph" w:customStyle="1" w:styleId="ListAlpha2">
    <w:name w:val="List Alpha 2"/>
    <w:basedOn w:val="List2"/>
    <w:rsid w:val="00354CFF"/>
    <w:pPr>
      <w:numPr>
        <w:numId w:val="7"/>
      </w:numPr>
    </w:pPr>
  </w:style>
  <w:style w:type="paragraph" w:styleId="List2">
    <w:name w:val="List 2"/>
    <w:basedOn w:val="BodyText"/>
    <w:rsid w:val="00354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C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C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4CFF"/>
    <w:pPr>
      <w:numPr>
        <w:numId w:val="3"/>
      </w:numPr>
    </w:pPr>
  </w:style>
  <w:style w:type="paragraph" w:styleId="ListContinue2">
    <w:name w:val="List Continue 2"/>
    <w:basedOn w:val="List2"/>
    <w:rsid w:val="00354CFF"/>
    <w:pPr>
      <w:ind w:firstLine="0"/>
    </w:pPr>
  </w:style>
  <w:style w:type="paragraph" w:styleId="ListContinue3">
    <w:name w:val="List Continue 3"/>
    <w:basedOn w:val="List3"/>
    <w:rsid w:val="00354CFF"/>
    <w:pPr>
      <w:ind w:left="1021" w:firstLine="0"/>
    </w:pPr>
  </w:style>
  <w:style w:type="paragraph" w:styleId="ListContinue4">
    <w:name w:val="List Continue 4"/>
    <w:basedOn w:val="List4"/>
    <w:rsid w:val="00354CFF"/>
    <w:pPr>
      <w:ind w:firstLine="0"/>
    </w:pPr>
  </w:style>
  <w:style w:type="paragraph" w:styleId="ListContinue5">
    <w:name w:val="List Continue 5"/>
    <w:basedOn w:val="List5"/>
    <w:rsid w:val="00354CFF"/>
    <w:pPr>
      <w:ind w:firstLine="0"/>
    </w:pPr>
  </w:style>
  <w:style w:type="paragraph" w:styleId="ListNumber3">
    <w:name w:val="List Number 3"/>
    <w:basedOn w:val="List3"/>
    <w:rsid w:val="00354CFF"/>
    <w:pPr>
      <w:numPr>
        <w:numId w:val="4"/>
      </w:numPr>
    </w:pPr>
  </w:style>
  <w:style w:type="paragraph" w:styleId="ListNumber4">
    <w:name w:val="List Number 4"/>
    <w:basedOn w:val="List4"/>
    <w:rsid w:val="00354CFF"/>
    <w:pPr>
      <w:numPr>
        <w:numId w:val="5"/>
      </w:numPr>
    </w:pPr>
  </w:style>
  <w:style w:type="paragraph" w:styleId="ListNumber5">
    <w:name w:val="List Number 5"/>
    <w:basedOn w:val="List5"/>
    <w:rsid w:val="00354CFF"/>
    <w:pPr>
      <w:numPr>
        <w:numId w:val="6"/>
      </w:numPr>
    </w:pPr>
  </w:style>
  <w:style w:type="paragraph" w:styleId="BlockText">
    <w:name w:val="Block Text"/>
    <w:basedOn w:val="Normal"/>
    <w:rsid w:val="00354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CFF"/>
    <w:rPr>
      <w:sz w:val="16"/>
      <w:vertAlign w:val="superscript"/>
    </w:rPr>
  </w:style>
  <w:style w:type="character" w:customStyle="1" w:styleId="Symbols">
    <w:name w:val="Symbols"/>
    <w:basedOn w:val="DefaultParagraphFont"/>
    <w:rsid w:val="00354CFF"/>
    <w:rPr>
      <w:rFonts w:ascii="Symbol" w:hAnsi="Symbol"/>
    </w:rPr>
  </w:style>
  <w:style w:type="character" w:customStyle="1" w:styleId="MenuOptions">
    <w:name w:val="Menu Options"/>
    <w:basedOn w:val="DefaultParagraphFont"/>
    <w:rsid w:val="00354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CFF"/>
    <w:rPr>
      <w:b/>
    </w:rPr>
  </w:style>
  <w:style w:type="character" w:customStyle="1" w:styleId="Underlined">
    <w:name w:val="Underlined"/>
    <w:basedOn w:val="DefaultParagraphFont"/>
    <w:rsid w:val="00354CFF"/>
    <w:rPr>
      <w:u w:val="single"/>
    </w:rPr>
  </w:style>
  <w:style w:type="paragraph" w:customStyle="1" w:styleId="TableBodyTextRight">
    <w:name w:val="Table Body Text Right"/>
    <w:basedOn w:val="TableBodyText"/>
    <w:rsid w:val="00354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CFF"/>
    <w:rPr>
      <w:sz w:val="18"/>
    </w:rPr>
  </w:style>
  <w:style w:type="paragraph" w:customStyle="1" w:styleId="BodySmallRight">
    <w:name w:val="Body Small Right"/>
    <w:basedOn w:val="BodyTextRight"/>
    <w:rsid w:val="00354CFF"/>
    <w:rPr>
      <w:sz w:val="18"/>
      <w:szCs w:val="18"/>
    </w:rPr>
  </w:style>
  <w:style w:type="paragraph" w:customStyle="1" w:styleId="MarginEdition">
    <w:name w:val="Margin Edition"/>
    <w:basedOn w:val="MarginNote"/>
    <w:rsid w:val="00354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CFF"/>
    <w:rPr>
      <w:sz w:val="2"/>
      <w:szCs w:val="2"/>
    </w:rPr>
  </w:style>
  <w:style w:type="character" w:customStyle="1" w:styleId="Small">
    <w:name w:val="Small"/>
    <w:basedOn w:val="DefaultParagraphFont"/>
    <w:rsid w:val="00354CFF"/>
    <w:rPr>
      <w:sz w:val="16"/>
    </w:rPr>
  </w:style>
  <w:style w:type="paragraph" w:customStyle="1" w:styleId="WideTable">
    <w:name w:val="Wide Table"/>
    <w:basedOn w:val="Normal"/>
    <w:rsid w:val="00354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CFF"/>
  </w:style>
  <w:style w:type="paragraph" w:styleId="Quote">
    <w:name w:val="Quote"/>
    <w:basedOn w:val="Heading1"/>
    <w:link w:val="QuoteChar"/>
    <w:qFormat/>
    <w:rsid w:val="00354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CFF"/>
    <w:pPr>
      <w:pageBreakBefore/>
    </w:pPr>
  </w:style>
  <w:style w:type="paragraph" w:customStyle="1" w:styleId="Border">
    <w:name w:val="Border"/>
    <w:basedOn w:val="Normal"/>
    <w:qFormat/>
    <w:rsid w:val="00354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CFF"/>
    <w:rPr>
      <w:u w:val="single"/>
    </w:rPr>
  </w:style>
  <w:style w:type="character" w:customStyle="1" w:styleId="BoldandItalics">
    <w:name w:val="Bold and Italics"/>
    <w:qFormat/>
    <w:rsid w:val="00354CFF"/>
    <w:rPr>
      <w:b/>
      <w:i/>
      <w:u w:val="none"/>
    </w:rPr>
  </w:style>
  <w:style w:type="paragraph" w:styleId="BalloonText">
    <w:name w:val="Balloon Text"/>
    <w:basedOn w:val="Normal"/>
    <w:link w:val="BalloonTextChar"/>
    <w:rsid w:val="00354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CFF"/>
    <w:pPr>
      <w:spacing w:before="0" w:after="0"/>
    </w:pPr>
  </w:style>
  <w:style w:type="paragraph" w:customStyle="1" w:styleId="BodyTextBold">
    <w:name w:val="Body Text Bold"/>
    <w:basedOn w:val="BodyText"/>
    <w:qFormat/>
    <w:rsid w:val="00354CFF"/>
    <w:rPr>
      <w:b/>
    </w:rPr>
  </w:style>
  <w:style w:type="character" w:styleId="Hyperlink">
    <w:name w:val="Hyperlink"/>
    <w:basedOn w:val="DefaultParagraphFont"/>
    <w:uiPriority w:val="99"/>
    <w:unhideWhenUsed/>
    <w:rsid w:val="000F4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3824</Characters>
  <Application>Microsoft Office Word</Application>
  <DocSecurity>0</DocSecurity>
  <Lines>191</Lines>
  <Paragraphs>109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MEM05001 Perform manual soldering/desoldering - electrical/electronic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