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9B6" w:rsidP="008639B6">
      <w:pPr>
        <w:pStyle w:val="Title"/>
      </w:pPr>
      <w:r>
        <w:fldChar w:fldCharType="begin"/>
      </w:r>
      <w:r>
        <w:instrText xml:space="preserve"> TITLE   \* MERGEFORMAT </w:instrText>
      </w:r>
      <w:r>
        <w:fldChar w:fldCharType="separate"/>
      </w:r>
      <w:r>
        <w:t>MEM04023 Undertake prescribed tests on foundry-related materials</w:t>
      </w:r>
      <w:r>
        <w:fldChar w:fldCharType="end"/>
      </w:r>
    </w:p>
    <w:p w:rsidR="008639B6" w:rsidP="008639B6">
      <w:pPr>
        <w:pStyle w:val="Version"/>
        <w:sectPr w:rsidSect="00FA2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896" w:rsidP="00FA2896">
      <w:pPr>
        <w:pStyle w:val="SuperHeading"/>
      </w:pPr>
      <w:r w:rsidRPr="00FA2896">
        <w:t>MEM04023 Unde</w:t>
      </w:r>
      <w:r w:rsidRPr="00FA2896">
        <w:t>rtake prescribed tests on foundry-related materials</w:t>
      </w:r>
    </w:p>
    <w:p w:rsidR="00000000" w:rsidRPr="00FA2896" w:rsidP="00FA2896">
      <w:pPr>
        <w:pStyle w:val="Heading1"/>
      </w:pPr>
      <w:bookmarkStart w:id="1" w:name="O_943270"/>
      <w:bookmarkEnd w:id="1"/>
      <w:r w:rsidRPr="00FA2896">
        <w:t>Modification History</w:t>
      </w:r>
    </w:p>
    <w:p w:rsidR="00000000" w:rsidRPr="00FA2896" w:rsidP="008639B6">
      <w:pPr>
        <w:pStyle w:val="BodyText"/>
      </w:pPr>
      <w:r w:rsidRPr="00FA2896">
        <w:t>Release 1. Supersedes and is equivalent to MEM04023A Undertake prescribed tests on foundry related materials</w:t>
      </w:r>
    </w:p>
    <w:p w:rsidR="00000000" w:rsidRPr="00FA2896" w:rsidP="00FA2896">
      <w:pPr>
        <w:pStyle w:val="Heading1"/>
      </w:pPr>
      <w:bookmarkStart w:id="2" w:name="O_943278"/>
      <w:bookmarkEnd w:id="2"/>
      <w:r w:rsidRPr="00FA2896">
        <w:t>Application</w:t>
      </w:r>
    </w:p>
    <w:p w:rsidR="00000000" w:rsidRPr="00FA2896" w:rsidP="008639B6">
      <w:pPr>
        <w:pStyle w:val="BodyText"/>
      </w:pPr>
      <w:r w:rsidRPr="00FA2896">
        <w:t>This unit of competency defines the skills and knowledge required to carry out prescribed chemical analysis and mechanical (destructive) tests on foundry-related materials and compare the results against predetermined specifications. It also includes the c</w:t>
      </w:r>
      <w:r w:rsidRPr="00FA2896">
        <w:t>onducting of optical emission spectroscopy (OES) testing, but not the conducting of any other tests. This work is performed under the overall direction of a metallurgist.</w:t>
      </w:r>
    </w:p>
    <w:p w:rsidR="00000000" w:rsidRPr="00FA2896" w:rsidP="008639B6">
      <w:pPr>
        <w:pStyle w:val="BodyText"/>
      </w:pPr>
      <w:r w:rsidRPr="00FA2896">
        <w:t>The foundry tradesperson may be required to draw some conclusions from the results o</w:t>
      </w:r>
      <w:r w:rsidRPr="00FA2896">
        <w:t>f the specified tests regarding whether an adjustment is required within their skills and knowledge to casting or melting procedures or whether to consult on the results with a metallurgist or other authority according to standard procedures.</w:t>
      </w:r>
    </w:p>
    <w:p w:rsidR="00000000" w:rsidRPr="00FA2896" w:rsidP="008639B6">
      <w:pPr>
        <w:pStyle w:val="BodyText"/>
      </w:pPr>
      <w:r w:rsidRPr="00FA2896">
        <w:t>Where the in</w:t>
      </w:r>
      <w:r w:rsidRPr="00FA2896">
        <w:t>terpretation of technical drawings is required unit MEM09002 Interpret technical drawing should also be selected.</w:t>
      </w:r>
    </w:p>
    <w:p w:rsidR="00000000" w:rsidRPr="00FA2896" w:rsidP="008639B6">
      <w:pPr>
        <w:pStyle w:val="BodyText"/>
      </w:pPr>
      <w:r w:rsidRPr="00FA2896">
        <w:t>Where the selection and use of engineering measuring equipment is required unit MEM12023 Perform engineering measurements should also be sele</w:t>
      </w:r>
      <w:r w:rsidRPr="00FA2896">
        <w:t>cted.</w:t>
      </w:r>
    </w:p>
    <w:p w:rsidR="00000000" w:rsidRPr="00FA2896" w:rsidP="008639B6">
      <w:pPr>
        <w:pStyle w:val="BodyText"/>
      </w:pPr>
      <w:r w:rsidRPr="00FA2896">
        <w:t>Where the selection and use of tools is required unit MEM18001 Use hand tools and unit MEM18002 Use power tools/hand held operations, should also be selected as appropriate.</w:t>
      </w:r>
    </w:p>
    <w:p w:rsidR="00000000" w:rsidRPr="00FA2896" w:rsidP="008639B6">
      <w:pPr>
        <w:pStyle w:val="BodyText"/>
      </w:pPr>
      <w:r w:rsidRPr="00FA2896">
        <w:t>No licensing, legislative or certification requirements apply to this unit</w:t>
      </w:r>
      <w:r w:rsidRPr="00FA2896">
        <w:t xml:space="preserve"> at the time of publication.</w:t>
      </w:r>
    </w:p>
    <w:p w:rsidR="00000000" w:rsidRPr="00FA2896" w:rsidP="00FA2896">
      <w:pPr>
        <w:pStyle w:val="BodyText"/>
      </w:pPr>
      <w:r w:rsidRPr="00FA2896">
        <w:rPr>
          <w:rStyle w:val="SpecialBold"/>
        </w:rPr>
        <w:t>Band:</w:t>
      </w:r>
      <w:r w:rsidRPr="00FA2896">
        <w:rPr>
          <w:rStyle w:val="SpecialBold"/>
        </w:rPr>
        <w:tab/>
        <w:t>B</w:t>
      </w:r>
    </w:p>
    <w:p w:rsidR="00000000" w:rsidRPr="00FA2896" w:rsidP="00FA2896">
      <w:pPr>
        <w:pStyle w:val="BodyText"/>
      </w:pPr>
      <w:r w:rsidRPr="00FA2896">
        <w:rPr>
          <w:rStyle w:val="SpecialBold"/>
        </w:rPr>
        <w:t>Unit Weight:</w:t>
      </w:r>
      <w:r w:rsidRPr="00FA2896">
        <w:rPr>
          <w:rStyle w:val="SpecialBold"/>
        </w:rPr>
        <w:tab/>
        <w:t>4</w:t>
      </w:r>
    </w:p>
    <w:p w:rsidR="00000000" w:rsidRPr="00FA2896" w:rsidP="00FA2896">
      <w:pPr>
        <w:pStyle w:val="AllowPageBreak"/>
      </w:pPr>
    </w:p>
    <w:p w:rsidR="00000000" w:rsidRPr="00FA2896" w:rsidP="00FA2896">
      <w:pPr>
        <w:pStyle w:val="Heading1"/>
      </w:pPr>
      <w:bookmarkStart w:id="3" w:name="O_943277"/>
      <w:bookmarkEnd w:id="3"/>
      <w:r w:rsidRPr="00FA2896">
        <w:t>Pre-requisite Unit</w:t>
      </w:r>
    </w:p>
    <w:tbl>
      <w:tblPr>
        <w:tblW w:w="0" w:type="auto"/>
        <w:tblLayout w:type="fixed"/>
        <w:tblCellMar>
          <w:left w:w="62" w:type="dxa"/>
          <w:right w:w="62" w:type="dxa"/>
        </w:tblCellMar>
        <w:tblLook w:val="0000"/>
      </w:tblPr>
      <w:tblGrid>
        <w:gridCol w:w="2258"/>
        <w:gridCol w:w="6832"/>
      </w:tblGrid>
      <w:tr w:rsidTr="00FA2896">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MEM11011</w:t>
            </w:r>
          </w:p>
        </w:tc>
        <w:tc>
          <w:tcPr>
            <w:tcW w:w="6832"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Undertake manual handling</w:t>
            </w:r>
          </w:p>
        </w:tc>
      </w:tr>
      <w:tr w:rsidTr="00FA2896">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MEM12024</w:t>
            </w:r>
          </w:p>
        </w:tc>
        <w:tc>
          <w:tcPr>
            <w:tcW w:w="6832"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Perform computations</w:t>
            </w:r>
          </w:p>
        </w:tc>
      </w:tr>
      <w:tr w:rsidTr="00FA2896">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MEM12026</w:t>
            </w:r>
          </w:p>
        </w:tc>
        <w:tc>
          <w:tcPr>
            <w:tcW w:w="6832"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Perform advanced trade calculations in a manufacturing, engineering or related environment</w:t>
            </w:r>
          </w:p>
        </w:tc>
      </w:tr>
      <w:tr w:rsidTr="00FA2896">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MEM13015</w:t>
            </w:r>
          </w:p>
        </w:tc>
        <w:tc>
          <w:tcPr>
            <w:tcW w:w="6832"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Work safely and effectively in manufacturing and engineering</w:t>
            </w:r>
          </w:p>
        </w:tc>
      </w:tr>
      <w:tr w:rsidTr="00FA2896">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MEM16006</w:t>
            </w:r>
          </w:p>
        </w:tc>
        <w:tc>
          <w:tcPr>
            <w:tcW w:w="6832"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Organise and communicate information</w:t>
            </w:r>
          </w:p>
        </w:tc>
      </w:tr>
    </w:tbl>
    <w:p w:rsidR="00000000" w:rsidRPr="00FA2896" w:rsidP="00FA2896">
      <w:pPr>
        <w:pStyle w:val="BodyText"/>
      </w:pPr>
    </w:p>
    <w:p w:rsidR="00000000" w:rsidRPr="00FA2896" w:rsidP="00FA2896">
      <w:pPr>
        <w:pStyle w:val="AllowPageBreak"/>
      </w:pPr>
    </w:p>
    <w:p w:rsidR="00000000" w:rsidRPr="00FA2896" w:rsidP="00FA2896">
      <w:pPr>
        <w:pStyle w:val="Heading1"/>
      </w:pPr>
      <w:bookmarkStart w:id="4" w:name="O_943276"/>
      <w:bookmarkEnd w:id="4"/>
      <w:r w:rsidRPr="00FA2896">
        <w:t>Competency Field</w:t>
      </w:r>
    </w:p>
    <w:p w:rsidR="00000000" w:rsidRPr="00FA2896" w:rsidP="008639B6">
      <w:pPr>
        <w:pStyle w:val="BodyText"/>
      </w:pPr>
      <w:r w:rsidRPr="00FA2896">
        <w:t>Casting and moulding</w:t>
      </w:r>
    </w:p>
    <w:p w:rsidR="00000000" w:rsidRPr="00FA2896" w:rsidP="00FA2896">
      <w:pPr>
        <w:pStyle w:val="Heading1"/>
      </w:pPr>
      <w:bookmarkStart w:id="5" w:name="O_943274"/>
      <w:bookmarkEnd w:id="5"/>
      <w:r w:rsidRPr="00FA289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A289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Elements describe the essentia</w:t>
            </w:r>
            <w:r w:rsidRPr="00FA2896">
              <w:t>l outcomes.</w:t>
            </w:r>
          </w:p>
        </w:tc>
        <w:tc>
          <w:tcPr>
            <w:tcW w:w="6457" w:type="dxa"/>
            <w:gridSpan w:val="2"/>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Performance criteria describe the performance needed to demonstrate achievement of the element.</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1</w:t>
            </w:r>
          </w:p>
        </w:tc>
        <w:tc>
          <w:tcPr>
            <w:tcW w:w="1986" w:type="dxa"/>
            <w:vMerge w:val="restart"/>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1.1</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Follow standard operating procedures (SOPs)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1.2</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Comply with work health and safety (WHS) requirements at all times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1.3</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Use appropriate personal protective equipment (PPE) in accordance with SOPs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1.4</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Identify job requirements from specifications, job sheets or work instructions</w:t>
            </w:r>
          </w:p>
        </w:tc>
      </w:tr>
      <w:tr w:rsidTr="00FA28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2896">
            <w:pPr>
              <w:pStyle w:val="BodyText"/>
              <w:rPr>
                <w:lang w:val="en-NZ"/>
              </w:rPr>
            </w:pP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2</w:t>
            </w:r>
          </w:p>
        </w:tc>
        <w:tc>
          <w:tcPr>
            <w:tcW w:w="1986" w:type="dxa"/>
            <w:vMerge w:val="restart"/>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Select appropriate testing procedures/ standards</w:t>
            </w: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2.1</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 xml:space="preserve">Identify the need and relevant test and testing standard from prescribed range of tests and testing standards </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2.2</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 xml:space="preserve">Arrange for external testing if appropriate </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2.3</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Identify appropriate and certified laboratory and test equipment</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2.4</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Select appropriate procedures/standards for the requirements of the test</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2.5</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Prepare sample according to appropriate procedures</w:t>
            </w:r>
          </w:p>
        </w:tc>
      </w:tr>
      <w:tr w:rsidTr="00FA28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2896">
            <w:pPr>
              <w:pStyle w:val="BodyText"/>
              <w:rPr>
                <w:lang w:val="en-NZ"/>
              </w:rPr>
            </w:pP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3</w:t>
            </w:r>
          </w:p>
        </w:tc>
        <w:tc>
          <w:tcPr>
            <w:tcW w:w="1986" w:type="dxa"/>
            <w:vMerge w:val="restart"/>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Undertake prescribed tests</w:t>
            </w: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3.1</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Check that the sample or casting has been prepared as required by the test method</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3.2</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Prepare sample or casting</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3.3</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Prepare instrument as required by procedures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3.4</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Test sample or casting</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3.5</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Record and check test results and repeat test results if required</w:t>
            </w:r>
          </w:p>
        </w:tc>
      </w:tr>
      <w:tr w:rsidTr="00FA28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2896">
            <w:pPr>
              <w:pStyle w:val="BodyText"/>
              <w:rPr>
                <w:lang w:val="en-NZ"/>
              </w:rPr>
            </w:pP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4</w:t>
            </w:r>
          </w:p>
        </w:tc>
        <w:tc>
          <w:tcPr>
            <w:tcW w:w="1986" w:type="dxa"/>
            <w:vMerge w:val="restart"/>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Arrange other tests</w:t>
            </w: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4.1</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Identify need for tests not covered by this unit</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4.2</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Arrange for internal or external test according to standard enterprise procedures</w:t>
            </w:r>
          </w:p>
        </w:tc>
      </w:tr>
      <w:tr w:rsidTr="00FA28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2896">
            <w:pPr>
              <w:pStyle w:val="BodyText"/>
              <w:rPr>
                <w:lang w:val="en-NZ"/>
              </w:rPr>
            </w:pP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5</w:t>
            </w:r>
          </w:p>
        </w:tc>
        <w:tc>
          <w:tcPr>
            <w:tcW w:w="1986" w:type="dxa"/>
            <w:vMerge w:val="restart"/>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Report result of tests</w:t>
            </w: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5.1</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Identify reporting requirements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5.2</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Source externally conducted test results from provider</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5.3</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Determine implications of test results for process or product</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5.4</w:t>
            </w:r>
          </w:p>
        </w:tc>
        <w:tc>
          <w:tcPr>
            <w:tcW w:w="5678"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Undertake or recommend actions to be taken</w:t>
            </w:r>
            <w:r w:rsidRPr="00FA2896">
              <w:t xml:space="preserve"> based on test results and enterprise procedures</w:t>
            </w:r>
          </w:p>
        </w:tc>
      </w:tr>
      <w:tr w:rsidTr="00FA28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5.5</w:t>
            </w:r>
          </w:p>
        </w:tc>
        <w:tc>
          <w:tcPr>
            <w:tcW w:w="5678" w:type="dxa"/>
            <w:tcBorders>
              <w:top w:val="nil"/>
              <w:left w:val="nil"/>
              <w:bottom w:val="nil"/>
              <w:right w:val="nil"/>
            </w:tcBorders>
            <w:tcMar>
              <w:top w:w="0" w:type="dxa"/>
              <w:left w:w="62" w:type="dxa"/>
              <w:bottom w:w="0" w:type="dxa"/>
              <w:right w:w="62" w:type="dxa"/>
            </w:tcMar>
          </w:tcPr>
          <w:p w:rsidR="00000000" w:rsidRPr="00FA2896" w:rsidP="00FA2896">
            <w:pPr>
              <w:pStyle w:val="BodyText"/>
            </w:pPr>
            <w:r w:rsidRPr="00FA2896">
              <w:t>Prepare and circulate report in accordance with enterprise requirements</w:t>
            </w:r>
          </w:p>
        </w:tc>
      </w:tr>
    </w:tbl>
    <w:p w:rsidR="00000000" w:rsidRPr="00FA2896" w:rsidP="00FA2896">
      <w:pPr>
        <w:pStyle w:val="BodyText"/>
      </w:pPr>
    </w:p>
    <w:p w:rsidR="00000000" w:rsidRPr="00FA2896" w:rsidP="00FA2896">
      <w:pPr>
        <w:pStyle w:val="AllowPageBreak"/>
      </w:pPr>
    </w:p>
    <w:p w:rsidR="00000000" w:rsidRPr="00FA2896" w:rsidP="00FA2896">
      <w:pPr>
        <w:pStyle w:val="Heading1"/>
      </w:pPr>
      <w:bookmarkStart w:id="6" w:name="O_943273"/>
      <w:bookmarkEnd w:id="6"/>
      <w:r w:rsidRPr="00FA2896">
        <w:t>Foundation Skills</w:t>
      </w:r>
    </w:p>
    <w:p w:rsidR="00000000" w:rsidRPr="00FA2896" w:rsidP="008639B6">
      <w:pPr>
        <w:pStyle w:val="BodyText"/>
      </w:pPr>
      <w:r w:rsidRPr="00FA2896">
        <w:t>This section describes those required skills (reading, writing, oral communication and nume</w:t>
      </w:r>
      <w:r w:rsidRPr="00FA2896">
        <w:t xml:space="preserve">racy) that are essential to workplace performance in this unit of competency.  </w:t>
      </w:r>
    </w:p>
    <w:p w:rsidR="00000000" w:rsidRPr="00FA2896" w:rsidP="008639B6">
      <w:pPr>
        <w:pStyle w:val="BodyText"/>
      </w:pPr>
      <w:r w:rsidRPr="00FA2896">
        <w:t>Foundation skills essential to performance are explicit in the performance criteria of this unit of competency.</w:t>
      </w:r>
    </w:p>
    <w:p w:rsidR="00000000" w:rsidRPr="00FA2896" w:rsidP="00FA2896">
      <w:pPr>
        <w:pStyle w:val="Heading1"/>
      </w:pPr>
      <w:bookmarkStart w:id="7" w:name="O_943272"/>
      <w:bookmarkEnd w:id="7"/>
      <w:r w:rsidRPr="00FA2896">
        <w:t>Range of Conditions</w:t>
      </w:r>
    </w:p>
    <w:tbl>
      <w:tblPr>
        <w:tblW w:w="9358" w:type="dxa"/>
        <w:tblLayout w:type="fixed"/>
        <w:tblCellMar>
          <w:left w:w="62" w:type="dxa"/>
          <w:right w:w="62" w:type="dxa"/>
        </w:tblCellMar>
        <w:tblLook w:val="0000"/>
      </w:tblPr>
      <w:tblGrid>
        <w:gridCol w:w="2759"/>
        <w:gridCol w:w="6599"/>
      </w:tblGrid>
      <w:tr w:rsidTr="00FA2896">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t>This field allows for different work environments and conditions that may affect performance. Essential operating conditions that may be present (depending on the work situation, needs of the candidate, accessibility of the item, and local industry and reg</w:t>
            </w:r>
            <w:r w:rsidRPr="00FA2896">
              <w:t>ional contexts) are included.</w:t>
            </w:r>
          </w:p>
        </w:tc>
      </w:tr>
      <w:tr w:rsidTr="00FA2896">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Prescribed range of tests include testing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FA2896" w:rsidP="00FA2896">
            <w:pPr>
              <w:pStyle w:val="ListBullet"/>
            </w:pPr>
            <w:r w:rsidRPr="00FA2896">
              <w:t>tensile strength</w:t>
            </w:r>
          </w:p>
          <w:p w:rsidR="00000000" w:rsidRPr="00FA2896" w:rsidP="00FA2896">
            <w:pPr>
              <w:pStyle w:val="ListBullet"/>
            </w:pPr>
            <w:r w:rsidRPr="00FA2896">
              <w:t>compressive strength</w:t>
            </w:r>
          </w:p>
          <w:p w:rsidR="00000000" w:rsidRPr="00FA2896" w:rsidP="00FA2896">
            <w:pPr>
              <w:pStyle w:val="ListBullet"/>
            </w:pPr>
            <w:r w:rsidRPr="00FA2896">
              <w:t>elongation</w:t>
            </w:r>
          </w:p>
          <w:p w:rsidR="00000000" w:rsidRPr="00FA2896" w:rsidP="00FA2896">
            <w:pPr>
              <w:pStyle w:val="ListBullet"/>
            </w:pPr>
            <w:r w:rsidRPr="00FA2896">
              <w:t>area reduction</w:t>
            </w:r>
          </w:p>
          <w:p w:rsidR="00000000" w:rsidRPr="00FA2896" w:rsidP="00FA2896">
            <w:pPr>
              <w:pStyle w:val="ListBullet"/>
            </w:pPr>
            <w:r w:rsidRPr="00FA2896">
              <w:t>yield stress</w:t>
            </w:r>
          </w:p>
          <w:p w:rsidR="00000000" w:rsidRPr="00FA2896" w:rsidP="00FA2896">
            <w:pPr>
              <w:pStyle w:val="ListBullet"/>
            </w:pPr>
            <w:r w:rsidRPr="00FA2896">
              <w:t>yield point</w:t>
            </w:r>
          </w:p>
          <w:p w:rsidR="00000000" w:rsidRPr="00FA2896" w:rsidP="00FA2896">
            <w:pPr>
              <w:pStyle w:val="ListBullet"/>
            </w:pPr>
            <w:r w:rsidRPr="00FA2896">
              <w:t>proof stress</w:t>
            </w:r>
          </w:p>
          <w:p w:rsidR="00000000" w:rsidRPr="00FA2896" w:rsidP="00FA2896">
            <w:pPr>
              <w:pStyle w:val="ListBullet"/>
            </w:pPr>
            <w:r w:rsidRPr="00FA2896">
              <w:t>Young</w:t>
            </w:r>
            <w:r>
              <w:t>’</w:t>
            </w:r>
            <w:r w:rsidRPr="00FA2896">
              <w:t>s modulus</w:t>
            </w:r>
          </w:p>
          <w:p w:rsidR="00000000" w:rsidRPr="00FA2896" w:rsidP="00FA2896">
            <w:pPr>
              <w:pStyle w:val="ListBullet"/>
            </w:pPr>
            <w:r w:rsidRPr="00FA2896">
              <w:t>elastic/plastic region and deformation</w:t>
            </w:r>
          </w:p>
          <w:p w:rsidR="00000000" w:rsidRPr="00FA2896" w:rsidP="00FA2896">
            <w:pPr>
              <w:pStyle w:val="ListBullet"/>
            </w:pPr>
            <w:r w:rsidRPr="00FA2896">
              <w:t>viscoelastic deformation</w:t>
            </w:r>
          </w:p>
          <w:p w:rsidR="00000000" w:rsidP="00FA2896">
            <w:pPr>
              <w:pStyle w:val="BodyText"/>
              <w:rPr>
                <w:lang w:val="en-NZ"/>
              </w:rPr>
            </w:pPr>
          </w:p>
        </w:tc>
      </w:tr>
      <w:tr w:rsidTr="00FA2896">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Other tests include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FA2896" w:rsidP="00FA2896">
            <w:pPr>
              <w:pStyle w:val="ListBullet"/>
            </w:pPr>
            <w:r w:rsidRPr="00FA2896">
              <w:t>fatigue/flex testing</w:t>
            </w:r>
          </w:p>
          <w:p w:rsidR="00000000" w:rsidRPr="00FA2896" w:rsidP="00FA2896">
            <w:pPr>
              <w:pStyle w:val="ListBullet"/>
            </w:pPr>
            <w:r w:rsidRPr="00FA2896">
              <w:t>creep testing</w:t>
            </w:r>
          </w:p>
          <w:p w:rsidR="00000000" w:rsidRPr="00FA2896" w:rsidP="00FA2896">
            <w:pPr>
              <w:pStyle w:val="ListBullet"/>
            </w:pPr>
            <w:r w:rsidRPr="00FA2896">
              <w:t>strain test and measurement</w:t>
            </w:r>
          </w:p>
          <w:p w:rsidR="00000000" w:rsidRPr="00FA2896" w:rsidP="00FA2896">
            <w:pPr>
              <w:pStyle w:val="ListBullet"/>
            </w:pPr>
            <w:r w:rsidRPr="00FA2896">
              <w:t>static shear and bend test</w:t>
            </w:r>
          </w:p>
          <w:p w:rsidR="00000000" w:rsidRPr="00FA2896" w:rsidP="00FA2896">
            <w:pPr>
              <w:pStyle w:val="ListBullet"/>
            </w:pPr>
            <w:r w:rsidRPr="00FA2896">
              <w:t>ultraviolet-visible (UV-VIS) spectrophotometr</w:t>
            </w:r>
            <w:r w:rsidRPr="00FA2896">
              <w:t xml:space="preserve">y </w:t>
            </w:r>
          </w:p>
          <w:p w:rsidR="00000000" w:rsidRPr="00FA2896" w:rsidP="00FA2896">
            <w:pPr>
              <w:pStyle w:val="ListBullet"/>
            </w:pPr>
            <w:r w:rsidRPr="00FA2896">
              <w:t>infrared spectroscopy (IR)</w:t>
            </w:r>
          </w:p>
          <w:p w:rsidR="00000000" w:rsidRPr="00FA2896" w:rsidP="00FA2896">
            <w:pPr>
              <w:pStyle w:val="ListBullet"/>
            </w:pPr>
            <w:r w:rsidRPr="00FA2896">
              <w:t>gas chromatography (GC)</w:t>
            </w:r>
          </w:p>
          <w:p w:rsidR="00000000" w:rsidRPr="00FA2896" w:rsidP="00FA2896">
            <w:pPr>
              <w:pStyle w:val="ListBullet"/>
            </w:pPr>
            <w:r w:rsidRPr="00FA2896">
              <w:t>X-ray fluorescence (XRF)</w:t>
            </w:r>
          </w:p>
          <w:p w:rsidR="00000000" w:rsidRPr="00FA2896" w:rsidP="00FA2896">
            <w:pPr>
              <w:pStyle w:val="ListBullet"/>
            </w:pPr>
            <w:r w:rsidRPr="00FA2896">
              <w:t>flame photometry</w:t>
            </w:r>
          </w:p>
          <w:p w:rsidR="00000000" w:rsidRPr="00FA2896" w:rsidP="00FA2896">
            <w:pPr>
              <w:pStyle w:val="ListBullet"/>
            </w:pPr>
            <w:r w:rsidRPr="00FA2896">
              <w:t>atomic absorption spectrometry (AAS)</w:t>
            </w:r>
          </w:p>
          <w:p w:rsidR="00000000" w:rsidRPr="00FA2896" w:rsidP="00FA2896">
            <w:pPr>
              <w:pStyle w:val="ListBullet"/>
            </w:pPr>
            <w:r w:rsidRPr="00FA2896">
              <w:t>scanning electron microscopy (SEM)</w:t>
            </w:r>
          </w:p>
          <w:p w:rsidR="00000000" w:rsidP="00FA2896">
            <w:pPr>
              <w:pStyle w:val="BodyText"/>
              <w:rPr>
                <w:lang w:val="en-NZ"/>
              </w:rPr>
            </w:pPr>
          </w:p>
        </w:tc>
      </w:tr>
      <w:tr w:rsidTr="00FA2896">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 xml:space="preserve">Prepare sample includes one (1) or more of the following: </w:t>
            </w:r>
          </w:p>
        </w:tc>
        <w:tc>
          <w:tcPr>
            <w:tcW w:w="6599" w:type="dxa"/>
            <w:tcBorders>
              <w:top w:val="nil"/>
              <w:left w:val="nil"/>
              <w:bottom w:val="nil"/>
              <w:right w:val="nil"/>
            </w:tcBorders>
            <w:tcMar>
              <w:top w:w="0" w:type="dxa"/>
              <w:left w:w="62" w:type="dxa"/>
              <w:bottom w:w="0" w:type="dxa"/>
              <w:right w:w="62" w:type="dxa"/>
            </w:tcMar>
          </w:tcPr>
          <w:p w:rsidR="00000000" w:rsidRPr="00FA2896" w:rsidP="00FA2896">
            <w:pPr>
              <w:pStyle w:val="ListBullet"/>
            </w:pPr>
            <w:r w:rsidRPr="00FA2896">
              <w:t>representative sub-samples have been taken</w:t>
            </w:r>
          </w:p>
          <w:p w:rsidR="00000000" w:rsidRPr="00FA2896" w:rsidP="00FA2896">
            <w:pPr>
              <w:pStyle w:val="ListBullet"/>
            </w:pPr>
            <w:r w:rsidRPr="00FA2896">
              <w:t>samples are ground and milled</w:t>
            </w:r>
          </w:p>
          <w:p w:rsidR="00000000" w:rsidRPr="00FA2896" w:rsidP="00FA2896">
            <w:pPr>
              <w:pStyle w:val="ListBullet"/>
            </w:pPr>
            <w:r w:rsidRPr="00FA2896">
              <w:t>the sample is ready for the test</w:t>
            </w:r>
          </w:p>
          <w:p w:rsidR="00000000" w:rsidP="00FA2896">
            <w:pPr>
              <w:pStyle w:val="BodyText"/>
              <w:rPr>
                <w:lang w:val="en-NZ"/>
              </w:rPr>
            </w:pPr>
          </w:p>
        </w:tc>
      </w:tr>
      <w:tr w:rsidTr="00FA2896">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Prepare instrument includes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FA2896" w:rsidP="00FA2896">
            <w:pPr>
              <w:pStyle w:val="ListBullet"/>
            </w:pPr>
            <w:r w:rsidRPr="00FA2896">
              <w:t>checking calibration</w:t>
            </w:r>
          </w:p>
          <w:p w:rsidR="00000000" w:rsidRPr="00FA2896" w:rsidP="00FA2896">
            <w:pPr>
              <w:pStyle w:val="ListBullet"/>
            </w:pPr>
            <w:r w:rsidRPr="00FA2896">
              <w:t>ensuring the availability of required consumables</w:t>
            </w:r>
          </w:p>
          <w:p w:rsidR="00000000" w:rsidRPr="00FA2896" w:rsidP="00FA2896">
            <w:pPr>
              <w:pStyle w:val="ListBullet"/>
            </w:pPr>
            <w:r w:rsidRPr="00FA2896">
              <w:t>curve generati</w:t>
            </w:r>
            <w:r w:rsidRPr="00FA2896">
              <w:t xml:space="preserve">on where OES test is required </w:t>
            </w:r>
          </w:p>
          <w:p w:rsidR="00000000" w:rsidRPr="00FA2896" w:rsidP="00FA2896">
            <w:pPr>
              <w:pStyle w:val="ListBullet"/>
            </w:pPr>
            <w:r w:rsidRPr="00FA2896">
              <w:t>setting machine conditions</w:t>
            </w:r>
          </w:p>
          <w:p w:rsidR="00000000" w:rsidRPr="00FA2896" w:rsidP="00FA2896">
            <w:pPr>
              <w:pStyle w:val="ListBullet"/>
            </w:pPr>
            <w:r w:rsidRPr="00FA2896">
              <w:t xml:space="preserve">checking machine function </w:t>
            </w:r>
          </w:p>
          <w:p w:rsidR="00000000" w:rsidP="00FA2896">
            <w:pPr>
              <w:pStyle w:val="BodyText"/>
              <w:rPr>
                <w:lang w:val="en-NZ"/>
              </w:rPr>
            </w:pPr>
          </w:p>
        </w:tc>
      </w:tr>
      <w:tr w:rsidTr="00FA2896">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A2896">
            <w:pPr>
              <w:pStyle w:val="BodyText"/>
              <w:rPr>
                <w:lang w:val="en-NZ"/>
              </w:rPr>
            </w:pPr>
            <w:r w:rsidRPr="00FA2896">
              <w:rPr>
                <w:rStyle w:val="SpecialBold"/>
              </w:rPr>
              <w:t>Materials for mechanical tests include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FA2896" w:rsidP="00FA2896">
            <w:pPr>
              <w:pStyle w:val="ListBullet"/>
            </w:pPr>
            <w:r w:rsidRPr="00FA2896">
              <w:t>metals</w:t>
            </w:r>
          </w:p>
          <w:p w:rsidR="00000000" w:rsidRPr="00FA2896" w:rsidP="00FA2896">
            <w:pPr>
              <w:pStyle w:val="ListBullet"/>
            </w:pPr>
            <w:r w:rsidRPr="00FA2896">
              <w:t xml:space="preserve">polymer-based materials </w:t>
            </w:r>
          </w:p>
          <w:p w:rsidR="00000000" w:rsidRPr="00FA2896" w:rsidP="00FA2896">
            <w:pPr>
              <w:pStyle w:val="ListBullet"/>
            </w:pPr>
            <w:r w:rsidRPr="00FA2896">
              <w:t>other solid materials on which mechanical testing is relevant</w:t>
            </w:r>
          </w:p>
        </w:tc>
      </w:tr>
    </w:tbl>
    <w:p w:rsidR="00000000" w:rsidRPr="00FA2896" w:rsidP="00FA2896">
      <w:pPr>
        <w:pStyle w:val="BodyText"/>
      </w:pPr>
    </w:p>
    <w:p w:rsidR="00000000" w:rsidRPr="00FA2896" w:rsidP="00FA2896">
      <w:pPr>
        <w:pStyle w:val="AllowPageBreak"/>
      </w:pPr>
    </w:p>
    <w:p w:rsidR="00000000" w:rsidRPr="00FA2896" w:rsidP="00FA2896">
      <w:pPr>
        <w:pStyle w:val="Heading1"/>
      </w:pPr>
      <w:bookmarkStart w:id="8" w:name="O_943271"/>
      <w:bookmarkEnd w:id="8"/>
      <w:r w:rsidRPr="00FA2896">
        <w:t>Unit Mapping Information</w:t>
      </w:r>
    </w:p>
    <w:p w:rsidR="00000000" w:rsidRPr="00FA2896" w:rsidP="008639B6">
      <w:pPr>
        <w:pStyle w:val="BodyText"/>
      </w:pPr>
      <w:r w:rsidRPr="00FA2896">
        <w:t>Release 1. Supersedes and is equivalent to MEM04023A Undertake prescribed tests on foundry related materials</w:t>
      </w:r>
    </w:p>
    <w:p w:rsidR="00000000" w:rsidRPr="00FA2896" w:rsidP="00FA2896">
      <w:pPr>
        <w:pStyle w:val="Heading1"/>
      </w:pPr>
      <w:bookmarkStart w:id="9" w:name="O_943264"/>
      <w:bookmarkEnd w:id="9"/>
      <w:r w:rsidRPr="00FA2896">
        <w:t>Links</w:t>
      </w:r>
    </w:p>
    <w:p w:rsidR="00000000" w:rsidRPr="00FA2896" w:rsidP="008639B6">
      <w:pPr>
        <w:pStyle w:val="BodyText"/>
      </w:pPr>
      <w:r w:rsidRPr="00FA28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4BEA">
        <w:rPr>
          <w:rStyle w:val="Hyperlink"/>
        </w:rPr>
        <w:t>https://vetnet.gov.au/Pages/TrainingDocs.aspx?q=b7050d37-5fd0-4740-8f7d-3b7a49c10bb2</w:t>
      </w:r>
      <w:r>
        <w:fldChar w:fldCharType="end"/>
      </w:r>
    </w:p>
    <w:p w:rsidR="00000000" w:rsidRPr="00FA2896" w:rsidP="00FA2896"/>
    <w:sectPr w:rsidSect="00FA28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96" w:rsidRPr="008639B6" w:rsidP="00863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B6" w:rsidP="00FA2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9B6" w:rsidP="00FA28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39B6" w:rsidP="00FA2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896" w:rsidRPr="008639B6" w:rsidP="00863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B6" w:rsidRPr="002D2AF8" w:rsidP="00FA2896">
    <w:pPr>
      <w:pStyle w:val="Header"/>
      <w:framePr w:wrap="around"/>
    </w:pPr>
    <w:r>
      <w:fldChar w:fldCharType="begin"/>
    </w:r>
    <w:r>
      <w:instrText xml:space="preserve"> TITLE   \* MERGEFORMAT </w:instrText>
    </w:r>
    <w:r>
      <w:fldChar w:fldCharType="separate"/>
    </w:r>
    <w:r>
      <w:t>MEM04023 Undertake prescribed tests on foundry-related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639B6" w:rsidP="00FA2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E7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C5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896"/>
    <w:pPr>
      <w:spacing w:before="360" w:after="60"/>
      <w:outlineLvl w:val="0"/>
    </w:pPr>
    <w:rPr>
      <w:sz w:val="32"/>
    </w:rPr>
  </w:style>
  <w:style w:type="paragraph" w:styleId="Heading2">
    <w:name w:val="heading 2"/>
    <w:basedOn w:val="HeadingBase"/>
    <w:next w:val="BodyText"/>
    <w:link w:val="Heading2Char"/>
    <w:qFormat/>
    <w:rsid w:val="00FA2896"/>
    <w:pPr>
      <w:keepLines/>
      <w:spacing w:before="240" w:after="120"/>
      <w:outlineLvl w:val="1"/>
    </w:pPr>
    <w:rPr>
      <w:sz w:val="28"/>
      <w:szCs w:val="40"/>
    </w:rPr>
  </w:style>
  <w:style w:type="paragraph" w:styleId="Heading3">
    <w:name w:val="heading 3"/>
    <w:basedOn w:val="HeadingBase"/>
    <w:next w:val="BodyText"/>
    <w:link w:val="Heading3Char"/>
    <w:qFormat/>
    <w:rsid w:val="00FA2896"/>
    <w:pPr>
      <w:spacing w:before="180" w:after="120"/>
      <w:outlineLvl w:val="2"/>
    </w:pPr>
    <w:rPr>
      <w:spacing w:val="-10"/>
      <w:kern w:val="32"/>
    </w:rPr>
  </w:style>
  <w:style w:type="paragraph" w:styleId="Heading4">
    <w:name w:val="heading 4"/>
    <w:basedOn w:val="HeadingBase"/>
    <w:next w:val="BodyText"/>
    <w:link w:val="Heading4Char"/>
    <w:qFormat/>
    <w:rsid w:val="00FA2896"/>
    <w:pPr>
      <w:spacing w:before="160" w:after="120"/>
      <w:outlineLvl w:val="3"/>
    </w:pPr>
    <w:rPr>
      <w:sz w:val="22"/>
    </w:rPr>
  </w:style>
  <w:style w:type="paragraph" w:styleId="Heading5">
    <w:name w:val="heading 5"/>
    <w:basedOn w:val="HeadingBase"/>
    <w:next w:val="Normal"/>
    <w:link w:val="Heading5Char"/>
    <w:qFormat/>
    <w:rsid w:val="00FA2896"/>
    <w:pPr>
      <w:spacing w:before="80"/>
      <w:outlineLvl w:val="4"/>
    </w:pPr>
    <w:rPr>
      <w:color w:val="918585"/>
      <w:sz w:val="20"/>
    </w:rPr>
  </w:style>
  <w:style w:type="paragraph" w:styleId="Heading6">
    <w:name w:val="heading 6"/>
    <w:basedOn w:val="HeadingBase"/>
    <w:next w:val="Normal"/>
    <w:link w:val="Heading6Char"/>
    <w:qFormat/>
    <w:rsid w:val="00FA2896"/>
    <w:pPr>
      <w:spacing w:before="60"/>
      <w:outlineLvl w:val="5"/>
    </w:pPr>
    <w:rPr>
      <w:color w:val="918585"/>
      <w:sz w:val="20"/>
    </w:rPr>
  </w:style>
  <w:style w:type="paragraph" w:styleId="Heading7">
    <w:name w:val="heading 7"/>
    <w:basedOn w:val="Normal"/>
    <w:next w:val="Normal"/>
    <w:link w:val="Heading7Char"/>
    <w:qFormat/>
    <w:rsid w:val="00FA2896"/>
    <w:pPr>
      <w:ind w:left="720"/>
      <w:outlineLvl w:val="6"/>
    </w:pPr>
    <w:rPr>
      <w:i/>
    </w:rPr>
  </w:style>
  <w:style w:type="paragraph" w:styleId="Heading8">
    <w:name w:val="heading 8"/>
    <w:basedOn w:val="Normal"/>
    <w:next w:val="Normal"/>
    <w:link w:val="Heading8Char"/>
    <w:qFormat/>
    <w:rsid w:val="00FA2896"/>
    <w:pPr>
      <w:ind w:left="720"/>
      <w:outlineLvl w:val="7"/>
    </w:pPr>
    <w:rPr>
      <w:i/>
    </w:rPr>
  </w:style>
  <w:style w:type="paragraph" w:styleId="Heading9">
    <w:name w:val="heading 9"/>
    <w:basedOn w:val="Normal"/>
    <w:next w:val="Normal"/>
    <w:link w:val="Heading9Char"/>
    <w:qFormat/>
    <w:rsid w:val="00FA2896"/>
    <w:pPr>
      <w:ind w:left="720"/>
      <w:outlineLvl w:val="8"/>
    </w:pPr>
    <w:rPr>
      <w:i/>
    </w:rPr>
  </w:style>
  <w:style w:type="character" w:default="1" w:styleId="DefaultParagraphFont">
    <w:name w:val="Default Paragraph Font"/>
    <w:uiPriority w:val="1"/>
    <w:unhideWhenUsed/>
    <w:rsid w:val="00FA2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896"/>
  </w:style>
  <w:style w:type="character" w:customStyle="1" w:styleId="Heading1Char">
    <w:name w:val="Heading 1 Char"/>
    <w:basedOn w:val="DefaultParagraphFont"/>
    <w:link w:val="Heading1"/>
    <w:rsid w:val="00FA2896"/>
    <w:rPr>
      <w:rFonts w:ascii="Times New Roman" w:eastAsia="Times New Roman" w:hAnsi="Times New Roman" w:cs="Times New Roman"/>
      <w:b/>
      <w:sz w:val="32"/>
      <w:szCs w:val="20"/>
      <w:lang w:eastAsia="en-US"/>
    </w:rPr>
  </w:style>
  <w:style w:type="paragraph" w:styleId="BodyText">
    <w:name w:val="Body Text"/>
    <w:basedOn w:val="Normal"/>
    <w:link w:val="BodyTextChar"/>
    <w:rsid w:val="00FA2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896"/>
    <w:rPr>
      <w:rFonts w:ascii="Times New Roman" w:eastAsia="Times New Roman" w:hAnsi="Times New Roman" w:cs="Times New Roman"/>
      <w:sz w:val="24"/>
      <w:lang w:eastAsia="en-US"/>
    </w:rPr>
  </w:style>
  <w:style w:type="paragraph" w:styleId="ListBullet">
    <w:name w:val="List Bullet"/>
    <w:basedOn w:val="List"/>
    <w:rsid w:val="00FA2896"/>
    <w:pPr>
      <w:numPr>
        <w:numId w:val="11"/>
      </w:numPr>
      <w:tabs>
        <w:tab w:val="clear" w:pos="340"/>
      </w:tabs>
      <w:spacing w:before="40" w:after="40"/>
    </w:pPr>
  </w:style>
  <w:style w:type="character" w:customStyle="1" w:styleId="SpecialBold">
    <w:name w:val="Special Bold"/>
    <w:basedOn w:val="DefaultParagraphFont"/>
    <w:rsid w:val="00FA2896"/>
    <w:rPr>
      <w:b/>
      <w:spacing w:val="0"/>
    </w:rPr>
  </w:style>
  <w:style w:type="paragraph" w:customStyle="1" w:styleId="SuperHeading">
    <w:name w:val="SuperHeading"/>
    <w:basedOn w:val="Normal"/>
    <w:rsid w:val="00FA2896"/>
    <w:pPr>
      <w:spacing w:before="240" w:after="120"/>
      <w:outlineLvl w:val="0"/>
    </w:pPr>
    <w:rPr>
      <w:rFonts w:ascii="Times New Roman" w:hAnsi="Times New Roman"/>
      <w:b/>
      <w:sz w:val="32"/>
    </w:rPr>
  </w:style>
  <w:style w:type="paragraph" w:customStyle="1" w:styleId="AllowPageBreak">
    <w:name w:val="AllowPageBreak"/>
    <w:rsid w:val="00FA2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896"/>
    <w:rPr>
      <w:rFonts w:ascii="Courier New" w:eastAsia="Times New Roman" w:hAnsi="Courier New" w:cs="Times New Roman"/>
      <w:i/>
      <w:szCs w:val="20"/>
      <w:lang w:eastAsia="en-US"/>
    </w:rPr>
  </w:style>
  <w:style w:type="paragraph" w:customStyle="1" w:styleId="HeadingBase">
    <w:name w:val="Heading Base"/>
    <w:rsid w:val="00FA2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896"/>
    <w:pPr>
      <w:tabs>
        <w:tab w:val="right" w:leader="dot" w:pos="9072"/>
      </w:tabs>
      <w:ind w:left="567"/>
    </w:pPr>
    <w:rPr>
      <w:szCs w:val="22"/>
    </w:rPr>
  </w:style>
  <w:style w:type="paragraph" w:customStyle="1" w:styleId="TOCBase">
    <w:name w:val="TOC Base"/>
    <w:rsid w:val="00FA2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896"/>
    <w:pPr>
      <w:tabs>
        <w:tab w:val="right" w:leader="dot" w:pos="9072"/>
      </w:tabs>
      <w:spacing w:before="40" w:after="40"/>
      <w:ind w:left="284"/>
    </w:pPr>
    <w:rPr>
      <w:rFonts w:ascii="Times New Roman" w:hAnsi="Times New Roman"/>
    </w:rPr>
  </w:style>
  <w:style w:type="paragraph" w:styleId="TOC1">
    <w:name w:val="toc 1"/>
    <w:basedOn w:val="TOCBase"/>
    <w:next w:val="Normal"/>
    <w:rsid w:val="00FA2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896"/>
    <w:rPr>
      <w:rFonts w:ascii="Times New Roman" w:eastAsia="Times New Roman" w:hAnsi="Times New Roman" w:cs="Times New Roman"/>
      <w:sz w:val="16"/>
      <w:lang w:eastAsia="en-US"/>
    </w:rPr>
  </w:style>
  <w:style w:type="paragraph" w:styleId="Title">
    <w:name w:val="Title"/>
    <w:basedOn w:val="HeadingBase"/>
    <w:link w:val="TitleChar"/>
    <w:qFormat/>
    <w:rsid w:val="00FA2896"/>
    <w:pPr>
      <w:spacing w:before="5040"/>
      <w:jc w:val="center"/>
    </w:pPr>
    <w:rPr>
      <w:sz w:val="48"/>
      <w:szCs w:val="72"/>
      <w:lang w:val="en-US"/>
    </w:rPr>
  </w:style>
  <w:style w:type="character" w:customStyle="1" w:styleId="TitleChar">
    <w:name w:val="Title Char"/>
    <w:basedOn w:val="DefaultParagraphFont"/>
    <w:link w:val="Title"/>
    <w:rsid w:val="00FA2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896"/>
    <w:pPr>
      <w:tabs>
        <w:tab w:val="left" w:pos="3600"/>
        <w:tab w:val="left" w:pos="3958"/>
      </w:tabs>
    </w:pPr>
  </w:style>
  <w:style w:type="paragraph" w:styleId="List">
    <w:name w:val="List"/>
    <w:basedOn w:val="BodyText"/>
    <w:next w:val="BodyText"/>
    <w:rsid w:val="00FA2896"/>
    <w:pPr>
      <w:tabs>
        <w:tab w:val="left" w:pos="340"/>
      </w:tabs>
      <w:spacing w:before="60" w:after="60"/>
      <w:ind w:left="340" w:hanging="340"/>
    </w:pPr>
  </w:style>
  <w:style w:type="paragraph" w:customStyle="1" w:styleId="Note">
    <w:name w:val="Note"/>
    <w:basedOn w:val="BodyText"/>
    <w:rsid w:val="00FA2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896"/>
    <w:pPr>
      <w:framePr w:wrap="auto" w:hAnchor="text" w:y="6049"/>
    </w:pPr>
    <w:rPr>
      <w:color w:val="000000"/>
      <w:sz w:val="40"/>
    </w:rPr>
  </w:style>
  <w:style w:type="paragraph" w:customStyle="1" w:styleId="TOCTitle">
    <w:name w:val="TOCTitle"/>
    <w:basedOn w:val="Heading1"/>
    <w:rsid w:val="00FA2896"/>
    <w:pPr>
      <w:spacing w:after="240"/>
      <w:jc w:val="center"/>
      <w:outlineLvl w:val="9"/>
    </w:pPr>
    <w:rPr>
      <w:caps/>
    </w:rPr>
  </w:style>
  <w:style w:type="paragraph" w:customStyle="1" w:styleId="Version">
    <w:name w:val="Version"/>
    <w:rsid w:val="00FA2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896"/>
    <w:pPr>
      <w:numPr>
        <w:numId w:val="12"/>
      </w:numPr>
      <w:tabs>
        <w:tab w:val="clear" w:pos="680"/>
      </w:tabs>
    </w:pPr>
  </w:style>
  <w:style w:type="paragraph" w:styleId="Index1">
    <w:name w:val="index 1"/>
    <w:basedOn w:val="Normal"/>
    <w:next w:val="Normal"/>
    <w:semiHidden/>
    <w:rsid w:val="00FA2896"/>
    <w:pPr>
      <w:keepNext w:val="0"/>
      <w:tabs>
        <w:tab w:val="right" w:pos="4176"/>
      </w:tabs>
      <w:ind w:left="198" w:hanging="198"/>
    </w:pPr>
    <w:rPr>
      <w:rFonts w:ascii="Garamond" w:hAnsi="Garamond"/>
    </w:rPr>
  </w:style>
  <w:style w:type="paragraph" w:styleId="IndexHeading">
    <w:name w:val="index heading"/>
    <w:basedOn w:val="Normal"/>
    <w:next w:val="Index1"/>
    <w:semiHidden/>
    <w:rsid w:val="00FA2896"/>
    <w:pPr>
      <w:spacing w:before="120" w:after="120"/>
    </w:pPr>
    <w:rPr>
      <w:rFonts w:ascii="Arial" w:hAnsi="Arial"/>
      <w:b/>
      <w:color w:val="918585"/>
      <w:sz w:val="24"/>
    </w:rPr>
  </w:style>
  <w:style w:type="paragraph" w:styleId="Header">
    <w:name w:val="header"/>
    <w:basedOn w:val="Normal"/>
    <w:link w:val="HeaderChar"/>
    <w:rsid w:val="00FA2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896"/>
    <w:rPr>
      <w:rFonts w:ascii="Times New Roman" w:eastAsia="Times New Roman" w:hAnsi="Times New Roman" w:cs="Times New Roman"/>
      <w:sz w:val="16"/>
      <w:szCs w:val="20"/>
      <w:lang w:val="en-GB" w:eastAsia="en-US"/>
    </w:rPr>
  </w:style>
  <w:style w:type="paragraph" w:customStyle="1" w:styleId="Chapter">
    <w:name w:val="Chapter"/>
    <w:basedOn w:val="Normal"/>
    <w:rsid w:val="00FA2896"/>
    <w:pPr>
      <w:spacing w:before="240"/>
    </w:pPr>
    <w:rPr>
      <w:rFonts w:ascii="Times New Roman" w:hAnsi="Times New Roman"/>
      <w:smallCaps/>
      <w:spacing w:val="80"/>
      <w:sz w:val="28"/>
    </w:rPr>
  </w:style>
  <w:style w:type="paragraph" w:customStyle="1" w:styleId="InChapter">
    <w:name w:val="InChapter"/>
    <w:basedOn w:val="Heading3"/>
    <w:rsid w:val="00FA2896"/>
    <w:pPr>
      <w:spacing w:after="240"/>
      <w:outlineLvl w:val="9"/>
    </w:pPr>
    <w:rPr>
      <w:noProof/>
    </w:rPr>
  </w:style>
  <w:style w:type="paragraph" w:styleId="Index2">
    <w:name w:val="index 2"/>
    <w:basedOn w:val="Normal"/>
    <w:next w:val="Normal"/>
    <w:semiHidden/>
    <w:rsid w:val="00FA2896"/>
    <w:pPr>
      <w:tabs>
        <w:tab w:val="right" w:pos="4176"/>
      </w:tabs>
      <w:ind w:left="568" w:hanging="284"/>
    </w:pPr>
    <w:rPr>
      <w:rFonts w:ascii="Garamond" w:hAnsi="Garamond"/>
    </w:rPr>
  </w:style>
  <w:style w:type="paragraph" w:customStyle="1" w:styleId="Byline">
    <w:name w:val="Byline"/>
    <w:rsid w:val="00FA2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896"/>
    <w:pPr>
      <w:tabs>
        <w:tab w:val="clear" w:pos="3600"/>
        <w:tab w:val="clear" w:pos="3958"/>
      </w:tabs>
      <w:jc w:val="right"/>
    </w:pPr>
  </w:style>
  <w:style w:type="character" w:styleId="Emphasis">
    <w:name w:val="Emphasis"/>
    <w:basedOn w:val="DefaultParagraphFont"/>
    <w:qFormat/>
    <w:rsid w:val="00FA2896"/>
    <w:rPr>
      <w:i/>
    </w:rPr>
  </w:style>
  <w:style w:type="paragraph" w:styleId="Caption">
    <w:name w:val="caption"/>
    <w:basedOn w:val="BodyText"/>
    <w:next w:val="Normal"/>
    <w:qFormat/>
    <w:rsid w:val="00FA2896"/>
    <w:pPr>
      <w:framePr w:w="2268" w:hSpace="181" w:vSpace="181" w:wrap="around" w:vAnchor="text" w:hAnchor="page" w:x="1135" w:y="285" w:anchorLock="1"/>
    </w:pPr>
    <w:rPr>
      <w:i/>
    </w:rPr>
  </w:style>
  <w:style w:type="paragraph" w:customStyle="1" w:styleId="MiniTOCTitle">
    <w:name w:val="MiniTOCTitle"/>
    <w:basedOn w:val="Heading4"/>
    <w:rsid w:val="00FA2896"/>
    <w:pPr>
      <w:spacing w:before="240"/>
      <w:outlineLvl w:val="9"/>
    </w:pPr>
    <w:rPr>
      <w:noProof/>
      <w:sz w:val="24"/>
    </w:rPr>
  </w:style>
  <w:style w:type="paragraph" w:customStyle="1" w:styleId="MiniTOCItem">
    <w:name w:val="MiniTOCItem"/>
    <w:basedOn w:val="ListBullet"/>
    <w:rsid w:val="00FA2896"/>
    <w:pPr>
      <w:numPr>
        <w:numId w:val="0"/>
      </w:numPr>
      <w:tabs>
        <w:tab w:val="right" w:leader="dot" w:pos="6521"/>
      </w:tabs>
      <w:spacing w:before="0" w:after="0"/>
    </w:pPr>
  </w:style>
  <w:style w:type="paragraph" w:customStyle="1" w:styleId="TOFTitle">
    <w:name w:val="TOFTitle"/>
    <w:basedOn w:val="TOCTitle"/>
    <w:rsid w:val="00FA2896"/>
  </w:style>
  <w:style w:type="paragraph" w:styleId="TableofFigures">
    <w:name w:val="table of figures"/>
    <w:basedOn w:val="Normal"/>
    <w:next w:val="Normal"/>
    <w:semiHidden/>
    <w:rsid w:val="00FA2896"/>
    <w:pPr>
      <w:tabs>
        <w:tab w:val="right" w:leader="dot" w:pos="9072"/>
      </w:tabs>
      <w:ind w:left="970" w:hanging="403"/>
    </w:pPr>
    <w:rPr>
      <w:rFonts w:ascii="Times New Roman" w:hAnsi="Times New Roman"/>
      <w:b/>
    </w:rPr>
  </w:style>
  <w:style w:type="paragraph" w:styleId="ListNumber">
    <w:name w:val="List Number"/>
    <w:basedOn w:val="List"/>
    <w:rsid w:val="00FA2896"/>
    <w:pPr>
      <w:numPr>
        <w:numId w:val="14"/>
      </w:numPr>
      <w:tabs>
        <w:tab w:val="clear" w:pos="340"/>
      </w:tabs>
    </w:pPr>
  </w:style>
  <w:style w:type="character" w:customStyle="1" w:styleId="WingdingSymbols">
    <w:name w:val="Wingding Symbols"/>
    <w:rsid w:val="00FA2896"/>
    <w:rPr>
      <w:rFonts w:ascii="Wingdings" w:hAnsi="Wingdings"/>
    </w:rPr>
  </w:style>
  <w:style w:type="paragraph" w:customStyle="1" w:styleId="TableHeading">
    <w:name w:val="Table Heading"/>
    <w:basedOn w:val="HeadingBase"/>
    <w:rsid w:val="00FA2896"/>
    <w:pPr>
      <w:keepLines/>
      <w:pBdr>
        <w:bottom w:val="single" w:sz="6" w:space="1" w:color="918585"/>
      </w:pBdr>
      <w:spacing w:before="240"/>
    </w:pPr>
  </w:style>
  <w:style w:type="character" w:customStyle="1" w:styleId="HotSpot">
    <w:name w:val="HotSpot"/>
    <w:rsid w:val="00FA2896"/>
    <w:rPr>
      <w:color w:val="0033CC"/>
      <w:u w:val="none"/>
    </w:rPr>
  </w:style>
  <w:style w:type="paragraph" w:customStyle="1" w:styleId="BodyTextRight">
    <w:name w:val="Body Text Right"/>
    <w:basedOn w:val="BodyText"/>
    <w:rsid w:val="00FA2896"/>
    <w:pPr>
      <w:spacing w:before="0" w:after="0"/>
      <w:jc w:val="right"/>
    </w:pPr>
  </w:style>
  <w:style w:type="paragraph" w:styleId="Index3">
    <w:name w:val="index 3"/>
    <w:basedOn w:val="ListNumber2"/>
    <w:next w:val="Normal"/>
    <w:semiHidden/>
    <w:rsid w:val="00FA2896"/>
    <w:pPr>
      <w:numPr>
        <w:numId w:val="0"/>
      </w:numPr>
      <w:tabs>
        <w:tab w:val="right" w:leader="dot" w:pos="4176"/>
      </w:tabs>
    </w:pPr>
  </w:style>
  <w:style w:type="paragraph" w:styleId="ListNumber2">
    <w:name w:val="List Number 2"/>
    <w:basedOn w:val="List2"/>
    <w:rsid w:val="00FA2896"/>
    <w:pPr>
      <w:numPr>
        <w:numId w:val="9"/>
      </w:numPr>
      <w:tabs>
        <w:tab w:val="clear" w:pos="1060"/>
      </w:tabs>
    </w:pPr>
  </w:style>
  <w:style w:type="paragraph" w:customStyle="1" w:styleId="MarginNote">
    <w:name w:val="Margin Note"/>
    <w:basedOn w:val="BodyText"/>
    <w:rsid w:val="00FA2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896"/>
    <w:rPr>
      <w:sz w:val="32"/>
    </w:rPr>
  </w:style>
  <w:style w:type="paragraph" w:customStyle="1" w:styleId="HeadingProcedure">
    <w:name w:val="Heading Procedure"/>
    <w:basedOn w:val="HeadingBase"/>
    <w:next w:val="Normal"/>
    <w:rsid w:val="00FA2896"/>
    <w:pPr>
      <w:tabs>
        <w:tab w:val="left" w:pos="0"/>
      </w:tabs>
      <w:spacing w:before="120" w:after="60"/>
    </w:pPr>
    <w:rPr>
      <w:i/>
      <w:color w:val="918585"/>
      <w:sz w:val="22"/>
    </w:rPr>
  </w:style>
  <w:style w:type="paragraph" w:customStyle="1" w:styleId="TableBodyText">
    <w:name w:val="Table Body Text"/>
    <w:basedOn w:val="BodyText"/>
    <w:rsid w:val="00FA2896"/>
    <w:pPr>
      <w:spacing w:before="60" w:after="60"/>
    </w:pPr>
  </w:style>
  <w:style w:type="paragraph" w:styleId="ListContinue">
    <w:name w:val="List Continue"/>
    <w:basedOn w:val="List"/>
    <w:rsid w:val="00FA2896"/>
    <w:pPr>
      <w:ind w:firstLine="0"/>
    </w:pPr>
  </w:style>
  <w:style w:type="paragraph" w:customStyle="1" w:styleId="ListNote">
    <w:name w:val="List Note"/>
    <w:basedOn w:val="List"/>
    <w:rsid w:val="00FA2896"/>
    <w:pPr>
      <w:pBdr>
        <w:top w:val="single" w:sz="6" w:space="2" w:color="918585"/>
        <w:bottom w:val="single" w:sz="6" w:space="2" w:color="918585"/>
      </w:pBdr>
      <w:tabs>
        <w:tab w:val="left" w:pos="1021"/>
      </w:tabs>
      <w:ind w:firstLine="0"/>
    </w:pPr>
  </w:style>
  <w:style w:type="paragraph" w:customStyle="1" w:styleId="Warning">
    <w:name w:val="Warning"/>
    <w:basedOn w:val="BodyText"/>
    <w:rsid w:val="00FA2896"/>
    <w:pPr>
      <w:shd w:val="clear" w:color="auto" w:fill="D9D9D9"/>
      <w:tabs>
        <w:tab w:val="left" w:pos="992"/>
      </w:tabs>
      <w:ind w:left="119" w:right="119"/>
    </w:pPr>
    <w:rPr>
      <w:sz w:val="20"/>
    </w:rPr>
  </w:style>
  <w:style w:type="paragraph" w:customStyle="1" w:styleId="MarginIcons">
    <w:name w:val="Margin Icons"/>
    <w:basedOn w:val="BodyText"/>
    <w:rsid w:val="00FA2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896"/>
    <w:rPr>
      <w:rFonts w:ascii="Courier New" w:hAnsi="Courier New"/>
    </w:rPr>
  </w:style>
  <w:style w:type="paragraph" w:customStyle="1" w:styleId="NoteBullet">
    <w:name w:val="Note Bullet"/>
    <w:basedOn w:val="Note"/>
    <w:rsid w:val="00FA2896"/>
    <w:pPr>
      <w:tabs>
        <w:tab w:val="clear" w:pos="680"/>
      </w:tabs>
      <w:spacing w:before="60" w:after="60"/>
    </w:pPr>
  </w:style>
  <w:style w:type="paragraph" w:customStyle="1" w:styleId="SubHeading2">
    <w:name w:val="SubHeading2"/>
    <w:basedOn w:val="HeadingBase"/>
    <w:rsid w:val="00FA2896"/>
    <w:pPr>
      <w:spacing w:before="240" w:after="60"/>
    </w:pPr>
    <w:rPr>
      <w:sz w:val="20"/>
    </w:rPr>
  </w:style>
  <w:style w:type="paragraph" w:customStyle="1" w:styleId="SubHeading1">
    <w:name w:val="SubHeading1"/>
    <w:basedOn w:val="HeadingBase"/>
    <w:rsid w:val="00FA2896"/>
    <w:pPr>
      <w:spacing w:before="240" w:after="60"/>
    </w:pPr>
    <w:rPr>
      <w:color w:val="918585"/>
      <w:sz w:val="22"/>
    </w:rPr>
  </w:style>
  <w:style w:type="paragraph" w:customStyle="1" w:styleId="SideHeading">
    <w:name w:val="Side Heading"/>
    <w:basedOn w:val="HeadingBase"/>
    <w:rsid w:val="00FA2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896"/>
    <w:pPr>
      <w:numPr>
        <w:numId w:val="10"/>
      </w:numPr>
    </w:pPr>
  </w:style>
  <w:style w:type="paragraph" w:styleId="PlainText">
    <w:name w:val="Plain Text"/>
    <w:basedOn w:val="Normal"/>
    <w:link w:val="PlainTextChar"/>
    <w:rsid w:val="00FA2896"/>
    <w:rPr>
      <w:sz w:val="20"/>
    </w:rPr>
  </w:style>
  <w:style w:type="character" w:customStyle="1" w:styleId="PlainTextChar">
    <w:name w:val="Plain Text Char"/>
    <w:basedOn w:val="DefaultParagraphFont"/>
    <w:link w:val="PlainText"/>
    <w:rsid w:val="00FA2896"/>
    <w:rPr>
      <w:rFonts w:ascii="Courier New" w:eastAsia="Times New Roman" w:hAnsi="Courier New" w:cs="Times New Roman"/>
      <w:sz w:val="20"/>
      <w:szCs w:val="20"/>
      <w:lang w:eastAsia="en-US"/>
    </w:rPr>
  </w:style>
  <w:style w:type="character" w:customStyle="1" w:styleId="MenuOption">
    <w:name w:val="Menu Option"/>
    <w:basedOn w:val="DefaultParagraphFont"/>
    <w:rsid w:val="00FA2896"/>
    <w:rPr>
      <w:b/>
      <w:smallCaps/>
    </w:rPr>
  </w:style>
  <w:style w:type="paragraph" w:customStyle="1" w:styleId="TableListNumber">
    <w:name w:val="Table List Number"/>
    <w:basedOn w:val="ListNumber"/>
    <w:rsid w:val="00FA2896"/>
    <w:pPr>
      <w:numPr>
        <w:numId w:val="0"/>
      </w:numPr>
    </w:pPr>
  </w:style>
  <w:style w:type="paragraph" w:styleId="TOC4">
    <w:name w:val="toc 4"/>
    <w:basedOn w:val="TOCBase"/>
    <w:next w:val="Normal"/>
    <w:semiHidden/>
    <w:rsid w:val="00FA2896"/>
    <w:pPr>
      <w:tabs>
        <w:tab w:val="right" w:leader="dot" w:pos="9071"/>
      </w:tabs>
      <w:ind w:left="1701"/>
    </w:pPr>
  </w:style>
  <w:style w:type="paragraph" w:customStyle="1" w:styleId="ListAlpha">
    <w:name w:val="List Alpha"/>
    <w:basedOn w:val="List"/>
    <w:rsid w:val="00FA2896"/>
    <w:pPr>
      <w:numPr>
        <w:numId w:val="8"/>
      </w:numPr>
    </w:pPr>
  </w:style>
  <w:style w:type="paragraph" w:customStyle="1" w:styleId="ListAlpha2">
    <w:name w:val="List Alpha 2"/>
    <w:basedOn w:val="List2"/>
    <w:rsid w:val="00FA2896"/>
    <w:pPr>
      <w:numPr>
        <w:numId w:val="7"/>
      </w:numPr>
    </w:pPr>
  </w:style>
  <w:style w:type="paragraph" w:styleId="List2">
    <w:name w:val="List 2"/>
    <w:basedOn w:val="BodyText"/>
    <w:rsid w:val="00FA2896"/>
    <w:pPr>
      <w:tabs>
        <w:tab w:val="left" w:pos="680"/>
      </w:tabs>
      <w:spacing w:before="60" w:after="60"/>
      <w:ind w:left="680" w:hanging="340"/>
    </w:pPr>
  </w:style>
  <w:style w:type="paragraph" w:styleId="List3">
    <w:name w:val="List 3"/>
    <w:basedOn w:val="BodyText"/>
    <w:rsid w:val="00FA2896"/>
    <w:pPr>
      <w:tabs>
        <w:tab w:val="left" w:pos="1021"/>
      </w:tabs>
      <w:spacing w:before="60" w:after="60"/>
      <w:ind w:left="1020" w:hanging="340"/>
    </w:pPr>
  </w:style>
  <w:style w:type="paragraph" w:styleId="List4">
    <w:name w:val="List 4"/>
    <w:basedOn w:val="BodyText"/>
    <w:rsid w:val="00FA2896"/>
    <w:pPr>
      <w:tabs>
        <w:tab w:val="left" w:pos="1361"/>
      </w:tabs>
      <w:spacing w:before="60" w:after="60"/>
      <w:ind w:left="1361" w:hanging="340"/>
    </w:pPr>
  </w:style>
  <w:style w:type="paragraph" w:styleId="List5">
    <w:name w:val="List 5"/>
    <w:basedOn w:val="BodyText"/>
    <w:rsid w:val="00FA2896"/>
    <w:pPr>
      <w:tabs>
        <w:tab w:val="left" w:pos="1701"/>
      </w:tabs>
      <w:spacing w:before="60" w:after="60"/>
      <w:ind w:left="1701" w:hanging="340"/>
    </w:pPr>
  </w:style>
  <w:style w:type="paragraph" w:styleId="ListBullet3">
    <w:name w:val="List Bullet 3"/>
    <w:basedOn w:val="List3"/>
    <w:rsid w:val="00FA2896"/>
    <w:pPr>
      <w:numPr>
        <w:numId w:val="13"/>
      </w:numPr>
      <w:tabs>
        <w:tab w:val="clear" w:pos="1021"/>
      </w:tabs>
      <w:ind w:left="1037" w:hanging="357"/>
    </w:pPr>
  </w:style>
  <w:style w:type="paragraph" w:styleId="ListBullet4">
    <w:name w:val="List Bullet 4"/>
    <w:basedOn w:val="List4"/>
    <w:rsid w:val="00FA2896"/>
    <w:pPr>
      <w:numPr>
        <w:numId w:val="2"/>
      </w:numPr>
      <w:tabs>
        <w:tab w:val="clear" w:pos="1361"/>
      </w:tabs>
    </w:pPr>
  </w:style>
  <w:style w:type="paragraph" w:styleId="ListBullet5">
    <w:name w:val="List Bullet 5"/>
    <w:basedOn w:val="List5"/>
    <w:rsid w:val="00FA2896"/>
    <w:pPr>
      <w:numPr>
        <w:numId w:val="3"/>
      </w:numPr>
    </w:pPr>
  </w:style>
  <w:style w:type="paragraph" w:styleId="ListContinue2">
    <w:name w:val="List Continue 2"/>
    <w:basedOn w:val="List2"/>
    <w:rsid w:val="00FA2896"/>
    <w:pPr>
      <w:ind w:firstLine="0"/>
    </w:pPr>
  </w:style>
  <w:style w:type="paragraph" w:styleId="ListContinue3">
    <w:name w:val="List Continue 3"/>
    <w:basedOn w:val="List3"/>
    <w:rsid w:val="00FA2896"/>
    <w:pPr>
      <w:ind w:left="1021" w:firstLine="0"/>
    </w:pPr>
  </w:style>
  <w:style w:type="paragraph" w:styleId="ListContinue4">
    <w:name w:val="List Continue 4"/>
    <w:basedOn w:val="List4"/>
    <w:rsid w:val="00FA2896"/>
    <w:pPr>
      <w:ind w:firstLine="0"/>
    </w:pPr>
  </w:style>
  <w:style w:type="paragraph" w:styleId="ListContinue5">
    <w:name w:val="List Continue 5"/>
    <w:basedOn w:val="List5"/>
    <w:rsid w:val="00FA2896"/>
    <w:pPr>
      <w:ind w:firstLine="0"/>
    </w:pPr>
  </w:style>
  <w:style w:type="paragraph" w:styleId="ListNumber3">
    <w:name w:val="List Number 3"/>
    <w:basedOn w:val="List3"/>
    <w:rsid w:val="00FA2896"/>
    <w:pPr>
      <w:numPr>
        <w:numId w:val="4"/>
      </w:numPr>
    </w:pPr>
  </w:style>
  <w:style w:type="paragraph" w:styleId="ListNumber4">
    <w:name w:val="List Number 4"/>
    <w:basedOn w:val="List4"/>
    <w:rsid w:val="00FA2896"/>
    <w:pPr>
      <w:numPr>
        <w:numId w:val="5"/>
      </w:numPr>
    </w:pPr>
  </w:style>
  <w:style w:type="paragraph" w:styleId="ListNumber5">
    <w:name w:val="List Number 5"/>
    <w:basedOn w:val="List5"/>
    <w:rsid w:val="00FA2896"/>
    <w:pPr>
      <w:numPr>
        <w:numId w:val="6"/>
      </w:numPr>
    </w:pPr>
  </w:style>
  <w:style w:type="paragraph" w:styleId="BlockText">
    <w:name w:val="Block Text"/>
    <w:basedOn w:val="Normal"/>
    <w:rsid w:val="00FA2896"/>
    <w:pPr>
      <w:spacing w:after="120"/>
      <w:ind w:left="1440" w:right="1440"/>
    </w:pPr>
  </w:style>
  <w:style w:type="character" w:customStyle="1" w:styleId="Subscript">
    <w:name w:val="Subscript"/>
    <w:basedOn w:val="DefaultParagraphFont"/>
    <w:rsid w:val="00FA2896"/>
    <w:rPr>
      <w:sz w:val="16"/>
      <w:vertAlign w:val="subscript"/>
    </w:rPr>
  </w:style>
  <w:style w:type="character" w:customStyle="1" w:styleId="Superscript">
    <w:name w:val="Superscript"/>
    <w:basedOn w:val="DefaultParagraphFont"/>
    <w:rsid w:val="00FA2896"/>
    <w:rPr>
      <w:sz w:val="16"/>
      <w:vertAlign w:val="superscript"/>
    </w:rPr>
  </w:style>
  <w:style w:type="character" w:customStyle="1" w:styleId="Symbols">
    <w:name w:val="Symbols"/>
    <w:basedOn w:val="DefaultParagraphFont"/>
    <w:rsid w:val="00FA2896"/>
    <w:rPr>
      <w:rFonts w:ascii="Symbol" w:hAnsi="Symbol"/>
    </w:rPr>
  </w:style>
  <w:style w:type="character" w:customStyle="1" w:styleId="MenuOptions">
    <w:name w:val="Menu Options"/>
    <w:basedOn w:val="DefaultParagraphFont"/>
    <w:rsid w:val="00FA2896"/>
    <w:rPr>
      <w:rFonts w:ascii="Arial Narrow" w:hAnsi="Arial Narrow"/>
      <w:smallCaps/>
    </w:rPr>
  </w:style>
  <w:style w:type="character" w:customStyle="1" w:styleId="Buttons">
    <w:name w:val="Buttons"/>
    <w:basedOn w:val="DefaultParagraphFont"/>
    <w:rsid w:val="00FA2896"/>
    <w:rPr>
      <w:b/>
    </w:rPr>
  </w:style>
  <w:style w:type="character" w:customStyle="1" w:styleId="Underlined">
    <w:name w:val="Underlined"/>
    <w:basedOn w:val="DefaultParagraphFont"/>
    <w:rsid w:val="00FA2896"/>
    <w:rPr>
      <w:u w:val="single"/>
    </w:rPr>
  </w:style>
  <w:style w:type="paragraph" w:customStyle="1" w:styleId="TableBodyTextRight">
    <w:name w:val="Table Body Text Right"/>
    <w:basedOn w:val="TableBodyText"/>
    <w:rsid w:val="00FA2896"/>
    <w:pPr>
      <w:widowControl w:val="0"/>
      <w:autoSpaceDE w:val="0"/>
      <w:autoSpaceDN w:val="0"/>
      <w:adjustRightInd w:val="0"/>
      <w:jc w:val="right"/>
    </w:pPr>
    <w:rPr>
      <w:rFonts w:cs="Arial"/>
      <w:szCs w:val="18"/>
    </w:rPr>
  </w:style>
  <w:style w:type="paragraph" w:customStyle="1" w:styleId="CopyrightText">
    <w:name w:val="Copyright Text"/>
    <w:basedOn w:val="BodyText"/>
    <w:rsid w:val="00FA2896"/>
    <w:rPr>
      <w:sz w:val="18"/>
    </w:rPr>
  </w:style>
  <w:style w:type="paragraph" w:customStyle="1" w:styleId="BodySmallRight">
    <w:name w:val="Body Small Right"/>
    <w:basedOn w:val="BodyTextRight"/>
    <w:rsid w:val="00FA2896"/>
    <w:rPr>
      <w:sz w:val="18"/>
      <w:szCs w:val="18"/>
    </w:rPr>
  </w:style>
  <w:style w:type="paragraph" w:customStyle="1" w:styleId="MarginEdition">
    <w:name w:val="Margin Edition"/>
    <w:basedOn w:val="MarginNote"/>
    <w:rsid w:val="00FA2896"/>
    <w:pPr>
      <w:spacing w:before="0" w:after="0"/>
    </w:pPr>
    <w:rPr>
      <w:rFonts w:ascii="Times New Roman" w:hAnsi="Times New Roman"/>
      <w:color w:val="999999"/>
    </w:rPr>
  </w:style>
  <w:style w:type="paragraph" w:customStyle="1" w:styleId="Spacer">
    <w:name w:val="Spacer"/>
    <w:basedOn w:val="Normal"/>
    <w:rsid w:val="00FA2896"/>
    <w:rPr>
      <w:sz w:val="2"/>
      <w:szCs w:val="2"/>
    </w:rPr>
  </w:style>
  <w:style w:type="character" w:customStyle="1" w:styleId="Small">
    <w:name w:val="Small"/>
    <w:basedOn w:val="DefaultParagraphFont"/>
    <w:rsid w:val="00FA2896"/>
    <w:rPr>
      <w:sz w:val="16"/>
    </w:rPr>
  </w:style>
  <w:style w:type="paragraph" w:customStyle="1" w:styleId="WideTable">
    <w:name w:val="Wide Table"/>
    <w:basedOn w:val="Normal"/>
    <w:rsid w:val="00FA2896"/>
    <w:pPr>
      <w:ind w:left="-1418"/>
    </w:pPr>
    <w:rPr>
      <w:sz w:val="2"/>
      <w:szCs w:val="2"/>
    </w:rPr>
  </w:style>
  <w:style w:type="character" w:styleId="PageNumber">
    <w:name w:val="page number"/>
    <w:basedOn w:val="DefaultParagraphFont"/>
    <w:rsid w:val="00FA2896"/>
  </w:style>
  <w:style w:type="paragraph" w:styleId="Quote">
    <w:name w:val="Quote"/>
    <w:basedOn w:val="Heading1"/>
    <w:link w:val="QuoteChar"/>
    <w:qFormat/>
    <w:rsid w:val="00FA2896"/>
    <w:rPr>
      <w:b w:val="0"/>
      <w:sz w:val="72"/>
      <w:szCs w:val="72"/>
      <w:lang w:val="en-NZ"/>
    </w:rPr>
  </w:style>
  <w:style w:type="character" w:customStyle="1" w:styleId="QuoteChar">
    <w:name w:val="Quote Char"/>
    <w:basedOn w:val="DefaultParagraphFont"/>
    <w:link w:val="Quote"/>
    <w:rsid w:val="00FA2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896"/>
    <w:pPr>
      <w:pageBreakBefore/>
    </w:pPr>
  </w:style>
  <w:style w:type="paragraph" w:customStyle="1" w:styleId="Border">
    <w:name w:val="Border"/>
    <w:basedOn w:val="Normal"/>
    <w:qFormat/>
    <w:rsid w:val="00FA2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896"/>
    <w:rPr>
      <w:b/>
      <w:bCs/>
      <w:i/>
      <w:iCs/>
      <w:color w:val="auto"/>
    </w:rPr>
  </w:style>
  <w:style w:type="paragraph" w:styleId="IntenseQuote">
    <w:name w:val="Intense Quote"/>
    <w:basedOn w:val="Normal"/>
    <w:next w:val="Normal"/>
    <w:link w:val="IntenseQuoteChar"/>
    <w:uiPriority w:val="30"/>
    <w:qFormat/>
    <w:rsid w:val="00FA2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896"/>
    <w:rPr>
      <w:smallCaps/>
      <w:color w:val="auto"/>
      <w:u w:val="single"/>
    </w:rPr>
  </w:style>
  <w:style w:type="character" w:styleId="IntenseReference">
    <w:name w:val="Intense Reference"/>
    <w:basedOn w:val="DefaultParagraphFont"/>
    <w:uiPriority w:val="32"/>
    <w:qFormat/>
    <w:rsid w:val="00FA2896"/>
    <w:rPr>
      <w:b/>
      <w:bCs/>
      <w:smallCaps/>
      <w:color w:val="auto"/>
      <w:spacing w:val="5"/>
      <w:u w:val="single"/>
    </w:rPr>
  </w:style>
  <w:style w:type="paragraph" w:customStyle="1" w:styleId="2ColumnHeading">
    <w:name w:val="2Column Heading"/>
    <w:basedOn w:val="BodyText"/>
    <w:qFormat/>
    <w:rsid w:val="00FA2896"/>
    <w:pPr>
      <w:spacing w:after="60"/>
      <w:ind w:left="-2268"/>
    </w:pPr>
    <w:rPr>
      <w:b/>
    </w:rPr>
  </w:style>
  <w:style w:type="paragraph" w:customStyle="1" w:styleId="Heading1TOC">
    <w:name w:val="Heading1 TOC"/>
    <w:basedOn w:val="Normal"/>
    <w:qFormat/>
    <w:rsid w:val="00FA2896"/>
    <w:pPr>
      <w:spacing w:before="240" w:after="120"/>
    </w:pPr>
    <w:rPr>
      <w:rFonts w:ascii="Times New Roman" w:hAnsi="Times New Roman"/>
      <w:b/>
      <w:sz w:val="32"/>
    </w:rPr>
  </w:style>
  <w:style w:type="paragraph" w:customStyle="1" w:styleId="Heading2TOC">
    <w:name w:val="Heading2 TOC"/>
    <w:basedOn w:val="Normal"/>
    <w:qFormat/>
    <w:rsid w:val="00FA2896"/>
    <w:pPr>
      <w:spacing w:before="240" w:after="60"/>
    </w:pPr>
    <w:rPr>
      <w:rFonts w:ascii="Times New Roman" w:hAnsi="Times New Roman"/>
      <w:b/>
      <w:sz w:val="28"/>
    </w:rPr>
  </w:style>
  <w:style w:type="character" w:customStyle="1" w:styleId="Underline">
    <w:name w:val="Underline"/>
    <w:basedOn w:val="DefaultParagraphFont"/>
    <w:qFormat/>
    <w:rsid w:val="00FA2896"/>
    <w:rPr>
      <w:u w:val="single"/>
    </w:rPr>
  </w:style>
  <w:style w:type="character" w:customStyle="1" w:styleId="BoldandItalics">
    <w:name w:val="Bold and Italics"/>
    <w:qFormat/>
    <w:rsid w:val="00FA2896"/>
    <w:rPr>
      <w:b/>
      <w:i/>
      <w:u w:val="none"/>
    </w:rPr>
  </w:style>
  <w:style w:type="paragraph" w:styleId="BalloonText">
    <w:name w:val="Balloon Text"/>
    <w:basedOn w:val="Normal"/>
    <w:link w:val="BalloonTextChar"/>
    <w:rsid w:val="00FA2896"/>
    <w:rPr>
      <w:rFonts w:ascii="Tahoma" w:hAnsi="Tahoma" w:cs="Tahoma"/>
      <w:sz w:val="16"/>
      <w:szCs w:val="16"/>
    </w:rPr>
  </w:style>
  <w:style w:type="character" w:customStyle="1" w:styleId="BalloonTextChar">
    <w:name w:val="Balloon Text Char"/>
    <w:basedOn w:val="DefaultParagraphFont"/>
    <w:link w:val="BalloonText"/>
    <w:rsid w:val="00FA2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896"/>
    <w:rPr>
      <w:b/>
      <w:color w:val="660033"/>
      <w:spacing w:val="0"/>
    </w:rPr>
  </w:style>
  <w:style w:type="paragraph" w:customStyle="1" w:styleId="Nameditemlist">
    <w:name w:val="Named item list"/>
    <w:basedOn w:val="BodyText"/>
    <w:qFormat/>
    <w:rsid w:val="00FA2896"/>
    <w:pPr>
      <w:tabs>
        <w:tab w:val="left" w:pos="2835"/>
      </w:tabs>
      <w:ind w:left="2835" w:hanging="2835"/>
    </w:pPr>
  </w:style>
  <w:style w:type="paragraph" w:customStyle="1" w:styleId="BodyTextnopadding">
    <w:name w:val="Body Text no padding"/>
    <w:basedOn w:val="BodyText"/>
    <w:qFormat/>
    <w:rsid w:val="00FA2896"/>
    <w:pPr>
      <w:spacing w:before="0" w:after="0"/>
    </w:pPr>
  </w:style>
  <w:style w:type="paragraph" w:customStyle="1" w:styleId="BodyTextBold">
    <w:name w:val="Body Text Bold"/>
    <w:basedOn w:val="BodyText"/>
    <w:qFormat/>
    <w:rsid w:val="00FA2896"/>
    <w:rPr>
      <w:b/>
    </w:rPr>
  </w:style>
  <w:style w:type="character" w:styleId="Hyperlink">
    <w:name w:val="Hyperlink"/>
    <w:basedOn w:val="DefaultParagraphFont"/>
    <w:uiPriority w:val="99"/>
    <w:unhideWhenUsed/>
    <w:rsid w:val="00863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5158</Characters>
  <Application>Microsoft Office Word</Application>
  <DocSecurity>0</DocSecurity>
  <Lines>257</Lines>
  <Paragraphs>153</Paragraphs>
  <ScaleCrop>false</ScaleCrop>
  <Company>Author-it Software Corporation Ltd.</Company>
  <LinksUpToDate>false</LinksUpToDate>
  <CharactersWithSpaces>5830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MEM04023 Undertake prescribed tests on foundry-related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