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5A7" w:rsidP="003D6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MEM04023 Undertake prescribed tests on foundry-related materials</w:t>
      </w:r>
      <w:r>
        <w:fldChar w:fldCharType="end"/>
      </w:r>
    </w:p>
    <w:p w:rsidR="003D65A7" w:rsidP="003D65A7">
      <w:pPr>
        <w:pStyle w:val="Version"/>
        <w:sectPr w:rsidSect="00106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7EC" w:rsidP="001067EC">
      <w:pPr>
        <w:pStyle w:val="SuperHeading"/>
      </w:pPr>
      <w:r w:rsidRPr="001067EC">
        <w:t>Assessment Requirements for MEM04023 Undertake prescribed tests on foundry-related materials</w:t>
      </w:r>
    </w:p>
    <w:p w:rsidR="00000000" w:rsidRPr="001067EC" w:rsidP="001067EC">
      <w:pPr>
        <w:pStyle w:val="Heading1"/>
      </w:pPr>
      <w:bookmarkStart w:id="1" w:name="O_943266"/>
      <w:bookmarkEnd w:id="1"/>
      <w:r w:rsidRPr="001067EC">
        <w:t>Modification History</w:t>
      </w:r>
    </w:p>
    <w:p w:rsidR="00000000" w:rsidRPr="001067EC" w:rsidP="003D65A7">
      <w:pPr>
        <w:pStyle w:val="BodyText"/>
      </w:pPr>
      <w:r w:rsidRPr="001067EC">
        <w:t>Release 1. Supersedes and is equivalent to MEM04023A Undertake prescribed tests on foundry related materials</w:t>
      </w:r>
    </w:p>
    <w:p w:rsidR="00000000" w:rsidRPr="001067EC" w:rsidP="001067EC">
      <w:pPr>
        <w:pStyle w:val="Heading1"/>
      </w:pPr>
      <w:bookmarkStart w:id="2" w:name="O_943269"/>
      <w:bookmarkEnd w:id="2"/>
      <w:r w:rsidRPr="001067EC">
        <w:t>Performance Evidence</w:t>
      </w:r>
    </w:p>
    <w:p w:rsidR="00000000" w:rsidRPr="001067EC" w:rsidP="003D65A7">
      <w:pPr>
        <w:pStyle w:val="BodyText"/>
      </w:pPr>
      <w:r w:rsidRPr="001067EC">
        <w:t>Evidence required to demonstrate competence in this unit must be relevant to and satisfy the requirements of the elements and performance criteria on at least two (2) occasions and include:</w:t>
      </w:r>
    </w:p>
    <w:p w:rsidR="00000000" w:rsidRPr="001067EC" w:rsidP="001067EC">
      <w:pPr>
        <w:pStyle w:val="ListBullet"/>
      </w:pPr>
      <w:r w:rsidRPr="001067EC">
        <w:t>following work instructions, standar</w:t>
      </w:r>
      <w:r w:rsidRPr="001067EC">
        <w:t xml:space="preserve">d operating procedures (SOPs) and safe work practices </w:t>
      </w:r>
    </w:p>
    <w:p w:rsidR="00000000" w:rsidRPr="001067EC" w:rsidP="001067EC">
      <w:pPr>
        <w:pStyle w:val="ListBullet"/>
      </w:pPr>
      <w:r w:rsidRPr="001067EC">
        <w:t xml:space="preserve">selecting of appropriate test methods from a prescribed range of tests against predetermined specifications and standards </w:t>
      </w:r>
    </w:p>
    <w:p w:rsidR="00000000" w:rsidRPr="001067EC" w:rsidP="001067EC">
      <w:pPr>
        <w:pStyle w:val="ListBullet"/>
      </w:pPr>
      <w:r w:rsidRPr="001067EC">
        <w:t>preparing samples according to appropriate procedures</w:t>
      </w:r>
    </w:p>
    <w:p w:rsidR="00000000" w:rsidRPr="001067EC" w:rsidP="001067EC">
      <w:pPr>
        <w:pStyle w:val="ListBullet"/>
      </w:pPr>
      <w:r w:rsidRPr="001067EC">
        <w:t>ensuring the test instru</w:t>
      </w:r>
      <w:r w:rsidRPr="001067EC">
        <w:t>ment is prepared according to specifications, standards and procedures</w:t>
      </w:r>
    </w:p>
    <w:p w:rsidR="00000000" w:rsidRPr="001067EC" w:rsidP="001067EC">
      <w:pPr>
        <w:pStyle w:val="ListBullet"/>
      </w:pPr>
      <w:r w:rsidRPr="001067EC">
        <w:t>conducting tests either in a workplace or suitable laboratory facility, including:</w:t>
      </w:r>
    </w:p>
    <w:p w:rsidR="00000000" w:rsidRPr="001067EC" w:rsidP="001067EC">
      <w:pPr>
        <w:pStyle w:val="ListBullet2"/>
      </w:pPr>
      <w:r w:rsidRPr="001067EC">
        <w:t>selecting appropriate test methods</w:t>
      </w:r>
    </w:p>
    <w:p w:rsidR="00000000" w:rsidRPr="001067EC" w:rsidP="001067EC">
      <w:pPr>
        <w:pStyle w:val="ListBullet2"/>
      </w:pPr>
      <w:r w:rsidRPr="001067EC">
        <w:t>obtaining repeatable results</w:t>
      </w:r>
    </w:p>
    <w:p w:rsidR="00000000" w:rsidRPr="001067EC" w:rsidP="001067EC">
      <w:pPr>
        <w:pStyle w:val="ListBullet2"/>
      </w:pPr>
      <w:r w:rsidRPr="001067EC">
        <w:t>interpreting test results for a found</w:t>
      </w:r>
      <w:r w:rsidRPr="001067EC">
        <w:t>ry</w:t>
      </w:r>
    </w:p>
    <w:p w:rsidR="00000000" w:rsidRPr="001067EC" w:rsidP="001067EC">
      <w:pPr>
        <w:pStyle w:val="ListBullet2"/>
      </w:pPr>
      <w:r w:rsidRPr="001067EC">
        <w:t>obtaining reproducible test results from testing across different samples requiring different sample preparation/test conditions</w:t>
      </w:r>
    </w:p>
    <w:p w:rsidR="00000000" w:rsidRPr="001067EC" w:rsidP="001067EC">
      <w:pPr>
        <w:pStyle w:val="ListBullet"/>
      </w:pPr>
      <w:r w:rsidRPr="001067EC">
        <w:t>arranging other internal/external testing as prescribed</w:t>
      </w:r>
    </w:p>
    <w:p w:rsidR="00000000" w:rsidRPr="001067EC" w:rsidP="001067EC">
      <w:pPr>
        <w:pStyle w:val="ListBullet"/>
      </w:pPr>
      <w:r w:rsidRPr="001067EC">
        <w:t>preparing and circulating reports and filing report in accordance with SOPs.</w:t>
      </w:r>
    </w:p>
    <w:p w:rsidR="00000000" w:rsidRPr="001067EC" w:rsidP="001067EC">
      <w:pPr>
        <w:pStyle w:val="AllowPageBreak"/>
      </w:pPr>
    </w:p>
    <w:p w:rsidR="00000000" w:rsidRPr="001067EC" w:rsidP="001067EC">
      <w:pPr>
        <w:pStyle w:val="Heading1"/>
      </w:pPr>
      <w:bookmarkStart w:id="3" w:name="O_943268"/>
      <w:bookmarkEnd w:id="3"/>
      <w:r w:rsidRPr="001067EC">
        <w:t>Knowledge Evidence</w:t>
      </w:r>
    </w:p>
    <w:p w:rsidR="00000000" w:rsidRPr="001067EC" w:rsidP="003D65A7">
      <w:pPr>
        <w:pStyle w:val="BodyText"/>
      </w:pPr>
      <w:r w:rsidRPr="001067EC">
        <w:t>Evidence required to demonstrate the required knowledge for this unit must be relevant to and satisfy the requirements of the elements and perf</w:t>
      </w:r>
      <w:r w:rsidRPr="001067EC">
        <w:t>ormance criteria and include knowledge of:</w:t>
      </w:r>
    </w:p>
    <w:p w:rsidR="00000000" w:rsidRPr="001067EC" w:rsidP="001067EC">
      <w:pPr>
        <w:pStyle w:val="ListBullet"/>
      </w:pPr>
      <w:r w:rsidRPr="001067EC">
        <w:t>safe work practices and procedures and use of personal protective equipment (PPE)</w:t>
      </w:r>
    </w:p>
    <w:p w:rsidR="00000000" w:rsidRPr="001067EC" w:rsidP="001067EC">
      <w:pPr>
        <w:pStyle w:val="ListBullet"/>
      </w:pPr>
      <w:r w:rsidRPr="001067EC">
        <w:t>standards:</w:t>
      </w:r>
    </w:p>
    <w:p w:rsidR="00000000" w:rsidRPr="001067EC" w:rsidP="001067EC">
      <w:pPr>
        <w:pStyle w:val="ListBullet2"/>
      </w:pPr>
      <w:r w:rsidRPr="001067EC">
        <w:t>needs for standards</w:t>
      </w:r>
    </w:p>
    <w:p w:rsidR="00000000" w:rsidRPr="001067EC" w:rsidP="001067EC">
      <w:pPr>
        <w:pStyle w:val="ListBullet2"/>
      </w:pPr>
      <w:r w:rsidRPr="001067EC">
        <w:t xml:space="preserve">standards organisations </w:t>
      </w:r>
    </w:p>
    <w:p w:rsidR="00000000" w:rsidRPr="001067EC" w:rsidP="001067EC">
      <w:pPr>
        <w:pStyle w:val="ListBullet2"/>
      </w:pPr>
      <w:r w:rsidRPr="001067EC">
        <w:t>structure and operations of Standards Australia (SA)</w:t>
      </w:r>
    </w:p>
    <w:p w:rsidR="00000000" w:rsidRPr="001067EC" w:rsidP="001067EC">
      <w:pPr>
        <w:pStyle w:val="ListBullet"/>
      </w:pPr>
      <w:r w:rsidRPr="001067EC">
        <w:t>the role of Nationa</w:t>
      </w:r>
      <w:r w:rsidRPr="001067EC">
        <w:t>l Association of Testing Australia (NATA):</w:t>
      </w:r>
    </w:p>
    <w:p w:rsidR="00000000" w:rsidRPr="001067EC" w:rsidP="001067EC">
      <w:pPr>
        <w:pStyle w:val="ListBullet"/>
      </w:pPr>
      <w:r w:rsidRPr="001067EC">
        <w:t xml:space="preserve">tensile testing, methods for tensile testing, e.g. AS 1391-2007 Metallic materials – Tensile testing at ambient temperature or equivalent international standard, and determination of tensile properties </w:t>
      </w:r>
    </w:p>
    <w:p w:rsidR="00000000" w:rsidRPr="001067EC" w:rsidP="001067EC">
      <w:pPr>
        <w:pStyle w:val="ListBullet"/>
      </w:pPr>
      <w:r w:rsidRPr="001067EC">
        <w:t>general im</w:t>
      </w:r>
      <w:r w:rsidRPr="001067EC">
        <w:t>pact testing:</w:t>
      </w:r>
    </w:p>
    <w:p w:rsidR="00000000" w:rsidRPr="001067EC" w:rsidP="001067EC">
      <w:pPr>
        <w:pStyle w:val="ListBullet2"/>
      </w:pPr>
      <w:r w:rsidRPr="001067EC">
        <w:t>factors affecting impact properties of materials, impact testing (AS 1544 Methods for impact tests on metals) or equivalent international standard and drop weight tear test (AS 1330-2004 Metallic materials – Drop weight tear test for ferr</w:t>
      </w:r>
      <w:r w:rsidRPr="001067EC">
        <w:t>itic steels) or equivalent international standard</w:t>
      </w:r>
    </w:p>
    <w:p w:rsidR="00000000" w:rsidRPr="001067EC" w:rsidP="001067EC">
      <w:pPr>
        <w:pStyle w:val="ListBullet"/>
      </w:pPr>
      <w:r w:rsidRPr="001067EC">
        <w:t>hardness testing:</w:t>
      </w:r>
    </w:p>
    <w:p w:rsidR="00000000" w:rsidRPr="001067EC" w:rsidP="001067EC">
      <w:pPr>
        <w:pStyle w:val="ListBullet2"/>
      </w:pPr>
      <w:r w:rsidRPr="001067EC">
        <w:t>Vickers hardness testing (AS 1817.1-2003 Metallic materials – Vickers hardness test – Test methods) or equivalent international standard</w:t>
      </w:r>
    </w:p>
    <w:p w:rsidR="00000000" w:rsidRPr="001067EC" w:rsidP="001067EC">
      <w:pPr>
        <w:pStyle w:val="ListBullet2"/>
      </w:pPr>
      <w:r w:rsidRPr="001067EC">
        <w:t>Brinell Hardness Testing (AS 1816.1-2007 Metallic</w:t>
      </w:r>
      <w:r w:rsidRPr="001067EC">
        <w:t xml:space="preserve"> materials Brinell hardness test – Test method) or equivalent international standard</w:t>
      </w:r>
    </w:p>
    <w:p w:rsidR="00000000" w:rsidRPr="001067EC" w:rsidP="001067EC">
      <w:pPr>
        <w:pStyle w:val="ListBullet2"/>
      </w:pPr>
      <w:r w:rsidRPr="001067EC">
        <w:t xml:space="preserve">Rockwell Hardness Testing (AS 1815.1-2007 Metallic materials – Rockwell harness test – Test methods) or equivalent international standard </w:t>
      </w:r>
    </w:p>
    <w:p w:rsidR="00000000" w:rsidRPr="001067EC" w:rsidP="001067EC">
      <w:pPr>
        <w:pStyle w:val="ListBullet2"/>
      </w:pPr>
      <w:r w:rsidRPr="001067EC">
        <w:t>other hardness testing methods (</w:t>
      </w:r>
      <w:r w:rsidRPr="001067EC">
        <w:t>e.g. Equotip and other rebound methods)</w:t>
      </w:r>
    </w:p>
    <w:p w:rsidR="00000000" w:rsidRPr="001067EC" w:rsidP="001067EC">
      <w:pPr>
        <w:pStyle w:val="ListBullet"/>
      </w:pPr>
      <w:r w:rsidRPr="001067EC">
        <w:t>principles of operation, uses and limitations of optical emission spectroscopy (OES) otherwise known as atomic emission spectroscopy (AES)</w:t>
      </w:r>
    </w:p>
    <w:p w:rsidR="00000000" w:rsidRPr="001067EC" w:rsidP="001067EC">
      <w:pPr>
        <w:pStyle w:val="ListBullet"/>
      </w:pPr>
      <w:r w:rsidRPr="001067EC">
        <w:t xml:space="preserve">purpose and scope of the following tests to the level required to determine </w:t>
      </w:r>
      <w:r w:rsidRPr="001067EC">
        <w:t>the suitability or otherwise of the test but not to the level of conducting the test or interpreting the test:</w:t>
      </w:r>
    </w:p>
    <w:p w:rsidR="00000000" w:rsidRPr="001067EC" w:rsidP="001067EC">
      <w:pPr>
        <w:pStyle w:val="ListBullet2"/>
      </w:pPr>
      <w:r w:rsidRPr="001067EC">
        <w:t>fatigue/flex testing</w:t>
      </w:r>
    </w:p>
    <w:p w:rsidR="00000000" w:rsidRPr="001067EC" w:rsidP="001067EC">
      <w:pPr>
        <w:pStyle w:val="ListBullet2"/>
      </w:pPr>
      <w:r w:rsidRPr="001067EC">
        <w:t>creep testing</w:t>
      </w:r>
    </w:p>
    <w:p w:rsidR="00000000" w:rsidRPr="001067EC" w:rsidP="001067EC">
      <w:pPr>
        <w:pStyle w:val="ListBullet2"/>
      </w:pPr>
      <w:r w:rsidRPr="001067EC">
        <w:t>strain test and measurement</w:t>
      </w:r>
    </w:p>
    <w:p w:rsidR="00000000" w:rsidRPr="001067EC" w:rsidP="001067EC">
      <w:pPr>
        <w:pStyle w:val="ListBullet2"/>
      </w:pPr>
      <w:r w:rsidRPr="001067EC">
        <w:t>static shear and bend test</w:t>
      </w:r>
    </w:p>
    <w:p w:rsidR="00000000" w:rsidRPr="001067EC" w:rsidP="001067EC">
      <w:pPr>
        <w:pStyle w:val="ListBullet2"/>
      </w:pPr>
      <w:r w:rsidRPr="001067EC">
        <w:t>ultraviolet-visible (UV-VIS) spectrophotometry</w:t>
      </w:r>
    </w:p>
    <w:p w:rsidR="00000000" w:rsidRPr="001067EC" w:rsidP="001067EC">
      <w:pPr>
        <w:pStyle w:val="ListBullet2"/>
      </w:pPr>
      <w:r w:rsidRPr="001067EC">
        <w:t>infrare</w:t>
      </w:r>
      <w:r w:rsidRPr="001067EC">
        <w:t>d spectroscopy (IR)</w:t>
      </w:r>
    </w:p>
    <w:p w:rsidR="00000000" w:rsidRPr="001067EC" w:rsidP="001067EC">
      <w:pPr>
        <w:pStyle w:val="ListBullet2"/>
      </w:pPr>
      <w:r w:rsidRPr="001067EC">
        <w:t>gas chromatography (GC)</w:t>
      </w:r>
    </w:p>
    <w:p w:rsidR="00000000" w:rsidRPr="001067EC" w:rsidP="001067EC">
      <w:pPr>
        <w:pStyle w:val="ListBullet2"/>
      </w:pPr>
      <w:r w:rsidRPr="001067EC">
        <w:t>X-ray fluorescence (XRF)</w:t>
      </w:r>
    </w:p>
    <w:p w:rsidR="00000000" w:rsidRPr="001067EC" w:rsidP="001067EC">
      <w:pPr>
        <w:pStyle w:val="ListBullet2"/>
      </w:pPr>
      <w:r w:rsidRPr="001067EC">
        <w:t>flame photometry</w:t>
      </w:r>
    </w:p>
    <w:p w:rsidR="00000000" w:rsidRPr="001067EC" w:rsidP="001067EC">
      <w:pPr>
        <w:pStyle w:val="ListBullet2"/>
      </w:pPr>
      <w:r w:rsidRPr="001067EC">
        <w:t xml:space="preserve">atomic absorption spectrometry (AAS) </w:t>
      </w:r>
    </w:p>
    <w:p w:rsidR="00000000" w:rsidRPr="001067EC" w:rsidP="001067EC">
      <w:pPr>
        <w:pStyle w:val="ListBullet2"/>
      </w:pPr>
      <w:r w:rsidRPr="001067EC">
        <w:t xml:space="preserve">scanning electron microscopy (SEM) </w:t>
      </w:r>
    </w:p>
    <w:p w:rsidR="00000000" w:rsidRPr="001067EC" w:rsidP="001067EC">
      <w:pPr>
        <w:pStyle w:val="ListBullet"/>
      </w:pPr>
      <w:r w:rsidRPr="001067EC">
        <w:t xml:space="preserve">mathematics relevant to the collation and reporting of test data </w:t>
      </w:r>
    </w:p>
    <w:p w:rsidR="00000000" w:rsidRPr="001067EC" w:rsidP="001067EC">
      <w:pPr>
        <w:pStyle w:val="ListBullet"/>
      </w:pPr>
      <w:r w:rsidRPr="001067EC">
        <w:t xml:space="preserve">impact of chemical composition on the foundry process and product </w:t>
      </w:r>
    </w:p>
    <w:p w:rsidR="00000000" w:rsidRPr="001067EC" w:rsidP="001067EC">
      <w:pPr>
        <w:pStyle w:val="ListBullet"/>
      </w:pPr>
      <w:r w:rsidRPr="001067EC">
        <w:t>potential implications of the variety of adjustments that could be made in response to test results.</w:t>
      </w:r>
    </w:p>
    <w:p w:rsidR="00000000" w:rsidRPr="001067EC" w:rsidP="001067EC">
      <w:pPr>
        <w:pStyle w:val="AllowPageBreak"/>
      </w:pPr>
    </w:p>
    <w:p w:rsidR="00000000" w:rsidRPr="001067EC" w:rsidP="001067EC">
      <w:pPr>
        <w:pStyle w:val="Heading1"/>
      </w:pPr>
      <w:bookmarkStart w:id="4" w:name="O_943267"/>
      <w:bookmarkEnd w:id="4"/>
      <w:r w:rsidRPr="001067EC">
        <w:t>Assessment Conditions</w:t>
      </w:r>
    </w:p>
    <w:p w:rsidR="00000000" w:rsidRPr="001067EC" w:rsidP="001067EC">
      <w:pPr>
        <w:pStyle w:val="ListBullet"/>
      </w:pPr>
      <w:r w:rsidRPr="001067EC">
        <w:t>Assessors must:</w:t>
      </w:r>
    </w:p>
    <w:p w:rsidR="00000000" w:rsidRPr="001067EC" w:rsidP="001067EC">
      <w:pPr>
        <w:pStyle w:val="ListBullet2"/>
      </w:pPr>
      <w:r w:rsidRPr="001067EC">
        <w:t>have vocational competency in u</w:t>
      </w:r>
      <w:r w:rsidRPr="001067EC">
        <w:t>ndertaking prescribed tests on foundry related materials at least to the level being assessed with relevant industry knowledge and experience</w:t>
      </w:r>
    </w:p>
    <w:p w:rsidR="00000000" w:rsidRPr="001067EC" w:rsidP="001067EC">
      <w:pPr>
        <w:pStyle w:val="ListBullet2"/>
      </w:pPr>
      <w:r w:rsidRPr="001067EC">
        <w:t xml:space="preserve">satisfy the assessor requirements in the </w:t>
      </w:r>
      <w:r w:rsidRPr="001067EC">
        <w:rPr>
          <w:rStyle w:val="Emphasis"/>
        </w:rPr>
        <w:t xml:space="preserve">Standards for Registered Training Organisations 2015 </w:t>
      </w:r>
      <w:r w:rsidRPr="001067EC">
        <w:t>or its replacement</w:t>
      </w:r>
      <w:r w:rsidRPr="001067EC">
        <w:rPr>
          <w:rStyle w:val="Emphasis"/>
        </w:rPr>
        <w:t xml:space="preserve"> </w:t>
      </w:r>
      <w:r w:rsidRPr="001067EC">
        <w:t>a</w:t>
      </w:r>
      <w:r w:rsidRPr="001067EC">
        <w:t xml:space="preserve">nd comply with the </w:t>
      </w:r>
      <w:r w:rsidRPr="001067EC">
        <w:rPr>
          <w:rStyle w:val="Emphasis"/>
        </w:rPr>
        <w:t xml:space="preserve">National Vocational Education and Training Regulator Act 2011, </w:t>
      </w:r>
      <w:r w:rsidRPr="001067EC">
        <w:t>its replacement</w:t>
      </w:r>
      <w:r w:rsidRPr="001067EC">
        <w:rPr>
          <w:rStyle w:val="Emphasis"/>
        </w:rPr>
        <w:t xml:space="preserve"> </w:t>
      </w:r>
      <w:r w:rsidRPr="001067EC">
        <w:t>or equivalent legislation covering VET regulation in a non-referring state/territory as the case requires</w:t>
      </w:r>
    </w:p>
    <w:p w:rsidR="00000000" w:rsidRPr="001067EC" w:rsidP="001067EC">
      <w:pPr>
        <w:pStyle w:val="ListBullet"/>
      </w:pPr>
      <w:r w:rsidRPr="001067EC">
        <w:t>Where possible assessment must occur in operational</w:t>
      </w:r>
      <w:r w:rsidRPr="001067EC">
        <w:t xml:space="preserve"> workplace situations. Where this is not possible or where personal safety or environmental damage are limiting factors, assessment must occur in a sufficiently rigorous simulated environment that reflects realistic operational workplace conditions. This m</w:t>
      </w:r>
      <w:r w:rsidRPr="001067EC">
        <w:t>ust cover all aspects of workplace performance, including environment, task skills, task management skills, contingency management skills and job role environment skills</w:t>
      </w:r>
    </w:p>
    <w:p w:rsidR="00000000" w:rsidRPr="001067EC" w:rsidP="001067EC">
      <w:pPr>
        <w:pStyle w:val="ListBullet"/>
      </w:pPr>
      <w:r w:rsidRPr="001067EC">
        <w:t>Conditions for assessment must include access to all tools, equipment, materials and d</w:t>
      </w:r>
      <w:r w:rsidRPr="001067EC">
        <w:t>ocumentation required, including relevant workplace procedures, product and manufacturing specifications</w:t>
      </w:r>
    </w:p>
    <w:p w:rsidR="00000000" w:rsidRPr="001067EC" w:rsidP="001067EC">
      <w:pPr>
        <w:pStyle w:val="ListBullet"/>
      </w:pPr>
      <w:r w:rsidRPr="001067EC">
        <w:t>Assessment processes and techniques must be appropriate to the language, literacy and numeracy requirements of the work being performed and the needs of the candidate.</w:t>
      </w:r>
    </w:p>
    <w:p w:rsidR="00000000" w:rsidRPr="001067EC" w:rsidP="001067EC">
      <w:pPr>
        <w:pStyle w:val="AllowPageBreak"/>
      </w:pPr>
    </w:p>
    <w:p w:rsidR="00000000" w:rsidRPr="001067EC" w:rsidP="001067EC">
      <w:pPr>
        <w:pStyle w:val="Heading1"/>
      </w:pPr>
      <w:bookmarkStart w:id="5" w:name="O_943265"/>
      <w:bookmarkEnd w:id="5"/>
      <w:r w:rsidRPr="001067EC">
        <w:t>Links</w:t>
      </w:r>
    </w:p>
    <w:p w:rsidR="00000000" w:rsidRPr="001067EC" w:rsidP="003D65A7">
      <w:pPr>
        <w:pStyle w:val="BodyText"/>
      </w:pPr>
      <w:r w:rsidRPr="00106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4A6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67EC" w:rsidP="001067EC"/>
    <w:sectPr w:rsidSect="00106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C" w:rsidRPr="003D65A7" w:rsidP="003D6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A7" w:rsidP="00106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5A7" w:rsidP="00106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5A7" w:rsidP="00106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7EC" w:rsidRPr="003D65A7" w:rsidP="003D6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A7" w:rsidRPr="002D2AF8" w:rsidP="00106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MEM04023 Undertake prescribed tests on foundry-related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D65A7" w:rsidP="00106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C42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0CA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685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7EC"/>
  </w:style>
  <w:style w:type="character" w:customStyle="1" w:styleId="Heading1Char">
    <w:name w:val="Heading 1 Char"/>
    <w:basedOn w:val="DefaultParagraphFont"/>
    <w:link w:val="Heading1"/>
    <w:rsid w:val="00106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7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67EC"/>
    <w:rPr>
      <w:i/>
    </w:rPr>
  </w:style>
  <w:style w:type="paragraph" w:customStyle="1" w:styleId="SuperHeading">
    <w:name w:val="SuperHeading"/>
    <w:basedOn w:val="Normal"/>
    <w:rsid w:val="00106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7EC"/>
    <w:rPr>
      <w:b/>
      <w:spacing w:val="0"/>
    </w:rPr>
  </w:style>
  <w:style w:type="paragraph" w:customStyle="1" w:styleId="SuperTitle">
    <w:name w:val="SuperTitle"/>
    <w:basedOn w:val="Title"/>
    <w:rsid w:val="00106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7EC"/>
  </w:style>
  <w:style w:type="paragraph" w:styleId="TableofFigures">
    <w:name w:val="table of figures"/>
    <w:basedOn w:val="Normal"/>
    <w:next w:val="Normal"/>
    <w:semiHidden/>
    <w:rsid w:val="00106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7EC"/>
    <w:rPr>
      <w:rFonts w:ascii="Wingdings" w:hAnsi="Wingdings"/>
    </w:rPr>
  </w:style>
  <w:style w:type="paragraph" w:customStyle="1" w:styleId="TableHeading">
    <w:name w:val="Table Heading"/>
    <w:basedOn w:val="HeadingBase"/>
    <w:rsid w:val="00106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7EC"/>
    <w:rPr>
      <w:color w:val="0033CC"/>
      <w:u w:val="none"/>
    </w:rPr>
  </w:style>
  <w:style w:type="paragraph" w:customStyle="1" w:styleId="BodyTextRight">
    <w:name w:val="Body Text Right"/>
    <w:basedOn w:val="BodyText"/>
    <w:rsid w:val="00106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7EC"/>
    <w:rPr>
      <w:sz w:val="32"/>
    </w:rPr>
  </w:style>
  <w:style w:type="paragraph" w:customStyle="1" w:styleId="HeadingProcedure">
    <w:name w:val="Heading Procedure"/>
    <w:basedOn w:val="HeadingBase"/>
    <w:next w:val="Normal"/>
    <w:rsid w:val="00106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7EC"/>
    <w:pPr>
      <w:spacing w:before="60" w:after="60"/>
    </w:pPr>
  </w:style>
  <w:style w:type="paragraph" w:styleId="ListContinue">
    <w:name w:val="List Continue"/>
    <w:basedOn w:val="List"/>
    <w:rsid w:val="001067EC"/>
    <w:pPr>
      <w:ind w:firstLine="0"/>
    </w:pPr>
  </w:style>
  <w:style w:type="paragraph" w:customStyle="1" w:styleId="ListNote">
    <w:name w:val="List Note"/>
    <w:basedOn w:val="List"/>
    <w:rsid w:val="00106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7EC"/>
    <w:rPr>
      <w:rFonts w:ascii="Courier New" w:hAnsi="Courier New"/>
    </w:rPr>
  </w:style>
  <w:style w:type="paragraph" w:customStyle="1" w:styleId="NoteBullet">
    <w:name w:val="Note Bullet"/>
    <w:basedOn w:val="Note"/>
    <w:rsid w:val="00106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7EC"/>
    <w:rPr>
      <w:b/>
      <w:smallCaps/>
    </w:rPr>
  </w:style>
  <w:style w:type="paragraph" w:customStyle="1" w:styleId="TableListNumber">
    <w:name w:val="Table List Number"/>
    <w:basedOn w:val="ListNumber"/>
    <w:rsid w:val="00106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7EC"/>
    <w:pPr>
      <w:numPr>
        <w:numId w:val="9"/>
      </w:numPr>
    </w:pPr>
  </w:style>
  <w:style w:type="paragraph" w:customStyle="1" w:styleId="ListAlpha2">
    <w:name w:val="List Alpha 2"/>
    <w:basedOn w:val="List2"/>
    <w:rsid w:val="001067EC"/>
    <w:pPr>
      <w:numPr>
        <w:numId w:val="8"/>
      </w:numPr>
    </w:pPr>
  </w:style>
  <w:style w:type="paragraph" w:styleId="List2">
    <w:name w:val="List 2"/>
    <w:basedOn w:val="BodyText"/>
    <w:rsid w:val="00106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7EC"/>
    <w:pPr>
      <w:numPr>
        <w:numId w:val="4"/>
      </w:numPr>
    </w:pPr>
  </w:style>
  <w:style w:type="paragraph" w:styleId="ListContinue2">
    <w:name w:val="List Continue 2"/>
    <w:basedOn w:val="List2"/>
    <w:rsid w:val="001067EC"/>
    <w:pPr>
      <w:ind w:firstLine="0"/>
    </w:pPr>
  </w:style>
  <w:style w:type="paragraph" w:styleId="ListContinue3">
    <w:name w:val="List Continue 3"/>
    <w:basedOn w:val="List3"/>
    <w:rsid w:val="001067EC"/>
    <w:pPr>
      <w:ind w:left="1021" w:firstLine="0"/>
    </w:pPr>
  </w:style>
  <w:style w:type="paragraph" w:styleId="ListContinue4">
    <w:name w:val="List Continue 4"/>
    <w:basedOn w:val="List4"/>
    <w:rsid w:val="001067EC"/>
    <w:pPr>
      <w:ind w:firstLine="0"/>
    </w:pPr>
  </w:style>
  <w:style w:type="paragraph" w:styleId="ListContinue5">
    <w:name w:val="List Continue 5"/>
    <w:basedOn w:val="List5"/>
    <w:rsid w:val="001067EC"/>
    <w:pPr>
      <w:ind w:firstLine="0"/>
    </w:pPr>
  </w:style>
  <w:style w:type="paragraph" w:styleId="ListNumber3">
    <w:name w:val="List Number 3"/>
    <w:basedOn w:val="List3"/>
    <w:rsid w:val="001067EC"/>
    <w:pPr>
      <w:numPr>
        <w:numId w:val="5"/>
      </w:numPr>
    </w:pPr>
  </w:style>
  <w:style w:type="paragraph" w:styleId="ListNumber4">
    <w:name w:val="List Number 4"/>
    <w:basedOn w:val="List4"/>
    <w:rsid w:val="001067EC"/>
    <w:pPr>
      <w:numPr>
        <w:numId w:val="6"/>
      </w:numPr>
    </w:pPr>
  </w:style>
  <w:style w:type="paragraph" w:styleId="ListNumber5">
    <w:name w:val="List Number 5"/>
    <w:basedOn w:val="List5"/>
    <w:rsid w:val="001067EC"/>
    <w:pPr>
      <w:numPr>
        <w:numId w:val="7"/>
      </w:numPr>
    </w:pPr>
  </w:style>
  <w:style w:type="paragraph" w:styleId="BlockText">
    <w:name w:val="Block Text"/>
    <w:basedOn w:val="Normal"/>
    <w:rsid w:val="00106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7EC"/>
    <w:rPr>
      <w:sz w:val="16"/>
      <w:vertAlign w:val="superscript"/>
    </w:rPr>
  </w:style>
  <w:style w:type="character" w:customStyle="1" w:styleId="Symbols">
    <w:name w:val="Symbols"/>
    <w:basedOn w:val="DefaultParagraphFont"/>
    <w:rsid w:val="001067EC"/>
    <w:rPr>
      <w:rFonts w:ascii="Symbol" w:hAnsi="Symbol"/>
    </w:rPr>
  </w:style>
  <w:style w:type="character" w:customStyle="1" w:styleId="MenuOptions">
    <w:name w:val="Menu Options"/>
    <w:basedOn w:val="DefaultParagraphFont"/>
    <w:rsid w:val="00106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7EC"/>
    <w:rPr>
      <w:b/>
    </w:rPr>
  </w:style>
  <w:style w:type="character" w:customStyle="1" w:styleId="Underlined">
    <w:name w:val="Underlined"/>
    <w:basedOn w:val="DefaultParagraphFont"/>
    <w:rsid w:val="001067EC"/>
    <w:rPr>
      <w:u w:val="single"/>
    </w:rPr>
  </w:style>
  <w:style w:type="paragraph" w:customStyle="1" w:styleId="TableBodyTextRight">
    <w:name w:val="Table Body Text Right"/>
    <w:basedOn w:val="TableBodyText"/>
    <w:rsid w:val="00106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7EC"/>
    <w:rPr>
      <w:sz w:val="18"/>
    </w:rPr>
  </w:style>
  <w:style w:type="paragraph" w:customStyle="1" w:styleId="BodySmallRight">
    <w:name w:val="Body Small Right"/>
    <w:basedOn w:val="BodyTextRight"/>
    <w:rsid w:val="001067EC"/>
    <w:rPr>
      <w:sz w:val="18"/>
      <w:szCs w:val="18"/>
    </w:rPr>
  </w:style>
  <w:style w:type="paragraph" w:customStyle="1" w:styleId="MarginEdition">
    <w:name w:val="Margin Edition"/>
    <w:basedOn w:val="MarginNote"/>
    <w:rsid w:val="00106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7EC"/>
    <w:rPr>
      <w:sz w:val="2"/>
      <w:szCs w:val="2"/>
    </w:rPr>
  </w:style>
  <w:style w:type="character" w:customStyle="1" w:styleId="Small">
    <w:name w:val="Small"/>
    <w:basedOn w:val="DefaultParagraphFont"/>
    <w:rsid w:val="001067EC"/>
    <w:rPr>
      <w:sz w:val="16"/>
    </w:rPr>
  </w:style>
  <w:style w:type="paragraph" w:customStyle="1" w:styleId="WideTable">
    <w:name w:val="Wide Table"/>
    <w:basedOn w:val="Normal"/>
    <w:rsid w:val="00106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7EC"/>
  </w:style>
  <w:style w:type="paragraph" w:styleId="Quote">
    <w:name w:val="Quote"/>
    <w:basedOn w:val="Heading1"/>
    <w:link w:val="QuoteChar"/>
    <w:qFormat/>
    <w:rsid w:val="00106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7EC"/>
    <w:pPr>
      <w:pageBreakBefore/>
    </w:pPr>
  </w:style>
  <w:style w:type="paragraph" w:customStyle="1" w:styleId="Border">
    <w:name w:val="Border"/>
    <w:basedOn w:val="Normal"/>
    <w:qFormat/>
    <w:rsid w:val="00106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7EC"/>
    <w:rPr>
      <w:u w:val="single"/>
    </w:rPr>
  </w:style>
  <w:style w:type="character" w:customStyle="1" w:styleId="BoldandItalics">
    <w:name w:val="Bold and Italics"/>
    <w:qFormat/>
    <w:rsid w:val="001067EC"/>
    <w:rPr>
      <w:b/>
      <w:i/>
      <w:u w:val="none"/>
    </w:rPr>
  </w:style>
  <w:style w:type="paragraph" w:styleId="BalloonText">
    <w:name w:val="Balloon Text"/>
    <w:basedOn w:val="Normal"/>
    <w:link w:val="BalloonTextChar"/>
    <w:rsid w:val="00106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7EC"/>
    <w:pPr>
      <w:spacing w:before="0" w:after="0"/>
    </w:pPr>
  </w:style>
  <w:style w:type="paragraph" w:customStyle="1" w:styleId="BodyTextBold">
    <w:name w:val="Body Text Bold"/>
    <w:basedOn w:val="BodyText"/>
    <w:qFormat/>
    <w:rsid w:val="001067EC"/>
    <w:rPr>
      <w:b/>
    </w:rPr>
  </w:style>
  <w:style w:type="character" w:styleId="Hyperlink">
    <w:name w:val="Hyperlink"/>
    <w:basedOn w:val="DefaultParagraphFont"/>
    <w:uiPriority w:val="99"/>
    <w:unhideWhenUsed/>
    <w:rsid w:val="003D6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4684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MEM04023 Undertake prescribed tests on foundry-related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