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C63" w:rsidP="005B3C63">
      <w:pPr>
        <w:pStyle w:val="Title"/>
      </w:pPr>
      <w:r>
        <w:fldChar w:fldCharType="begin"/>
      </w:r>
      <w:r>
        <w:instrText xml:space="preserve"> TITLE   \* MERGEFORMAT </w:instrText>
      </w:r>
      <w:r>
        <w:fldChar w:fldCharType="separate"/>
      </w:r>
      <w:r>
        <w:t>MEM04021 Supervise individual non-ferrous melting and casting operation</w:t>
      </w:r>
      <w:r>
        <w:fldChar w:fldCharType="end"/>
      </w:r>
    </w:p>
    <w:p w:rsidR="005B3C63" w:rsidP="005B3C63">
      <w:pPr>
        <w:pStyle w:val="Version"/>
        <w:sectPr w:rsidSect="00585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50FE" w:rsidP="005850FE">
      <w:pPr>
        <w:pStyle w:val="SuperHeading"/>
      </w:pPr>
      <w:r w:rsidRPr="005850FE">
        <w:t>MEM04021 Supervise individual non-ferrous melting and casting operation</w:t>
      </w:r>
    </w:p>
    <w:p w:rsidR="00000000" w:rsidRPr="005850FE" w:rsidP="005850FE">
      <w:pPr>
        <w:pStyle w:val="Heading1"/>
      </w:pPr>
      <w:bookmarkStart w:id="1" w:name="O_1168829"/>
      <w:bookmarkEnd w:id="1"/>
      <w:r w:rsidRPr="005850FE">
        <w:t>Modification History</w:t>
      </w:r>
    </w:p>
    <w:p w:rsidR="00000000" w:rsidRPr="005850FE" w:rsidP="005B3C63">
      <w:pPr>
        <w:pStyle w:val="BodyText"/>
      </w:pPr>
      <w:r w:rsidRPr="005850FE">
        <w:t xml:space="preserve">Release 2. Quantum </w:t>
      </w:r>
      <w:r w:rsidRPr="005850FE">
        <w:t>of hours of workplace practice removed. Supersedes and is equivalent to MEM04021 Supervise individual non-ferrous melting and casting operation (Release 1).</w:t>
      </w:r>
    </w:p>
    <w:p w:rsidR="00000000" w:rsidRPr="005850FE" w:rsidP="005B3C63">
      <w:pPr>
        <w:pStyle w:val="BodyText"/>
      </w:pPr>
      <w:r w:rsidRPr="005850FE">
        <w:t>Release 1. Supersedes and is equivalent to MEM04021A Supervise individual non-ferrous melting and c</w:t>
      </w:r>
      <w:r w:rsidRPr="005850FE">
        <w:t>asting operation.</w:t>
      </w:r>
    </w:p>
    <w:p w:rsidR="00000000" w:rsidRPr="005850FE" w:rsidP="005850FE">
      <w:pPr>
        <w:pStyle w:val="Heading1"/>
      </w:pPr>
      <w:bookmarkStart w:id="2" w:name="O_1168828"/>
      <w:bookmarkEnd w:id="2"/>
      <w:r w:rsidRPr="005850FE">
        <w:t>Application</w:t>
      </w:r>
    </w:p>
    <w:p w:rsidR="00000000" w:rsidRPr="005850FE" w:rsidP="005B3C63">
      <w:pPr>
        <w:pStyle w:val="BodyText"/>
      </w:pPr>
      <w:r w:rsidRPr="005850FE">
        <w:t>The unit of competency defines the skills and knowledge required by a foundry tradesperson to supervise non-ferrous melting and casting operations in a foundry to ensure specifications are met and safety pro</w:t>
      </w:r>
      <w:r w:rsidRPr="005850FE">
        <w:t xml:space="preserve">cedures maintained. This work is performed under the overall direction of a metallurgist. </w:t>
      </w:r>
    </w:p>
    <w:p w:rsidR="00000000" w:rsidRPr="005850FE" w:rsidP="005B3C63">
      <w:pPr>
        <w:pStyle w:val="BodyText"/>
      </w:pPr>
      <w:r w:rsidRPr="005850FE">
        <w:t>No licensing, legislative or certification requirements apply to this unit at the time of publication.</w:t>
      </w:r>
    </w:p>
    <w:p w:rsidR="00000000" w:rsidRPr="005850FE" w:rsidP="005850FE">
      <w:pPr>
        <w:pStyle w:val="BodyText"/>
      </w:pPr>
      <w:r w:rsidRPr="005850FE">
        <w:rPr>
          <w:rStyle w:val="SpecialBold"/>
        </w:rPr>
        <w:t>Band:</w:t>
      </w:r>
      <w:r w:rsidRPr="005850FE">
        <w:rPr>
          <w:rStyle w:val="SpecialBold"/>
        </w:rPr>
        <w:tab/>
        <w:t>B</w:t>
      </w:r>
    </w:p>
    <w:p w:rsidR="00000000" w:rsidRPr="005850FE" w:rsidP="005850FE">
      <w:pPr>
        <w:pStyle w:val="BodyText"/>
      </w:pPr>
      <w:r w:rsidRPr="005850FE">
        <w:rPr>
          <w:rStyle w:val="SpecialBold"/>
        </w:rPr>
        <w:t>Unit Weight:</w:t>
      </w:r>
      <w:r w:rsidRPr="005850FE">
        <w:rPr>
          <w:rStyle w:val="SpecialBold"/>
        </w:rPr>
        <w:tab/>
        <w:t>4</w:t>
      </w:r>
    </w:p>
    <w:p w:rsidR="00000000" w:rsidRPr="005850FE" w:rsidP="005850FE">
      <w:pPr>
        <w:pStyle w:val="AllowPageBreak"/>
      </w:pPr>
    </w:p>
    <w:p w:rsidR="00000000" w:rsidRPr="005850FE" w:rsidP="005850FE">
      <w:pPr>
        <w:pStyle w:val="Heading1"/>
      </w:pPr>
      <w:bookmarkStart w:id="3" w:name="O_1168827"/>
      <w:bookmarkEnd w:id="3"/>
      <w:r w:rsidRPr="005850FE">
        <w:t>Pre-requisite Unit</w:t>
      </w:r>
    </w:p>
    <w:tbl>
      <w:tblPr>
        <w:tblW w:w="0" w:type="auto"/>
        <w:tblLayout w:type="fixed"/>
        <w:tblCellMar>
          <w:left w:w="62" w:type="dxa"/>
          <w:right w:w="62" w:type="dxa"/>
        </w:tblCellMar>
        <w:tblLook w:val="0000"/>
      </w:tblPr>
      <w:tblGrid>
        <w:gridCol w:w="2258"/>
        <w:gridCol w:w="6508"/>
      </w:tblGrid>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MEM04001</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Operate melting furnaces</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MEM04004</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Prepare and mix sand for metal moulding</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MEM04007</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Pour molten metal</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MEM04024 </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Produce moulds and cores by hand </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MEM04025 </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Produce moulds and cores by hand (advanced)</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MEM09002</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Interpret technical drawing</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MEM11011</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Undertake manual handling</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MEM12023</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Perform engineering measurements</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MEM12024</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Perform computations</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MEM13004</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Work safely with molten metals/glass</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MEM13015</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Work safely and effectively in manufacturing and engineering</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MEM14006</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Plan work activities</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MEM16006</w:t>
            </w:r>
          </w:p>
        </w:tc>
        <w:tc>
          <w:tcPr>
            <w:tcW w:w="650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Organise and communicate information</w:t>
            </w:r>
          </w:p>
        </w:tc>
      </w:tr>
      <w:tr w:rsidTr="005850FE">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MEM18001</w:t>
            </w:r>
          </w:p>
        </w:tc>
        <w:tc>
          <w:tcPr>
            <w:tcW w:w="6508"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Use hand tools</w:t>
            </w:r>
          </w:p>
        </w:tc>
      </w:tr>
    </w:tbl>
    <w:p w:rsidR="00000000" w:rsidRPr="005850FE" w:rsidP="005850FE">
      <w:pPr>
        <w:pStyle w:val="BodyText"/>
      </w:pPr>
    </w:p>
    <w:p w:rsidR="00000000" w:rsidRPr="005850FE" w:rsidP="005850FE">
      <w:pPr>
        <w:pStyle w:val="AllowPageBreak"/>
      </w:pPr>
    </w:p>
    <w:p w:rsidR="00000000" w:rsidRPr="005850FE" w:rsidP="005850FE">
      <w:pPr>
        <w:pStyle w:val="Heading1"/>
      </w:pPr>
      <w:bookmarkStart w:id="4" w:name="O_1168826"/>
      <w:bookmarkEnd w:id="4"/>
      <w:r w:rsidRPr="005850FE">
        <w:t>Competency Field</w:t>
      </w:r>
    </w:p>
    <w:p w:rsidR="00000000" w:rsidRPr="005850FE" w:rsidP="005B3C63">
      <w:pPr>
        <w:pStyle w:val="BodyText"/>
      </w:pPr>
      <w:r w:rsidRPr="005850FE">
        <w:t>Casting and moulding</w:t>
      </w:r>
    </w:p>
    <w:p w:rsidR="00000000" w:rsidRPr="005850FE" w:rsidP="005850FE">
      <w:pPr>
        <w:pStyle w:val="Heading1"/>
      </w:pPr>
      <w:bookmarkStart w:id="5" w:name="O_1168825"/>
      <w:bookmarkEnd w:id="5"/>
      <w:r w:rsidRPr="005850F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850FE">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Performa</w:t>
            </w:r>
            <w:r w:rsidRPr="005850FE">
              <w:t>nce criteria describe the performance needed to demonstrate achievement of the element.</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1</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1.1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Follow standard operating procedures (SOPs)</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1.2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Comply with work health and safety (WHS) requirements at all times</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1.3</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Use appropriate personal protective equipment (PPE) in accordance with SOPs</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1.4</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Identify job requirements from specifications, drawings, job sheets or work instructions</w:t>
            </w:r>
          </w:p>
        </w:tc>
      </w:tr>
      <w:tr w:rsidTr="0058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850FE">
            <w:pPr>
              <w:pStyle w:val="BodyText"/>
              <w:rPr>
                <w:lang w:val="en-NZ"/>
              </w:rPr>
            </w:pP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2</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Identify specifications for required casting</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2.1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Identify required material specifications and mould requirements </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2.2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Identify any special melting and casting requirements for the job</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2.3</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Identify safety procedures for the required melting and casting operation</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2.4</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Identify and follow regulations and codes of practice relevant to foundry and individual melting, pouring and casting operation </w:t>
            </w:r>
          </w:p>
        </w:tc>
      </w:tr>
      <w:tr w:rsidTr="0058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850FE">
            <w:pPr>
              <w:pStyle w:val="BodyText"/>
              <w:rPr>
                <w:lang w:val="en-NZ"/>
              </w:rPr>
            </w:pP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3</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Verify metal charges to melting</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3.1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Select required components to give the required metal specification</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3.2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Calculate required charge of each component</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3.3</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Select required components to give the required metal specification</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3.4</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Recommend changes and/or additions to the charge</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3.5</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Monitor the preparation of the charge, including checking for contaminants</w:t>
            </w:r>
          </w:p>
        </w:tc>
      </w:tr>
      <w:tr w:rsidTr="0058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850FE">
            <w:pPr>
              <w:pStyle w:val="BodyText"/>
              <w:rPr>
                <w:lang w:val="en-NZ"/>
              </w:rPr>
            </w:pP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4</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Monitor furnace operation</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4.1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Check that the furnace is in good operational condition and that appropriate lining is present</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4.2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Organise for maintenance and repairs as required</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4.3</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Identify metal or alloy specification for required casting</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4.4</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Monitor a melt to ensure the product meets specification</w:t>
            </w:r>
          </w:p>
        </w:tc>
      </w:tr>
      <w:tr w:rsidTr="0058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850FE">
            <w:pPr>
              <w:pStyle w:val="BodyText"/>
              <w:rPr>
                <w:lang w:val="en-NZ"/>
              </w:rPr>
            </w:pP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5</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Monitor pouring of molten metal</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Check pouring area is secure and that all non-essential personnel are excluded</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Check all members of pouring crew are wearing appropriate PPE</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5.3</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Ensure escape routes are known in advance by all members of the pouring crew</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5.4</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Check emergency pour out pit is operational and other safety measures are in place</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5.5</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 xml:space="preserve">Ensure moulds are ready to receive liquid metal, ensure access ways and pouring ways are clear, and that there are appropriate spaces between each mould </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5.6</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Check pouring is undertaken at correct temperature and in efficient order</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5.7</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Ensure pouring</w:t>
            </w:r>
            <w:r w:rsidRPr="005850FE">
              <w:t xml:space="preserve"> basin and moulds are ready to receive liquid metal</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5.8</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Take required samples for analysis</w:t>
            </w:r>
          </w:p>
        </w:tc>
      </w:tr>
      <w:tr w:rsidTr="005850F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5850FE">
            <w:pPr>
              <w:pStyle w:val="BodyText"/>
              <w:rPr>
                <w:lang w:val="en-NZ"/>
              </w:rPr>
            </w:pP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6</w:t>
            </w:r>
          </w:p>
        </w:tc>
        <w:tc>
          <w:tcPr>
            <w:tcW w:w="1986" w:type="dxa"/>
            <w:vMerge w:val="restart"/>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Control hazards</w:t>
            </w: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6.1</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Identify hazards in the metal melting and pouring process</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6.2</w:t>
            </w:r>
          </w:p>
        </w:tc>
        <w:tc>
          <w:tcPr>
            <w:tcW w:w="5678"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Assess the risks arising from those hazards</w:t>
            </w:r>
          </w:p>
        </w:tc>
      </w:tr>
      <w:tr w:rsidTr="005850F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6.3</w:t>
            </w:r>
          </w:p>
        </w:tc>
        <w:tc>
          <w:tcPr>
            <w:tcW w:w="5678" w:type="dxa"/>
            <w:tcBorders>
              <w:top w:val="nil"/>
              <w:left w:val="nil"/>
              <w:bottom w:val="nil"/>
              <w:right w:val="nil"/>
            </w:tcBorders>
            <w:tcMar>
              <w:top w:w="0" w:type="dxa"/>
              <w:left w:w="62" w:type="dxa"/>
              <w:bottom w:w="0" w:type="dxa"/>
              <w:right w:w="62" w:type="dxa"/>
            </w:tcMar>
          </w:tcPr>
          <w:p w:rsidR="00000000" w:rsidRPr="005850FE" w:rsidP="005850FE">
            <w:pPr>
              <w:pStyle w:val="BodyText"/>
            </w:pPr>
            <w:r w:rsidRPr="005850FE">
              <w:t>Implement procedures to control those hazards in line with procedures and duty of care</w:t>
            </w:r>
          </w:p>
        </w:tc>
      </w:tr>
    </w:tbl>
    <w:p w:rsidR="00000000" w:rsidRPr="005850FE" w:rsidP="005850FE">
      <w:pPr>
        <w:pStyle w:val="BodyText"/>
      </w:pPr>
    </w:p>
    <w:p w:rsidR="00000000" w:rsidRPr="005850FE" w:rsidP="005850FE">
      <w:pPr>
        <w:pStyle w:val="AllowPageBreak"/>
      </w:pPr>
    </w:p>
    <w:p w:rsidR="00000000" w:rsidRPr="005850FE" w:rsidP="005850FE">
      <w:pPr>
        <w:pStyle w:val="Heading1"/>
      </w:pPr>
      <w:bookmarkStart w:id="6" w:name="O_1168824"/>
      <w:bookmarkEnd w:id="6"/>
      <w:r w:rsidRPr="005850FE">
        <w:t>Foundation Skills</w:t>
      </w:r>
    </w:p>
    <w:p w:rsidR="00000000" w:rsidRPr="005850FE" w:rsidP="005B3C63">
      <w:pPr>
        <w:pStyle w:val="BodyText"/>
      </w:pPr>
      <w:r w:rsidRPr="005850FE">
        <w:t>This section describes those required skills (reading, writing, oral communication and numeracy) that are essential to workplace p</w:t>
      </w:r>
      <w:r w:rsidRPr="005850FE">
        <w:t xml:space="preserve">erformance in this unit of competency.  </w:t>
      </w:r>
    </w:p>
    <w:p w:rsidR="00000000" w:rsidRPr="005850FE" w:rsidP="005B3C63">
      <w:pPr>
        <w:pStyle w:val="BodyText"/>
      </w:pPr>
      <w:r w:rsidRPr="005850FE">
        <w:t>Foundation skills essential to performance are explicit in the performance criteria of this unit of competency.</w:t>
      </w:r>
    </w:p>
    <w:p w:rsidR="00000000" w:rsidRPr="005850FE" w:rsidP="005850FE">
      <w:pPr>
        <w:pStyle w:val="Heading1"/>
      </w:pPr>
      <w:bookmarkStart w:id="7" w:name="O_1168823"/>
      <w:bookmarkEnd w:id="7"/>
      <w:r w:rsidRPr="005850FE">
        <w:t>Range of Conditions</w:t>
      </w:r>
    </w:p>
    <w:tbl>
      <w:tblPr>
        <w:tblW w:w="9358" w:type="dxa"/>
        <w:tblLayout w:type="fixed"/>
        <w:tblCellMar>
          <w:left w:w="62" w:type="dxa"/>
          <w:right w:w="62" w:type="dxa"/>
        </w:tblCellMar>
        <w:tblLook w:val="0000"/>
      </w:tblPr>
      <w:tblGrid>
        <w:gridCol w:w="3012"/>
        <w:gridCol w:w="6346"/>
      </w:tblGrid>
      <w:tr w:rsidTr="005850FE">
        <w:tblPrEx>
          <w:tblW w:w="9358" w:type="dxa"/>
          <w:tblLayout w:type="fixed"/>
          <w:tblCellMar>
            <w:left w:w="62" w:type="dxa"/>
            <w:right w:w="62" w:type="dxa"/>
          </w:tblCellMar>
          <w:tblLook w:val="0000"/>
        </w:tblPrEx>
        <w:tc>
          <w:tcPr>
            <w:tcW w:w="9358" w:type="dxa"/>
            <w:gridSpan w:val="2"/>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t>This field allows for different work environments and condition</w:t>
            </w:r>
            <w:r w:rsidRPr="005850FE">
              <w:t>s that may affect performance. Essential operating conditions that may be present (depending on the work situation, needs of the candidate, accessibility of the item, and local industry and regional contexts) are included.</w:t>
            </w:r>
          </w:p>
        </w:tc>
      </w:tr>
      <w:tr w:rsidTr="005850FE">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Moulds include one (1) o</w:t>
            </w:r>
            <w:r w:rsidRPr="005850FE">
              <w:rPr>
                <w:rStyle w:val="SpecialBold"/>
              </w:rPr>
              <w:t>r more of the following:</w:t>
            </w:r>
          </w:p>
        </w:tc>
        <w:tc>
          <w:tcPr>
            <w:tcW w:w="6346" w:type="dxa"/>
            <w:tcBorders>
              <w:top w:val="nil"/>
              <w:left w:val="nil"/>
              <w:bottom w:val="nil"/>
              <w:right w:val="nil"/>
            </w:tcBorders>
            <w:tcMar>
              <w:top w:w="0" w:type="dxa"/>
              <w:left w:w="62" w:type="dxa"/>
              <w:bottom w:w="0" w:type="dxa"/>
              <w:right w:w="62" w:type="dxa"/>
            </w:tcMar>
          </w:tcPr>
          <w:p w:rsidR="00000000" w:rsidRPr="005850FE" w:rsidP="005850FE">
            <w:pPr>
              <w:pStyle w:val="ListBullet"/>
            </w:pPr>
            <w:r w:rsidRPr="005850FE">
              <w:t>sand</w:t>
            </w:r>
          </w:p>
          <w:p w:rsidR="00000000" w:rsidRPr="005850FE" w:rsidP="005850FE">
            <w:pPr>
              <w:pStyle w:val="ListBullet"/>
            </w:pPr>
            <w:r w:rsidRPr="005850FE">
              <w:t>die</w:t>
            </w:r>
          </w:p>
          <w:p w:rsidR="00000000" w:rsidRPr="005850FE" w:rsidP="005850FE">
            <w:pPr>
              <w:pStyle w:val="ListBullet"/>
            </w:pPr>
            <w:r w:rsidRPr="005850FE">
              <w:t>investment</w:t>
            </w:r>
          </w:p>
          <w:p w:rsidR="00000000" w:rsidP="005850FE">
            <w:pPr>
              <w:pStyle w:val="BodyText"/>
              <w:rPr>
                <w:lang w:val="en-NZ"/>
              </w:rPr>
            </w:pPr>
          </w:p>
        </w:tc>
      </w:tr>
      <w:tr w:rsidTr="005850FE">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Contaminants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5850FE" w:rsidP="005850FE">
            <w:pPr>
              <w:pStyle w:val="ListBullet"/>
            </w:pPr>
            <w:r w:rsidRPr="005850FE">
              <w:t>non-specified metal</w:t>
            </w:r>
          </w:p>
          <w:p w:rsidR="00000000" w:rsidRPr="005850FE" w:rsidP="005850FE">
            <w:pPr>
              <w:pStyle w:val="ListBullet"/>
            </w:pPr>
            <w:r w:rsidRPr="005850FE">
              <w:t>rubber</w:t>
            </w:r>
          </w:p>
          <w:p w:rsidR="00000000" w:rsidRPr="005850FE" w:rsidP="005850FE">
            <w:pPr>
              <w:pStyle w:val="ListBullet"/>
            </w:pPr>
            <w:r w:rsidRPr="005850FE">
              <w:t>grease</w:t>
            </w:r>
          </w:p>
          <w:p w:rsidR="00000000" w:rsidRPr="005850FE" w:rsidP="005850FE">
            <w:pPr>
              <w:pStyle w:val="ListBullet"/>
            </w:pPr>
            <w:r w:rsidRPr="005850FE">
              <w:t>water</w:t>
            </w:r>
          </w:p>
          <w:p w:rsidR="00000000" w:rsidRPr="005850FE" w:rsidP="005850FE">
            <w:pPr>
              <w:pStyle w:val="ListBullet"/>
            </w:pPr>
            <w:r w:rsidRPr="005850FE">
              <w:t>paint and non-metallics</w:t>
            </w:r>
          </w:p>
          <w:p w:rsidR="00000000" w:rsidRPr="005850FE" w:rsidP="005850FE">
            <w:pPr>
              <w:pStyle w:val="ListBullet"/>
            </w:pPr>
            <w:r w:rsidRPr="005850FE">
              <w:t xml:space="preserve">closed containers or pipes </w:t>
            </w:r>
          </w:p>
          <w:p w:rsidR="00000000" w:rsidRPr="005850FE" w:rsidP="005850FE">
            <w:pPr>
              <w:pStyle w:val="ListBullet"/>
            </w:pPr>
            <w:r w:rsidRPr="005850FE">
              <w:t xml:space="preserve">pressure containers, including aerosols </w:t>
            </w:r>
          </w:p>
          <w:p w:rsidR="00000000" w:rsidP="005850FE">
            <w:pPr>
              <w:pStyle w:val="BodyText"/>
              <w:rPr>
                <w:lang w:val="en-NZ"/>
              </w:rPr>
            </w:pPr>
          </w:p>
        </w:tc>
      </w:tr>
      <w:tr w:rsidTr="005850FE">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Material specification includes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5850FE" w:rsidP="005850FE">
            <w:pPr>
              <w:pStyle w:val="ListBullet"/>
            </w:pPr>
            <w:r w:rsidRPr="005850FE">
              <w:t xml:space="preserve">non-ferrous metals </w:t>
            </w:r>
          </w:p>
          <w:p w:rsidR="00000000" w:rsidRPr="005850FE" w:rsidP="005850FE">
            <w:pPr>
              <w:pStyle w:val="ListBullet"/>
            </w:pPr>
            <w:r w:rsidRPr="005850FE">
              <w:t xml:space="preserve">non-ferrous alloys </w:t>
            </w:r>
          </w:p>
          <w:p w:rsidR="00000000" w:rsidRPr="005850FE" w:rsidP="005850FE">
            <w:pPr>
              <w:pStyle w:val="ListBullet"/>
            </w:pPr>
            <w:r w:rsidRPr="005850FE">
              <w:t>contaminants</w:t>
            </w:r>
          </w:p>
          <w:p w:rsidR="00000000" w:rsidP="005850FE">
            <w:pPr>
              <w:pStyle w:val="BodyText"/>
              <w:rPr>
                <w:lang w:val="en-NZ"/>
              </w:rPr>
            </w:pPr>
          </w:p>
        </w:tc>
      </w:tr>
      <w:tr w:rsidTr="005850FE">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5850FE">
            <w:pPr>
              <w:pStyle w:val="BodyText"/>
              <w:rPr>
                <w:lang w:val="en-NZ"/>
              </w:rPr>
            </w:pPr>
            <w:r w:rsidRPr="005850FE">
              <w:rPr>
                <w:rStyle w:val="SpecialBold"/>
              </w:rPr>
              <w:t>Furnaces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5850FE" w:rsidP="005850FE">
            <w:pPr>
              <w:pStyle w:val="ListBullet"/>
            </w:pPr>
            <w:r w:rsidRPr="005850FE">
              <w:t>crucible</w:t>
            </w:r>
          </w:p>
          <w:p w:rsidR="00000000" w:rsidRPr="005850FE" w:rsidP="005850FE">
            <w:pPr>
              <w:pStyle w:val="ListBullet"/>
            </w:pPr>
            <w:r w:rsidRPr="005850FE">
              <w:t>oil</w:t>
            </w:r>
          </w:p>
          <w:p w:rsidR="00000000" w:rsidRPr="005850FE" w:rsidP="005850FE">
            <w:pPr>
              <w:pStyle w:val="ListBullet"/>
            </w:pPr>
            <w:r w:rsidRPr="005850FE">
              <w:t>gas</w:t>
            </w:r>
          </w:p>
          <w:p w:rsidR="00000000" w:rsidRPr="005850FE" w:rsidP="005850FE">
            <w:pPr>
              <w:pStyle w:val="ListBullet"/>
            </w:pPr>
            <w:r w:rsidRPr="005850FE">
              <w:t>induction</w:t>
            </w:r>
          </w:p>
          <w:p w:rsidR="00000000" w:rsidRPr="005850FE" w:rsidP="005850FE">
            <w:pPr>
              <w:pStyle w:val="ListBullet"/>
            </w:pPr>
            <w:r w:rsidRPr="005850FE">
              <w:t>channel</w:t>
            </w:r>
          </w:p>
          <w:p w:rsidR="00000000" w:rsidRPr="005850FE" w:rsidP="005850FE">
            <w:pPr>
              <w:pStyle w:val="ListBullet"/>
            </w:pPr>
            <w:r w:rsidRPr="005850FE">
              <w:t>coreless</w:t>
            </w:r>
          </w:p>
          <w:p w:rsidR="00000000" w:rsidRPr="005850FE" w:rsidP="005850FE">
            <w:pPr>
              <w:pStyle w:val="ListBullet"/>
            </w:pPr>
            <w:r w:rsidRPr="005850FE">
              <w:t>resistance</w:t>
            </w:r>
          </w:p>
          <w:p w:rsidR="00000000" w:rsidRPr="005850FE" w:rsidP="005850FE">
            <w:pPr>
              <w:pStyle w:val="ListBullet"/>
            </w:pPr>
            <w:r w:rsidRPr="005850FE">
              <w:t>reverberatory</w:t>
            </w:r>
          </w:p>
          <w:p w:rsidR="00000000" w:rsidRPr="005850FE" w:rsidP="005850FE">
            <w:pPr>
              <w:pStyle w:val="BodyText"/>
            </w:pPr>
          </w:p>
        </w:tc>
      </w:tr>
    </w:tbl>
    <w:p w:rsidR="00000000" w:rsidRPr="005850FE" w:rsidP="005850FE">
      <w:pPr>
        <w:pStyle w:val="BodyText"/>
      </w:pPr>
    </w:p>
    <w:p w:rsidR="00000000" w:rsidRPr="005850FE" w:rsidP="005850FE">
      <w:pPr>
        <w:pStyle w:val="AllowPageBreak"/>
      </w:pPr>
    </w:p>
    <w:p w:rsidR="00000000" w:rsidRPr="005850FE" w:rsidP="005850FE">
      <w:pPr>
        <w:pStyle w:val="Heading1"/>
      </w:pPr>
      <w:bookmarkStart w:id="8" w:name="O_1168822"/>
      <w:bookmarkEnd w:id="8"/>
      <w:r w:rsidRPr="005850FE">
        <w:t>Unit Mapping Information</w:t>
      </w:r>
    </w:p>
    <w:p w:rsidR="00000000" w:rsidRPr="005850FE" w:rsidP="005B3C63">
      <w:pPr>
        <w:pStyle w:val="BodyText"/>
      </w:pPr>
      <w:r w:rsidRPr="005850FE">
        <w:t>Release 2. Supersedes and is equivalent to MEM04021 Supervise individual non-ferrous melting and casting operation (Release 1).</w:t>
      </w:r>
    </w:p>
    <w:p w:rsidR="00000000" w:rsidRPr="005850FE" w:rsidP="005B3C63">
      <w:pPr>
        <w:pStyle w:val="BodyText"/>
      </w:pPr>
      <w:r w:rsidRPr="005850FE">
        <w:t xml:space="preserve">Release 1. Supersedes and is equivalent to MEM04021A Supervise individual non-ferrous melting </w:t>
      </w:r>
      <w:r w:rsidRPr="005850FE">
        <w:t>and casting operation.</w:t>
      </w:r>
    </w:p>
    <w:p w:rsidR="00000000" w:rsidRPr="005850FE" w:rsidP="005850FE">
      <w:pPr>
        <w:pStyle w:val="Heading1"/>
      </w:pPr>
      <w:bookmarkStart w:id="9" w:name="O_1168830"/>
      <w:bookmarkEnd w:id="9"/>
      <w:r w:rsidRPr="005850FE">
        <w:t>Links</w:t>
      </w:r>
    </w:p>
    <w:p w:rsidR="00000000" w:rsidRPr="005850FE" w:rsidP="005B3C63">
      <w:pPr>
        <w:pStyle w:val="BodyText"/>
      </w:pPr>
      <w:r w:rsidRPr="005850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2348">
        <w:rPr>
          <w:rStyle w:val="Hyperlink"/>
        </w:rPr>
        <w:t>https://vetnet.gov.au/Pages/TrainingDocs.aspx?q=b7050d37-5fd0-4740-8f7d-3b7a49c10bb2</w:t>
      </w:r>
      <w:r>
        <w:fldChar w:fldCharType="end"/>
      </w:r>
    </w:p>
    <w:p w:rsidR="00000000" w:rsidRPr="005850FE" w:rsidP="005B3C63">
      <w:pPr>
        <w:pStyle w:val="BodyText"/>
        <w:sectPr w:rsidSect="005850FE">
          <w:headerReference w:type="default" r:id="rId10"/>
          <w:footerReference w:type="default" r:id="rId11"/>
          <w:pgSz w:w="11908" w:h="16833"/>
          <w:pgMar w:top="1702" w:right="1418" w:bottom="1702" w:left="1418" w:header="992" w:footer="992" w:gutter="0"/>
          <w:cols w:space="720"/>
          <w:noEndnote/>
          <w:docGrid w:linePitch="299"/>
        </w:sectPr>
      </w:pPr>
    </w:p>
    <w:p w:rsidR="00000000" w:rsidRPr="005850FE" w:rsidP="005850FE">
      <w:pPr>
        <w:pStyle w:val="SuperHeading"/>
      </w:pPr>
      <w:r w:rsidRPr="005850FE">
        <w:t xml:space="preserve">Assessment </w:t>
      </w:r>
      <w:r w:rsidRPr="005850FE">
        <w:t>Requirements for MEM04021 Supervise individual non-ferrous melting and casting operation</w:t>
      </w:r>
    </w:p>
    <w:p w:rsidR="00000000" w:rsidRPr="005850FE" w:rsidP="005850FE">
      <w:pPr>
        <w:pStyle w:val="Heading1"/>
      </w:pPr>
      <w:bookmarkStart w:id="10" w:name="O_1168820"/>
      <w:bookmarkEnd w:id="10"/>
      <w:r w:rsidRPr="005850FE">
        <w:t>Modification History</w:t>
      </w:r>
    </w:p>
    <w:p w:rsidR="00000000" w:rsidRPr="005850FE" w:rsidP="005B3C63">
      <w:pPr>
        <w:pStyle w:val="BodyText"/>
      </w:pPr>
      <w:r w:rsidRPr="005850FE">
        <w:t>Release 2. Quantum of hours of workplace practice removed. Supersedes and is equivalent to MEM04021 Supervise individual non-fer</w:t>
      </w:r>
      <w:r w:rsidRPr="005850FE">
        <w:t>rous melting and casting operation (Release 1).</w:t>
      </w:r>
    </w:p>
    <w:p w:rsidR="00000000" w:rsidRPr="005850FE" w:rsidP="005B3C63">
      <w:pPr>
        <w:pStyle w:val="BodyText"/>
      </w:pPr>
      <w:r w:rsidRPr="005850FE">
        <w:t>Release 1. Supersedes and is equivalent to MEM04021A Supervise individual non-ferrous melting and casting operation.</w:t>
      </w:r>
    </w:p>
    <w:p w:rsidR="00000000" w:rsidRPr="005850FE" w:rsidP="005850FE">
      <w:pPr>
        <w:pStyle w:val="Heading1"/>
      </w:pPr>
      <w:bookmarkStart w:id="11" w:name="O_1168819"/>
      <w:bookmarkEnd w:id="11"/>
      <w:r w:rsidRPr="005850FE">
        <w:t>Performance Evidence</w:t>
      </w:r>
    </w:p>
    <w:p w:rsidR="00000000" w:rsidRPr="005850FE" w:rsidP="005B3C63">
      <w:pPr>
        <w:pStyle w:val="BodyText"/>
      </w:pPr>
      <w:r w:rsidRPr="005850FE">
        <w:t>Evidence required to demonstrate competence in this</w:t>
      </w:r>
      <w:r w:rsidRPr="005850FE">
        <w:t xml:space="preserve"> unit must be relevant to and satisfy the requirements of the elements and performance criteria on at least two (2) occasions and include:</w:t>
      </w:r>
    </w:p>
    <w:p w:rsidR="00000000" w:rsidRPr="005850FE" w:rsidP="005850FE">
      <w:pPr>
        <w:pStyle w:val="ListBullet"/>
      </w:pPr>
      <w:r w:rsidRPr="005850FE">
        <w:t xml:space="preserve">following work instructions, standard operating procedures (SOPs) and safe work practices </w:t>
      </w:r>
    </w:p>
    <w:p w:rsidR="00000000" w:rsidRPr="005850FE" w:rsidP="005850FE">
      <w:pPr>
        <w:pStyle w:val="ListBullet"/>
      </w:pPr>
      <w:r w:rsidRPr="005850FE">
        <w:t>identifying and interpret</w:t>
      </w:r>
      <w:r w:rsidRPr="005850FE">
        <w:t>ing specifications, safety procedures and codes of practice/standards for the required melting and casting operation</w:t>
      </w:r>
    </w:p>
    <w:p w:rsidR="00000000" w:rsidRPr="005850FE" w:rsidP="005850FE">
      <w:pPr>
        <w:pStyle w:val="ListBullet"/>
      </w:pPr>
      <w:r w:rsidRPr="005850FE">
        <w:t>checking for contaminates when verifying metal changes to melting and recommending changes and/or additions to the charge as required</w:t>
      </w:r>
    </w:p>
    <w:p w:rsidR="00000000" w:rsidRPr="005850FE" w:rsidP="005850FE">
      <w:pPr>
        <w:pStyle w:val="ListBullet"/>
      </w:pPr>
      <w:r w:rsidRPr="005850FE">
        <w:t xml:space="preserve">providing evidence from castings that were made using different alloys and moulds </w:t>
      </w:r>
    </w:p>
    <w:p w:rsidR="00000000" w:rsidRPr="005850FE" w:rsidP="005850FE">
      <w:pPr>
        <w:pStyle w:val="ListBullet"/>
      </w:pPr>
      <w:r w:rsidRPr="005850FE">
        <w:t>monitor melting and casting operations of non-ferrous metal</w:t>
      </w:r>
    </w:p>
    <w:p w:rsidR="00000000" w:rsidRPr="005850FE" w:rsidP="005850FE">
      <w:pPr>
        <w:pStyle w:val="ListBullet"/>
      </w:pPr>
      <w:r w:rsidRPr="005850FE">
        <w:t>operating a melting furnace safely and monitoring and supervising the operation of a furnace by other employees</w:t>
      </w:r>
    </w:p>
    <w:p w:rsidR="00000000" w:rsidRPr="005850FE" w:rsidP="005850FE">
      <w:pPr>
        <w:pStyle w:val="ListBullet"/>
      </w:pPr>
      <w:r w:rsidRPr="005850FE">
        <w:t>h</w:t>
      </w:r>
      <w:r w:rsidRPr="005850FE">
        <w:t>andling pouring equipment and monitoring safely and supervising the operation of pouring equipment by other employees.</w:t>
      </w:r>
    </w:p>
    <w:p w:rsidR="00000000" w:rsidRPr="005850FE" w:rsidP="005850FE">
      <w:pPr>
        <w:pStyle w:val="AllowPageBreak"/>
      </w:pPr>
    </w:p>
    <w:p w:rsidR="00000000" w:rsidRPr="005850FE" w:rsidP="005850FE">
      <w:pPr>
        <w:pStyle w:val="Heading1"/>
      </w:pPr>
      <w:bookmarkStart w:id="12" w:name="O_1168818"/>
      <w:bookmarkEnd w:id="12"/>
      <w:r w:rsidRPr="005850FE">
        <w:t>Knowledge Evidence</w:t>
      </w:r>
    </w:p>
    <w:p w:rsidR="00000000" w:rsidRPr="005850FE" w:rsidP="005B3C63">
      <w:pPr>
        <w:pStyle w:val="BodyText"/>
      </w:pPr>
      <w:r w:rsidRPr="005850FE">
        <w:t>Evidence required to demonstrate the required knowledge for this unit must be relevant to and satis</w:t>
      </w:r>
      <w:r w:rsidRPr="005850FE">
        <w:t>fy the requirements of the elements and performance criteria and include knowledge of:</w:t>
      </w:r>
    </w:p>
    <w:p w:rsidR="00000000" w:rsidRPr="005850FE" w:rsidP="005850FE">
      <w:pPr>
        <w:pStyle w:val="ListBullet"/>
      </w:pPr>
      <w:r w:rsidRPr="005850FE">
        <w:t>safe work practices and procedures and use of personal protective equipment (PPE)</w:t>
      </w:r>
    </w:p>
    <w:p w:rsidR="00000000" w:rsidRPr="005850FE" w:rsidP="005850FE">
      <w:pPr>
        <w:pStyle w:val="ListBullet"/>
      </w:pPr>
      <w:r w:rsidRPr="005850FE">
        <w:t>charge calculations – importance of composition control, methods used to calculate for</w:t>
      </w:r>
      <w:r w:rsidRPr="005850FE">
        <w:t xml:space="preserve"> additions, types of alloy additions and their effects on casting behaviour and finished product</w:t>
      </w:r>
    </w:p>
    <w:p w:rsidR="00000000" w:rsidRPr="005850FE" w:rsidP="005850FE">
      <w:pPr>
        <w:pStyle w:val="ListBullet"/>
      </w:pPr>
      <w:r w:rsidRPr="005850FE">
        <w:t>non-ferrous alloys:</w:t>
      </w:r>
    </w:p>
    <w:p w:rsidR="00000000" w:rsidRPr="005850FE" w:rsidP="005850FE">
      <w:pPr>
        <w:pStyle w:val="ListBullet2"/>
      </w:pPr>
      <w:r w:rsidRPr="005850FE">
        <w:t>definition of non-ferrous metals</w:t>
      </w:r>
    </w:p>
    <w:p w:rsidR="00000000" w:rsidRPr="005850FE" w:rsidP="005850FE">
      <w:pPr>
        <w:pStyle w:val="ListBullet2"/>
      </w:pPr>
      <w:r w:rsidRPr="005850FE">
        <w:t>methods of controlling physical properties</w:t>
      </w:r>
    </w:p>
    <w:p w:rsidR="00000000" w:rsidRPr="005850FE" w:rsidP="005850FE">
      <w:pPr>
        <w:pStyle w:val="ListBullet2"/>
      </w:pPr>
      <w:r w:rsidRPr="005850FE">
        <w:t>advantages/disadvantages of density of each type of non-ferrous metal</w:t>
      </w:r>
    </w:p>
    <w:p w:rsidR="00000000" w:rsidRPr="005850FE" w:rsidP="005850FE">
      <w:pPr>
        <w:pStyle w:val="ListBullet2"/>
      </w:pPr>
      <w:r w:rsidRPr="005850FE">
        <w:t>methods of controlling tensile strength of non-ferrous metals</w:t>
      </w:r>
    </w:p>
    <w:p w:rsidR="00000000" w:rsidRPr="005850FE" w:rsidP="005850FE">
      <w:pPr>
        <w:pStyle w:val="ListBullet2"/>
      </w:pPr>
      <w:r w:rsidRPr="005850FE">
        <w:t>methods of controlling the hardness of non-ferrous metals</w:t>
      </w:r>
    </w:p>
    <w:p w:rsidR="00000000" w:rsidRPr="005850FE" w:rsidP="005850FE">
      <w:pPr>
        <w:pStyle w:val="ListBullet2"/>
      </w:pPr>
      <w:r w:rsidRPr="005850FE">
        <w:t>influence of melting points on production processes</w:t>
      </w:r>
    </w:p>
    <w:p w:rsidR="00000000" w:rsidRPr="005850FE" w:rsidP="005850FE">
      <w:pPr>
        <w:pStyle w:val="ListBullet2"/>
      </w:pPr>
      <w:r w:rsidRPr="005850FE">
        <w:t>shrinkage perc</w:t>
      </w:r>
      <w:r w:rsidRPr="005850FE">
        <w:t>entage of the types of non-ferrous metals</w:t>
      </w:r>
    </w:p>
    <w:p w:rsidR="00000000" w:rsidRPr="005850FE" w:rsidP="005850FE">
      <w:pPr>
        <w:pStyle w:val="ListBullet2"/>
      </w:pPr>
      <w:r w:rsidRPr="005850FE">
        <w:t>how to control metal fluidity</w:t>
      </w:r>
    </w:p>
    <w:p w:rsidR="00000000" w:rsidRPr="005850FE" w:rsidP="005850FE">
      <w:pPr>
        <w:pStyle w:val="ListBullet2"/>
      </w:pPr>
      <w:r w:rsidRPr="005850FE">
        <w:t>refractory selection requirements for non-ferrous alloys</w:t>
      </w:r>
    </w:p>
    <w:p w:rsidR="00000000" w:rsidRPr="005850FE" w:rsidP="005850FE">
      <w:pPr>
        <w:pStyle w:val="ListBullet2"/>
      </w:pPr>
      <w:r w:rsidRPr="005850FE">
        <w:t>use of degassing to control gas defects</w:t>
      </w:r>
    </w:p>
    <w:p w:rsidR="00000000" w:rsidRPr="005850FE" w:rsidP="005850FE">
      <w:pPr>
        <w:pStyle w:val="ListBullet2"/>
      </w:pPr>
      <w:r w:rsidRPr="005850FE">
        <w:t>actions required to control grain size</w:t>
      </w:r>
    </w:p>
    <w:p w:rsidR="00000000" w:rsidRPr="005850FE" w:rsidP="005850FE">
      <w:pPr>
        <w:pStyle w:val="ListBullet2"/>
      </w:pPr>
      <w:r w:rsidRPr="005850FE">
        <w:t>grades of brass, bronze and gunmetal and their a</w:t>
      </w:r>
      <w:r w:rsidRPr="005850FE">
        <w:t>pplications</w:t>
      </w:r>
    </w:p>
    <w:p w:rsidR="00000000" w:rsidRPr="005850FE" w:rsidP="005850FE">
      <w:pPr>
        <w:pStyle w:val="ListBullet2"/>
      </w:pPr>
      <w:r w:rsidRPr="005850FE">
        <w:t>the grades of other copper, aluminium, lead, zinc, and magnesium based alloys and their applications</w:t>
      </w:r>
    </w:p>
    <w:p w:rsidR="00000000" w:rsidRPr="005850FE" w:rsidP="005850FE">
      <w:pPr>
        <w:pStyle w:val="ListBullet2"/>
      </w:pPr>
      <w:r w:rsidRPr="005850FE">
        <w:t>how to select non-ferrous metal based on required properties</w:t>
      </w:r>
    </w:p>
    <w:p w:rsidR="00000000" w:rsidRPr="005850FE" w:rsidP="005850FE">
      <w:pPr>
        <w:pStyle w:val="ListBullet2"/>
      </w:pPr>
      <w:r w:rsidRPr="005850FE">
        <w:t>how to conduct metal analysis of non-ferrous metals</w:t>
      </w:r>
    </w:p>
    <w:p w:rsidR="00000000" w:rsidRPr="005850FE" w:rsidP="005850FE">
      <w:pPr>
        <w:pStyle w:val="ListBullet2"/>
      </w:pPr>
      <w:r w:rsidRPr="005850FE">
        <w:t>Australian standards (or other</w:t>
      </w:r>
      <w:r w:rsidRPr="005850FE">
        <w:t xml:space="preserve"> appropriate standard) for non-ferrous metals</w:t>
      </w:r>
    </w:p>
    <w:p w:rsidR="00000000" w:rsidRPr="005850FE" w:rsidP="005850FE">
      <w:pPr>
        <w:pStyle w:val="ListBullet"/>
      </w:pPr>
      <w:r w:rsidRPr="005850FE">
        <w:t>types of furnaces and their relative advantages and disadvantages including maintenance requirements</w:t>
      </w:r>
    </w:p>
    <w:p w:rsidR="00000000" w:rsidRPr="005850FE" w:rsidP="005850FE">
      <w:pPr>
        <w:pStyle w:val="ListBullet"/>
      </w:pPr>
      <w:r w:rsidRPr="005850FE">
        <w:t>selection of appropriate refractories for non-ferrous melting –</w:t>
      </w:r>
      <w:r w:rsidRPr="005850FE">
        <w:t xml:space="preserve"> silica, ganister, coatings and others common to non-ferrous melting</w:t>
      </w:r>
    </w:p>
    <w:p w:rsidR="00000000" w:rsidRPr="005850FE" w:rsidP="005850FE">
      <w:pPr>
        <w:pStyle w:val="ListBullet"/>
      </w:pPr>
      <w:r w:rsidRPr="005850FE">
        <w:t>selection of the form of linings for non-ferrous melting – monolithic, castable, rammable and bricks</w:t>
      </w:r>
    </w:p>
    <w:p w:rsidR="00000000" w:rsidRPr="005850FE" w:rsidP="005850FE">
      <w:pPr>
        <w:pStyle w:val="ListBullet"/>
      </w:pPr>
      <w:r w:rsidRPr="005850FE">
        <w:t>selection of the appropriate ladles/crucibles with regard to types, ladles, crucibles,</w:t>
      </w:r>
      <w:r w:rsidRPr="005850FE">
        <w:t xml:space="preserve"> safety and maintenance, including checking of mechanical condition of gearboxes and safety locks, and care of crucibles and porous plug</w:t>
      </w:r>
    </w:p>
    <w:p w:rsidR="00000000" w:rsidRPr="005850FE" w:rsidP="005850FE">
      <w:pPr>
        <w:pStyle w:val="ListBullet"/>
      </w:pPr>
      <w:r w:rsidRPr="005850FE">
        <w:t xml:space="preserve">supervision of other staff in melting and casting safety, including housekeeping, PPE, dry area and tools, pre-heating </w:t>
      </w:r>
      <w:r w:rsidRPr="005850FE">
        <w:t>of ladles and safe working load of overhead cranes</w:t>
      </w:r>
    </w:p>
    <w:p w:rsidR="00000000" w:rsidRPr="005850FE" w:rsidP="005850FE">
      <w:pPr>
        <w:pStyle w:val="ListBullet"/>
      </w:pPr>
      <w:r w:rsidRPr="005850FE">
        <w:t>furnace operation, including procedures for ensuring a dry and safe charge, warm and dry equipment, pre-heating, scrap selection, scrap segregation, housekeeping, melting schedule, pouring schedule, charge</w:t>
      </w:r>
      <w:r w:rsidRPr="005850FE">
        <w:t xml:space="preserve"> calculations and calculations, including volume and mass calculations and maintenance of melting and pouring equipment</w:t>
      </w:r>
    </w:p>
    <w:p w:rsidR="00000000" w:rsidRPr="005850FE" w:rsidP="005850FE">
      <w:pPr>
        <w:pStyle w:val="ListBullet"/>
      </w:pPr>
      <w:r w:rsidRPr="005850FE">
        <w:t>use of lifting and handling equipment, including tongs, shanks, cranes, hoists, bogey ladles and maintenance</w:t>
      </w:r>
    </w:p>
    <w:p w:rsidR="00000000" w:rsidRPr="005850FE" w:rsidP="005850FE">
      <w:pPr>
        <w:pStyle w:val="ListBullet"/>
      </w:pPr>
      <w:r w:rsidRPr="005850FE">
        <w:t xml:space="preserve">types of control equipment </w:t>
      </w:r>
      <w:r w:rsidRPr="005850FE">
        <w:t>– thermal analysis, pyrometers, gas analysis, chemical analysis, wet chemical analysis, spectrograph, fluidity test and shrinkage test</w:t>
      </w:r>
    </w:p>
    <w:p w:rsidR="00000000" w:rsidRPr="005850FE" w:rsidP="005850FE">
      <w:pPr>
        <w:pStyle w:val="ListBullet"/>
      </w:pPr>
      <w:r w:rsidRPr="005850FE">
        <w:t xml:space="preserve">quality control and procedures for accurate weighing, correct chemical analysis, temperature control, covers and fluxes, </w:t>
      </w:r>
      <w:r w:rsidRPr="005850FE">
        <w:t>mould/metal reactions, conduct and interpretation of thermal analysis, degassing, deoxidising, ladle refining and customer requirements</w:t>
      </w:r>
    </w:p>
    <w:p w:rsidR="00000000" w:rsidRPr="005850FE" w:rsidP="005850FE">
      <w:pPr>
        <w:pStyle w:val="ListBullet"/>
      </w:pPr>
      <w:r w:rsidRPr="005850FE">
        <w:t>types of defects and prevention including – contamination, gas absorption, metal analysis, temperature control, oxidatio</w:t>
      </w:r>
      <w:r w:rsidRPr="005850FE">
        <w:t>n and other defects common to non-ferrous metals</w:t>
      </w:r>
    </w:p>
    <w:p w:rsidR="00000000" w:rsidRPr="005850FE" w:rsidP="005850FE">
      <w:pPr>
        <w:pStyle w:val="ListBullet"/>
      </w:pPr>
      <w:r w:rsidRPr="005850FE">
        <w:t>tapping and pouring operations, including when to pour according to job and furnace specification, availability of emergency pour out pits and other safety equipment, availability of cranes or other transpor</w:t>
      </w:r>
      <w:r w:rsidRPr="005850FE">
        <w:t>t, pour out rate, ensuring mechanical test bar is available and taken, if required, and ensuring pig pouring and tagging is performed correctly.</w:t>
      </w:r>
    </w:p>
    <w:p w:rsidR="00000000" w:rsidRPr="005850FE" w:rsidP="005850FE">
      <w:pPr>
        <w:pStyle w:val="AllowPageBreak"/>
      </w:pPr>
    </w:p>
    <w:p w:rsidR="00000000" w:rsidRPr="005850FE" w:rsidP="005850FE">
      <w:pPr>
        <w:pStyle w:val="Heading1"/>
      </w:pPr>
      <w:bookmarkStart w:id="13" w:name="O_1168817"/>
      <w:bookmarkEnd w:id="13"/>
      <w:r w:rsidRPr="005850FE">
        <w:t>Assessment Conditions</w:t>
      </w:r>
    </w:p>
    <w:p w:rsidR="00000000" w:rsidRPr="005850FE" w:rsidP="005850FE">
      <w:pPr>
        <w:pStyle w:val="ListBullet"/>
      </w:pPr>
      <w:r w:rsidRPr="005850FE">
        <w:t>Assessors must:</w:t>
      </w:r>
    </w:p>
    <w:p w:rsidR="00000000" w:rsidRPr="005850FE" w:rsidP="005850FE">
      <w:pPr>
        <w:pStyle w:val="ListBullet2"/>
      </w:pPr>
      <w:r w:rsidRPr="005850FE">
        <w:t>have vocational competency in the supervision of ind</w:t>
      </w:r>
      <w:r w:rsidRPr="005850FE">
        <w:t>ividual non-ferrous melting and casting operation at least to the level being assessed with relevant industry knowledge and experience</w:t>
      </w:r>
    </w:p>
    <w:p w:rsidR="00000000" w:rsidRPr="005850FE" w:rsidP="005850FE">
      <w:pPr>
        <w:pStyle w:val="ListBullet2"/>
      </w:pPr>
      <w:r w:rsidRPr="005850FE">
        <w:t xml:space="preserve">satisfy the assessor requirements in the </w:t>
      </w:r>
      <w:r w:rsidRPr="005850FE">
        <w:rPr>
          <w:rStyle w:val="Emphasis"/>
        </w:rPr>
        <w:t xml:space="preserve">Standards for Registered Training Organisations 2015 </w:t>
      </w:r>
      <w:r w:rsidRPr="005850FE">
        <w:t>or its replacement</w:t>
      </w:r>
      <w:r w:rsidRPr="005850FE">
        <w:rPr>
          <w:rStyle w:val="Emphasis"/>
        </w:rPr>
        <w:t xml:space="preserve"> </w:t>
      </w:r>
      <w:r w:rsidRPr="005850FE">
        <w:t xml:space="preserve">and comply with the </w:t>
      </w:r>
      <w:r w:rsidRPr="005850FE">
        <w:rPr>
          <w:rStyle w:val="Emphasis"/>
        </w:rPr>
        <w:t xml:space="preserve">National Vocational Education and Training Regulator Act 2011, </w:t>
      </w:r>
      <w:r w:rsidRPr="005850FE">
        <w:t>its replacement</w:t>
      </w:r>
      <w:r w:rsidRPr="005850FE">
        <w:rPr>
          <w:rStyle w:val="Emphasis"/>
        </w:rPr>
        <w:t xml:space="preserve"> </w:t>
      </w:r>
      <w:r w:rsidRPr="005850FE">
        <w:t>or equivalent legislation covering VET regulation in a non-referring state/territory as the case requires.</w:t>
      </w:r>
    </w:p>
    <w:p w:rsidR="00000000" w:rsidRPr="005850FE" w:rsidP="005850FE">
      <w:pPr>
        <w:pStyle w:val="ListBullet"/>
      </w:pPr>
      <w:r w:rsidRPr="005850FE">
        <w:t>Assessment must occur in a functioning workplace.</w:t>
      </w:r>
      <w:r w:rsidRPr="005850FE">
        <w:t xml:space="preserve"> Where assessment in the workplace would be unsafe, impractical or threatens the environment, assessment must occur in a sufficiently rigorous simulated environment that reflects the circumstances that would be experienced in a functioning workplace. Asses</w:t>
      </w:r>
      <w:r w:rsidRPr="005850FE">
        <w:t xml:space="preserve">sment must cover all aspects of workplace performance, including task skills, task management skills, contingency management skills and job role environment skills. </w:t>
      </w:r>
    </w:p>
    <w:p w:rsidR="00000000" w:rsidRPr="005850FE" w:rsidP="005850FE">
      <w:pPr>
        <w:pStyle w:val="ListBullet"/>
      </w:pPr>
      <w:r w:rsidRPr="005850FE">
        <w:t>Conditions for assessment must include access to all tools, equipment, materials and docum</w:t>
      </w:r>
      <w:r w:rsidRPr="005850FE">
        <w:t>entation required, including relevant workplace procedures, product and manufacturing specifications.</w:t>
      </w:r>
    </w:p>
    <w:p w:rsidR="00000000" w:rsidRPr="005850FE" w:rsidP="005850FE">
      <w:pPr>
        <w:pStyle w:val="ListBullet"/>
      </w:pPr>
      <w:r w:rsidRPr="005850FE">
        <w:t>Assessment processes and techniques must be appropriate to the language, literacy and numeracy requirements of the work being performed and the needs of t</w:t>
      </w:r>
      <w:r w:rsidRPr="005850FE">
        <w:t>he candidate.</w:t>
      </w:r>
    </w:p>
    <w:p w:rsidR="00000000" w:rsidRPr="005850FE" w:rsidP="005850FE">
      <w:pPr>
        <w:pStyle w:val="AllowPageBreak"/>
      </w:pPr>
    </w:p>
    <w:p w:rsidR="00000000" w:rsidRPr="005850FE" w:rsidP="005850FE">
      <w:pPr>
        <w:pStyle w:val="Heading1"/>
      </w:pPr>
      <w:bookmarkStart w:id="14" w:name="O_1168831"/>
      <w:bookmarkEnd w:id="14"/>
      <w:r w:rsidRPr="005850FE">
        <w:t>Links</w:t>
      </w:r>
    </w:p>
    <w:p w:rsidR="00000000" w:rsidRPr="005850FE" w:rsidP="005B3C63">
      <w:pPr>
        <w:pStyle w:val="BodyText"/>
      </w:pPr>
      <w:r w:rsidRPr="005850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12348">
        <w:rPr>
          <w:rStyle w:val="Hyperlink"/>
        </w:rPr>
        <w:t>https://vetnet.gov.au/Pages/TrainingDocs.aspx?q=b7050d37-5fd0-4740-8f7d-3b7a49c10bb2</w:t>
      </w:r>
      <w:r>
        <w:fldChar w:fldCharType="end"/>
      </w:r>
    </w:p>
    <w:p w:rsidR="00000000" w:rsidRPr="005850FE" w:rsidP="005850FE"/>
    <w:sectPr w:rsidSect="005850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rsidRPr="005B3C63" w:rsidP="005B3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63" w:rsidP="00585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3C63" w:rsidP="005850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3C63" w:rsidP="005850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rsidP="005850FE">
    <w:pPr>
      <w:pStyle w:val="Footer"/>
      <w:framePr w:wrap="around"/>
    </w:pPr>
    <w:r>
      <w:fldChar w:fldCharType="begin"/>
    </w:r>
    <w:r>
      <w:instrText xml:space="preserve"> DOCPROPERTY  Subject  \* MERGEFORMAT </w:instrText>
    </w:r>
    <w:r>
      <w:fldChar w:fldCharType="separate"/>
    </w:r>
    <w:r w:rsidR="005B3C63">
      <w:t>Approved</w:t>
    </w:r>
    <w:r w:rsidR="005B3C63">
      <w:fldChar w:fldCharType="end"/>
    </w:r>
    <w:r>
      <w:tab/>
      <w:t xml:space="preserve">Page </w:t>
    </w:r>
    <w:r>
      <w:fldChar w:fldCharType="begin"/>
    </w:r>
    <w:r>
      <w:instrText xml:space="preserve"> PAGE  \* Arabic  \* MERGEFORMAT </w:instrText>
    </w:r>
    <w:r>
      <w:fldChar w:fldCharType="separate"/>
    </w:r>
    <w:r w:rsidR="005B3C6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3C63">
      <w:rPr>
        <w:noProof/>
      </w:rPr>
      <w:t>6</w:t>
    </w:r>
    <w:r>
      <w:rPr>
        <w:noProof/>
      </w:rPr>
      <w:fldChar w:fldCharType="end"/>
    </w:r>
  </w:p>
  <w:p w:rsidR="005850FE" w:rsidP="005850FE">
    <w:pPr>
      <w:pStyle w:val="Footer"/>
      <w:framePr w:wrap="around"/>
    </w:pPr>
    <w:r>
      <w:t xml:space="preserve">© Commonwealth of Australia, </w:t>
    </w:r>
    <w:r>
      <w:fldChar w:fldCharType="begin"/>
    </w:r>
    <w:r>
      <w:instrText xml:space="preserve"> DATE  \@ "yyyy"  \* MERGEFORMAT </w:instrText>
    </w:r>
    <w:r>
      <w:fldChar w:fldCharType="separate"/>
    </w:r>
    <w:r w:rsidR="005B3C63">
      <w:rPr>
        <w:noProof/>
      </w:rPr>
      <w:t>2025</w:t>
    </w:r>
    <w:r>
      <w:fldChar w:fldCharType="end"/>
    </w:r>
    <w:r>
      <w:tab/>
    </w:r>
    <w:r>
      <w:fldChar w:fldCharType="begin"/>
    </w:r>
    <w:r>
      <w:instrText xml:space="preserve"> DOCPROPERTY  Author  \* MERGEFORMAT </w:instrText>
    </w:r>
    <w:r>
      <w:fldChar w:fldCharType="separate"/>
    </w:r>
    <w:r w:rsidR="005B3C63">
      <w:t>Manufacturing Industry Skills Alliance</w:t>
    </w:r>
    <w:r w:rsidR="005B3C63">
      <w:fldChar w:fldCharType="end"/>
    </w:r>
  </w:p>
  <w:p w:rsidR="005850FE" w:rsidP="00585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0FE" w:rsidRPr="005B3C63" w:rsidP="005B3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63" w:rsidRPr="002D2AF8" w:rsidP="005850FE">
    <w:pPr>
      <w:pStyle w:val="Header"/>
      <w:framePr w:wrap="around"/>
    </w:pPr>
    <w:r>
      <w:fldChar w:fldCharType="begin"/>
    </w:r>
    <w:r>
      <w:instrText xml:space="preserve"> TITLE   \* MERGEFORMAT </w:instrText>
    </w:r>
    <w:r>
      <w:fldChar w:fldCharType="separate"/>
    </w:r>
    <w:r>
      <w:t>MEM04021 Supervise individual non-ferrous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3C63" w:rsidP="005850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FE" w:rsidRPr="002D2AF8" w:rsidP="005850FE">
    <w:pPr>
      <w:pStyle w:val="Header"/>
      <w:framePr w:wrap="around"/>
    </w:pPr>
    <w:r>
      <w:fldChar w:fldCharType="begin"/>
    </w:r>
    <w:r>
      <w:instrText xml:space="preserve"> TITLE   \* MERGEFORMAT </w:instrText>
    </w:r>
    <w:r>
      <w:fldChar w:fldCharType="separate"/>
    </w:r>
    <w:r w:rsidR="005B3C63">
      <w:t>MEM04021 Supervise individual non-ferrous melting and casting operation</w:t>
    </w:r>
    <w:r w:rsidR="005B3C63">
      <w:fldChar w:fldCharType="end"/>
    </w:r>
    <w:r>
      <w:tab/>
      <w:t xml:space="preserve">Date this document was generated: </w:t>
    </w:r>
    <w:r>
      <w:fldChar w:fldCharType="begin"/>
    </w:r>
    <w:r>
      <w:instrText xml:space="preserve"> CREATEDATE  \@ "d MMMM yyyy"  \* MERGEFORMAT </w:instrText>
    </w:r>
    <w:r>
      <w:fldChar w:fldCharType="separate"/>
    </w:r>
    <w:r w:rsidR="005B3C63">
      <w:rPr>
        <w:noProof/>
      </w:rPr>
      <w:t>2 March 2025</w:t>
    </w:r>
    <w:r>
      <w:fldChar w:fldCharType="end"/>
    </w:r>
  </w:p>
  <w:p w:rsidR="005850FE" w:rsidP="00585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CA4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22F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2B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0FE"/>
    <w:pPr>
      <w:spacing w:before="360" w:after="60"/>
      <w:outlineLvl w:val="0"/>
    </w:pPr>
    <w:rPr>
      <w:sz w:val="32"/>
    </w:rPr>
  </w:style>
  <w:style w:type="paragraph" w:styleId="Heading2">
    <w:name w:val="heading 2"/>
    <w:basedOn w:val="HeadingBase"/>
    <w:next w:val="BodyText"/>
    <w:link w:val="Heading2Char"/>
    <w:qFormat/>
    <w:rsid w:val="005850FE"/>
    <w:pPr>
      <w:keepLines/>
      <w:spacing w:before="240" w:after="120"/>
      <w:outlineLvl w:val="1"/>
    </w:pPr>
    <w:rPr>
      <w:sz w:val="28"/>
      <w:szCs w:val="40"/>
    </w:rPr>
  </w:style>
  <w:style w:type="paragraph" w:styleId="Heading3">
    <w:name w:val="heading 3"/>
    <w:basedOn w:val="HeadingBase"/>
    <w:next w:val="BodyText"/>
    <w:link w:val="Heading3Char"/>
    <w:qFormat/>
    <w:rsid w:val="005850FE"/>
    <w:pPr>
      <w:spacing w:before="180" w:after="120"/>
      <w:outlineLvl w:val="2"/>
    </w:pPr>
    <w:rPr>
      <w:spacing w:val="-10"/>
      <w:kern w:val="32"/>
    </w:rPr>
  </w:style>
  <w:style w:type="paragraph" w:styleId="Heading4">
    <w:name w:val="heading 4"/>
    <w:basedOn w:val="HeadingBase"/>
    <w:next w:val="BodyText"/>
    <w:link w:val="Heading4Char"/>
    <w:qFormat/>
    <w:rsid w:val="005850FE"/>
    <w:pPr>
      <w:spacing w:before="160" w:after="120"/>
      <w:outlineLvl w:val="3"/>
    </w:pPr>
    <w:rPr>
      <w:sz w:val="22"/>
    </w:rPr>
  </w:style>
  <w:style w:type="paragraph" w:styleId="Heading5">
    <w:name w:val="heading 5"/>
    <w:basedOn w:val="HeadingBase"/>
    <w:next w:val="Normal"/>
    <w:link w:val="Heading5Char"/>
    <w:qFormat/>
    <w:rsid w:val="005850FE"/>
    <w:pPr>
      <w:spacing w:before="80"/>
      <w:outlineLvl w:val="4"/>
    </w:pPr>
    <w:rPr>
      <w:color w:val="918585"/>
      <w:sz w:val="20"/>
    </w:rPr>
  </w:style>
  <w:style w:type="paragraph" w:styleId="Heading6">
    <w:name w:val="heading 6"/>
    <w:basedOn w:val="HeadingBase"/>
    <w:next w:val="Normal"/>
    <w:link w:val="Heading6Char"/>
    <w:qFormat/>
    <w:rsid w:val="005850FE"/>
    <w:pPr>
      <w:spacing w:before="60"/>
      <w:outlineLvl w:val="5"/>
    </w:pPr>
    <w:rPr>
      <w:color w:val="918585"/>
      <w:sz w:val="20"/>
    </w:rPr>
  </w:style>
  <w:style w:type="paragraph" w:styleId="Heading7">
    <w:name w:val="heading 7"/>
    <w:basedOn w:val="Normal"/>
    <w:next w:val="Normal"/>
    <w:link w:val="Heading7Char"/>
    <w:qFormat/>
    <w:rsid w:val="005850FE"/>
    <w:pPr>
      <w:ind w:left="720"/>
      <w:outlineLvl w:val="6"/>
    </w:pPr>
    <w:rPr>
      <w:i/>
    </w:rPr>
  </w:style>
  <w:style w:type="paragraph" w:styleId="Heading8">
    <w:name w:val="heading 8"/>
    <w:basedOn w:val="Normal"/>
    <w:next w:val="Normal"/>
    <w:link w:val="Heading8Char"/>
    <w:qFormat/>
    <w:rsid w:val="005850FE"/>
    <w:pPr>
      <w:ind w:left="720"/>
      <w:outlineLvl w:val="7"/>
    </w:pPr>
    <w:rPr>
      <w:i/>
    </w:rPr>
  </w:style>
  <w:style w:type="paragraph" w:styleId="Heading9">
    <w:name w:val="heading 9"/>
    <w:basedOn w:val="Normal"/>
    <w:next w:val="Normal"/>
    <w:link w:val="Heading9Char"/>
    <w:qFormat/>
    <w:rsid w:val="005850FE"/>
    <w:pPr>
      <w:ind w:left="720"/>
      <w:outlineLvl w:val="8"/>
    </w:pPr>
    <w:rPr>
      <w:i/>
    </w:rPr>
  </w:style>
  <w:style w:type="character" w:default="1" w:styleId="DefaultParagraphFont">
    <w:name w:val="Default Paragraph Font"/>
    <w:uiPriority w:val="1"/>
    <w:unhideWhenUsed/>
    <w:rsid w:val="00585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0FE"/>
  </w:style>
  <w:style w:type="character" w:customStyle="1" w:styleId="Heading1Char">
    <w:name w:val="Heading 1 Char"/>
    <w:basedOn w:val="DefaultParagraphFont"/>
    <w:link w:val="Heading1"/>
    <w:rsid w:val="005850FE"/>
    <w:rPr>
      <w:rFonts w:ascii="Times New Roman" w:eastAsia="Times New Roman" w:hAnsi="Times New Roman" w:cs="Times New Roman"/>
      <w:b/>
      <w:sz w:val="32"/>
      <w:szCs w:val="20"/>
      <w:lang w:eastAsia="en-US"/>
    </w:rPr>
  </w:style>
  <w:style w:type="paragraph" w:styleId="BodyText">
    <w:name w:val="Body Text"/>
    <w:basedOn w:val="Normal"/>
    <w:link w:val="BodyTextChar"/>
    <w:rsid w:val="00585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0FE"/>
    <w:rPr>
      <w:rFonts w:ascii="Times New Roman" w:eastAsia="Times New Roman" w:hAnsi="Times New Roman" w:cs="Times New Roman"/>
      <w:sz w:val="24"/>
      <w:lang w:eastAsia="en-US"/>
    </w:rPr>
  </w:style>
  <w:style w:type="paragraph" w:styleId="ListBullet">
    <w:name w:val="List Bullet"/>
    <w:basedOn w:val="List"/>
    <w:rsid w:val="005850FE"/>
    <w:pPr>
      <w:numPr>
        <w:numId w:val="12"/>
      </w:numPr>
      <w:tabs>
        <w:tab w:val="clear" w:pos="340"/>
      </w:tabs>
      <w:spacing w:before="40" w:after="40"/>
    </w:pPr>
  </w:style>
  <w:style w:type="character" w:customStyle="1" w:styleId="SpecialBold">
    <w:name w:val="Special Bold"/>
    <w:basedOn w:val="DefaultParagraphFont"/>
    <w:rsid w:val="005850FE"/>
    <w:rPr>
      <w:b/>
      <w:spacing w:val="0"/>
    </w:rPr>
  </w:style>
  <w:style w:type="paragraph" w:styleId="ListBullet2">
    <w:name w:val="List Bullet 2"/>
    <w:basedOn w:val="List2"/>
    <w:rsid w:val="005850FE"/>
    <w:pPr>
      <w:numPr>
        <w:numId w:val="13"/>
      </w:numPr>
      <w:tabs>
        <w:tab w:val="clear" w:pos="680"/>
      </w:tabs>
    </w:pPr>
  </w:style>
  <w:style w:type="character" w:styleId="Emphasis">
    <w:name w:val="Emphasis"/>
    <w:basedOn w:val="DefaultParagraphFont"/>
    <w:qFormat/>
    <w:rsid w:val="005850FE"/>
    <w:rPr>
      <w:i/>
    </w:rPr>
  </w:style>
  <w:style w:type="paragraph" w:customStyle="1" w:styleId="SuperHeading">
    <w:name w:val="SuperHeading"/>
    <w:basedOn w:val="Normal"/>
    <w:rsid w:val="005850FE"/>
    <w:pPr>
      <w:spacing w:before="240" w:after="120"/>
      <w:outlineLvl w:val="0"/>
    </w:pPr>
    <w:rPr>
      <w:rFonts w:ascii="Times New Roman" w:hAnsi="Times New Roman"/>
      <w:b/>
      <w:sz w:val="32"/>
    </w:rPr>
  </w:style>
  <w:style w:type="paragraph" w:customStyle="1" w:styleId="AllowPageBreak">
    <w:name w:val="AllowPageBreak"/>
    <w:rsid w:val="00585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0FE"/>
    <w:rPr>
      <w:rFonts w:ascii="Courier New" w:eastAsia="Times New Roman" w:hAnsi="Courier New" w:cs="Times New Roman"/>
      <w:i/>
      <w:szCs w:val="20"/>
      <w:lang w:eastAsia="en-US"/>
    </w:rPr>
  </w:style>
  <w:style w:type="paragraph" w:customStyle="1" w:styleId="HeadingBase">
    <w:name w:val="Heading Base"/>
    <w:rsid w:val="00585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0FE"/>
    <w:pPr>
      <w:tabs>
        <w:tab w:val="right" w:leader="dot" w:pos="9072"/>
      </w:tabs>
      <w:ind w:left="567"/>
    </w:pPr>
    <w:rPr>
      <w:szCs w:val="22"/>
    </w:rPr>
  </w:style>
  <w:style w:type="paragraph" w:customStyle="1" w:styleId="TOCBase">
    <w:name w:val="TOC Base"/>
    <w:rsid w:val="00585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0FE"/>
    <w:pPr>
      <w:tabs>
        <w:tab w:val="right" w:leader="dot" w:pos="9072"/>
      </w:tabs>
      <w:spacing w:before="40" w:after="40"/>
      <w:ind w:left="284"/>
    </w:pPr>
    <w:rPr>
      <w:rFonts w:ascii="Times New Roman" w:hAnsi="Times New Roman"/>
    </w:rPr>
  </w:style>
  <w:style w:type="paragraph" w:styleId="TOC1">
    <w:name w:val="toc 1"/>
    <w:basedOn w:val="TOCBase"/>
    <w:next w:val="Normal"/>
    <w:rsid w:val="00585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0FE"/>
    <w:rPr>
      <w:rFonts w:ascii="Times New Roman" w:eastAsia="Times New Roman" w:hAnsi="Times New Roman" w:cs="Times New Roman"/>
      <w:sz w:val="16"/>
      <w:lang w:eastAsia="en-US"/>
    </w:rPr>
  </w:style>
  <w:style w:type="paragraph" w:styleId="Title">
    <w:name w:val="Title"/>
    <w:basedOn w:val="HeadingBase"/>
    <w:link w:val="TitleChar"/>
    <w:qFormat/>
    <w:rsid w:val="005850FE"/>
    <w:pPr>
      <w:spacing w:before="5040"/>
      <w:jc w:val="center"/>
    </w:pPr>
    <w:rPr>
      <w:sz w:val="48"/>
      <w:szCs w:val="72"/>
      <w:lang w:val="en-US"/>
    </w:rPr>
  </w:style>
  <w:style w:type="character" w:customStyle="1" w:styleId="TitleChar">
    <w:name w:val="Title Char"/>
    <w:basedOn w:val="DefaultParagraphFont"/>
    <w:link w:val="Title"/>
    <w:rsid w:val="00585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0FE"/>
    <w:pPr>
      <w:tabs>
        <w:tab w:val="left" w:pos="3600"/>
        <w:tab w:val="left" w:pos="3958"/>
      </w:tabs>
    </w:pPr>
  </w:style>
  <w:style w:type="paragraph" w:styleId="List">
    <w:name w:val="List"/>
    <w:basedOn w:val="BodyText"/>
    <w:next w:val="BodyText"/>
    <w:rsid w:val="005850FE"/>
    <w:pPr>
      <w:tabs>
        <w:tab w:val="left" w:pos="340"/>
      </w:tabs>
      <w:spacing w:before="60" w:after="60"/>
      <w:ind w:left="340" w:hanging="340"/>
    </w:pPr>
  </w:style>
  <w:style w:type="paragraph" w:customStyle="1" w:styleId="Note">
    <w:name w:val="Note"/>
    <w:basedOn w:val="BodyText"/>
    <w:rsid w:val="00585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0FE"/>
    <w:pPr>
      <w:framePr w:wrap="auto" w:hAnchor="text" w:y="6049"/>
    </w:pPr>
    <w:rPr>
      <w:color w:val="000000"/>
      <w:sz w:val="40"/>
    </w:rPr>
  </w:style>
  <w:style w:type="paragraph" w:customStyle="1" w:styleId="TOCTitle">
    <w:name w:val="TOCTitle"/>
    <w:basedOn w:val="Heading1"/>
    <w:rsid w:val="005850FE"/>
    <w:pPr>
      <w:spacing w:after="240"/>
      <w:jc w:val="center"/>
      <w:outlineLvl w:val="9"/>
    </w:pPr>
    <w:rPr>
      <w:caps/>
    </w:rPr>
  </w:style>
  <w:style w:type="paragraph" w:customStyle="1" w:styleId="Version">
    <w:name w:val="Version"/>
    <w:rsid w:val="00585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0FE"/>
    <w:pPr>
      <w:keepNext w:val="0"/>
      <w:tabs>
        <w:tab w:val="right" w:pos="4176"/>
      </w:tabs>
      <w:ind w:left="198" w:hanging="198"/>
    </w:pPr>
    <w:rPr>
      <w:rFonts w:ascii="Garamond" w:hAnsi="Garamond"/>
    </w:rPr>
  </w:style>
  <w:style w:type="paragraph" w:styleId="IndexHeading">
    <w:name w:val="index heading"/>
    <w:basedOn w:val="Normal"/>
    <w:next w:val="Index1"/>
    <w:semiHidden/>
    <w:rsid w:val="005850FE"/>
    <w:pPr>
      <w:spacing w:before="120" w:after="120"/>
    </w:pPr>
    <w:rPr>
      <w:rFonts w:ascii="Arial" w:hAnsi="Arial"/>
      <w:b/>
      <w:color w:val="918585"/>
      <w:sz w:val="24"/>
    </w:rPr>
  </w:style>
  <w:style w:type="paragraph" w:styleId="Header">
    <w:name w:val="header"/>
    <w:basedOn w:val="Normal"/>
    <w:link w:val="HeaderChar"/>
    <w:rsid w:val="00585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0FE"/>
    <w:rPr>
      <w:rFonts w:ascii="Times New Roman" w:eastAsia="Times New Roman" w:hAnsi="Times New Roman" w:cs="Times New Roman"/>
      <w:sz w:val="16"/>
      <w:szCs w:val="20"/>
      <w:lang w:val="en-GB" w:eastAsia="en-US"/>
    </w:rPr>
  </w:style>
  <w:style w:type="paragraph" w:customStyle="1" w:styleId="Chapter">
    <w:name w:val="Chapter"/>
    <w:basedOn w:val="Normal"/>
    <w:rsid w:val="005850FE"/>
    <w:pPr>
      <w:spacing w:before="240"/>
    </w:pPr>
    <w:rPr>
      <w:rFonts w:ascii="Times New Roman" w:hAnsi="Times New Roman"/>
      <w:smallCaps/>
      <w:spacing w:val="80"/>
      <w:sz w:val="28"/>
    </w:rPr>
  </w:style>
  <w:style w:type="paragraph" w:customStyle="1" w:styleId="InChapter">
    <w:name w:val="InChapter"/>
    <w:basedOn w:val="Heading3"/>
    <w:rsid w:val="005850FE"/>
    <w:pPr>
      <w:spacing w:after="240"/>
      <w:outlineLvl w:val="9"/>
    </w:pPr>
    <w:rPr>
      <w:noProof/>
    </w:rPr>
  </w:style>
  <w:style w:type="paragraph" w:styleId="Index2">
    <w:name w:val="index 2"/>
    <w:basedOn w:val="Normal"/>
    <w:next w:val="Normal"/>
    <w:semiHidden/>
    <w:rsid w:val="005850FE"/>
    <w:pPr>
      <w:tabs>
        <w:tab w:val="right" w:pos="4176"/>
      </w:tabs>
      <w:ind w:left="568" w:hanging="284"/>
    </w:pPr>
    <w:rPr>
      <w:rFonts w:ascii="Garamond" w:hAnsi="Garamond"/>
    </w:rPr>
  </w:style>
  <w:style w:type="paragraph" w:customStyle="1" w:styleId="Byline">
    <w:name w:val="Byline"/>
    <w:rsid w:val="00585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0FE"/>
    <w:pPr>
      <w:tabs>
        <w:tab w:val="clear" w:pos="3600"/>
        <w:tab w:val="clear" w:pos="3958"/>
      </w:tabs>
      <w:jc w:val="right"/>
    </w:pPr>
  </w:style>
  <w:style w:type="paragraph" w:styleId="Caption">
    <w:name w:val="caption"/>
    <w:basedOn w:val="BodyText"/>
    <w:next w:val="Normal"/>
    <w:qFormat/>
    <w:rsid w:val="005850FE"/>
    <w:pPr>
      <w:framePr w:w="2268" w:hSpace="181" w:vSpace="181" w:wrap="around" w:vAnchor="text" w:hAnchor="page" w:x="1135" w:y="285" w:anchorLock="1"/>
    </w:pPr>
    <w:rPr>
      <w:i/>
    </w:rPr>
  </w:style>
  <w:style w:type="paragraph" w:customStyle="1" w:styleId="MiniTOCTitle">
    <w:name w:val="MiniTOCTitle"/>
    <w:basedOn w:val="Heading4"/>
    <w:rsid w:val="005850FE"/>
    <w:pPr>
      <w:spacing w:before="240"/>
      <w:outlineLvl w:val="9"/>
    </w:pPr>
    <w:rPr>
      <w:noProof/>
      <w:sz w:val="24"/>
    </w:rPr>
  </w:style>
  <w:style w:type="paragraph" w:customStyle="1" w:styleId="MiniTOCItem">
    <w:name w:val="MiniTOCItem"/>
    <w:basedOn w:val="ListBullet"/>
    <w:rsid w:val="005850FE"/>
    <w:pPr>
      <w:numPr>
        <w:numId w:val="0"/>
      </w:numPr>
      <w:tabs>
        <w:tab w:val="right" w:leader="dot" w:pos="6521"/>
      </w:tabs>
      <w:spacing w:before="0" w:after="0"/>
    </w:pPr>
  </w:style>
  <w:style w:type="paragraph" w:customStyle="1" w:styleId="TOFTitle">
    <w:name w:val="TOFTitle"/>
    <w:basedOn w:val="TOCTitle"/>
    <w:rsid w:val="005850FE"/>
  </w:style>
  <w:style w:type="paragraph" w:styleId="TableofFigures">
    <w:name w:val="table of figures"/>
    <w:basedOn w:val="Normal"/>
    <w:next w:val="Normal"/>
    <w:semiHidden/>
    <w:rsid w:val="005850FE"/>
    <w:pPr>
      <w:tabs>
        <w:tab w:val="right" w:leader="dot" w:pos="9072"/>
      </w:tabs>
      <w:ind w:left="970" w:hanging="403"/>
    </w:pPr>
    <w:rPr>
      <w:rFonts w:ascii="Times New Roman" w:hAnsi="Times New Roman"/>
      <w:b/>
    </w:rPr>
  </w:style>
  <w:style w:type="paragraph" w:styleId="ListNumber">
    <w:name w:val="List Number"/>
    <w:basedOn w:val="List"/>
    <w:rsid w:val="005850FE"/>
    <w:pPr>
      <w:numPr>
        <w:numId w:val="15"/>
      </w:numPr>
      <w:tabs>
        <w:tab w:val="clear" w:pos="340"/>
      </w:tabs>
    </w:pPr>
  </w:style>
  <w:style w:type="character" w:customStyle="1" w:styleId="WingdingSymbols">
    <w:name w:val="Wingding Symbols"/>
    <w:rsid w:val="005850FE"/>
    <w:rPr>
      <w:rFonts w:ascii="Wingdings" w:hAnsi="Wingdings"/>
    </w:rPr>
  </w:style>
  <w:style w:type="paragraph" w:customStyle="1" w:styleId="TableHeading">
    <w:name w:val="Table Heading"/>
    <w:basedOn w:val="HeadingBase"/>
    <w:rsid w:val="005850FE"/>
    <w:pPr>
      <w:keepLines/>
      <w:pBdr>
        <w:bottom w:val="single" w:sz="6" w:space="1" w:color="918585"/>
      </w:pBdr>
      <w:spacing w:before="240"/>
    </w:pPr>
  </w:style>
  <w:style w:type="character" w:customStyle="1" w:styleId="HotSpot">
    <w:name w:val="HotSpot"/>
    <w:rsid w:val="005850FE"/>
    <w:rPr>
      <w:color w:val="0033CC"/>
      <w:u w:val="none"/>
    </w:rPr>
  </w:style>
  <w:style w:type="paragraph" w:customStyle="1" w:styleId="BodyTextRight">
    <w:name w:val="Body Text Right"/>
    <w:basedOn w:val="BodyText"/>
    <w:rsid w:val="005850FE"/>
    <w:pPr>
      <w:spacing w:before="0" w:after="0"/>
      <w:jc w:val="right"/>
    </w:pPr>
  </w:style>
  <w:style w:type="paragraph" w:styleId="Index3">
    <w:name w:val="index 3"/>
    <w:basedOn w:val="ListNumber2"/>
    <w:next w:val="Normal"/>
    <w:semiHidden/>
    <w:rsid w:val="005850FE"/>
    <w:pPr>
      <w:numPr>
        <w:numId w:val="0"/>
      </w:numPr>
      <w:tabs>
        <w:tab w:val="right" w:leader="dot" w:pos="4176"/>
      </w:tabs>
    </w:pPr>
  </w:style>
  <w:style w:type="paragraph" w:styleId="ListNumber2">
    <w:name w:val="List Number 2"/>
    <w:basedOn w:val="List2"/>
    <w:rsid w:val="005850FE"/>
    <w:pPr>
      <w:numPr>
        <w:numId w:val="10"/>
      </w:numPr>
      <w:tabs>
        <w:tab w:val="clear" w:pos="1060"/>
      </w:tabs>
    </w:pPr>
  </w:style>
  <w:style w:type="paragraph" w:customStyle="1" w:styleId="MarginNote">
    <w:name w:val="Margin Note"/>
    <w:basedOn w:val="BodyText"/>
    <w:rsid w:val="00585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0FE"/>
    <w:rPr>
      <w:sz w:val="32"/>
    </w:rPr>
  </w:style>
  <w:style w:type="paragraph" w:customStyle="1" w:styleId="HeadingProcedure">
    <w:name w:val="Heading Procedure"/>
    <w:basedOn w:val="HeadingBase"/>
    <w:next w:val="Normal"/>
    <w:rsid w:val="005850FE"/>
    <w:pPr>
      <w:tabs>
        <w:tab w:val="left" w:pos="0"/>
      </w:tabs>
      <w:spacing w:before="120" w:after="60"/>
    </w:pPr>
    <w:rPr>
      <w:i/>
      <w:color w:val="918585"/>
      <w:sz w:val="22"/>
    </w:rPr>
  </w:style>
  <w:style w:type="paragraph" w:customStyle="1" w:styleId="TableBodyText">
    <w:name w:val="Table Body Text"/>
    <w:basedOn w:val="BodyText"/>
    <w:rsid w:val="005850FE"/>
    <w:pPr>
      <w:spacing w:before="60" w:after="60"/>
    </w:pPr>
  </w:style>
  <w:style w:type="paragraph" w:styleId="ListContinue">
    <w:name w:val="List Continue"/>
    <w:basedOn w:val="List"/>
    <w:rsid w:val="005850FE"/>
    <w:pPr>
      <w:ind w:firstLine="0"/>
    </w:pPr>
  </w:style>
  <w:style w:type="paragraph" w:customStyle="1" w:styleId="ListNote">
    <w:name w:val="List Note"/>
    <w:basedOn w:val="List"/>
    <w:rsid w:val="005850FE"/>
    <w:pPr>
      <w:pBdr>
        <w:top w:val="single" w:sz="6" w:space="2" w:color="918585"/>
        <w:bottom w:val="single" w:sz="6" w:space="2" w:color="918585"/>
      </w:pBdr>
      <w:tabs>
        <w:tab w:val="left" w:pos="1021"/>
      </w:tabs>
      <w:ind w:firstLine="0"/>
    </w:pPr>
  </w:style>
  <w:style w:type="paragraph" w:customStyle="1" w:styleId="Warning">
    <w:name w:val="Warning"/>
    <w:basedOn w:val="BodyText"/>
    <w:rsid w:val="005850FE"/>
    <w:pPr>
      <w:shd w:val="clear" w:color="auto" w:fill="D9D9D9"/>
      <w:tabs>
        <w:tab w:val="left" w:pos="992"/>
      </w:tabs>
      <w:ind w:left="119" w:right="119"/>
    </w:pPr>
    <w:rPr>
      <w:sz w:val="20"/>
    </w:rPr>
  </w:style>
  <w:style w:type="paragraph" w:customStyle="1" w:styleId="MarginIcons">
    <w:name w:val="Margin Icons"/>
    <w:basedOn w:val="BodyText"/>
    <w:rsid w:val="00585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0FE"/>
    <w:rPr>
      <w:rFonts w:ascii="Courier New" w:hAnsi="Courier New"/>
    </w:rPr>
  </w:style>
  <w:style w:type="paragraph" w:customStyle="1" w:styleId="NoteBullet">
    <w:name w:val="Note Bullet"/>
    <w:basedOn w:val="Note"/>
    <w:rsid w:val="005850FE"/>
    <w:pPr>
      <w:tabs>
        <w:tab w:val="clear" w:pos="680"/>
      </w:tabs>
      <w:spacing w:before="60" w:after="60"/>
    </w:pPr>
  </w:style>
  <w:style w:type="paragraph" w:customStyle="1" w:styleId="SubHeading2">
    <w:name w:val="SubHeading2"/>
    <w:basedOn w:val="HeadingBase"/>
    <w:rsid w:val="005850FE"/>
    <w:pPr>
      <w:spacing w:before="240" w:after="60"/>
    </w:pPr>
    <w:rPr>
      <w:sz w:val="20"/>
    </w:rPr>
  </w:style>
  <w:style w:type="paragraph" w:customStyle="1" w:styleId="SubHeading1">
    <w:name w:val="SubHeading1"/>
    <w:basedOn w:val="HeadingBase"/>
    <w:rsid w:val="005850FE"/>
    <w:pPr>
      <w:spacing w:before="240" w:after="60"/>
    </w:pPr>
    <w:rPr>
      <w:color w:val="918585"/>
      <w:sz w:val="22"/>
    </w:rPr>
  </w:style>
  <w:style w:type="paragraph" w:customStyle="1" w:styleId="SideHeading">
    <w:name w:val="Side Heading"/>
    <w:basedOn w:val="HeadingBase"/>
    <w:rsid w:val="00585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0FE"/>
    <w:pPr>
      <w:tabs>
        <w:tab w:val="num" w:pos="360"/>
      </w:tabs>
    </w:pPr>
  </w:style>
  <w:style w:type="paragraph" w:styleId="PlainText">
    <w:name w:val="Plain Text"/>
    <w:basedOn w:val="Normal"/>
    <w:link w:val="PlainTextChar"/>
    <w:rsid w:val="005850FE"/>
    <w:rPr>
      <w:sz w:val="20"/>
    </w:rPr>
  </w:style>
  <w:style w:type="character" w:customStyle="1" w:styleId="PlainTextChar">
    <w:name w:val="Plain Text Char"/>
    <w:basedOn w:val="DefaultParagraphFont"/>
    <w:link w:val="PlainText"/>
    <w:rsid w:val="005850FE"/>
    <w:rPr>
      <w:rFonts w:ascii="Courier New" w:eastAsia="Times New Roman" w:hAnsi="Courier New" w:cs="Times New Roman"/>
      <w:sz w:val="20"/>
      <w:szCs w:val="20"/>
      <w:lang w:eastAsia="en-US"/>
    </w:rPr>
  </w:style>
  <w:style w:type="character" w:customStyle="1" w:styleId="MenuOption">
    <w:name w:val="Menu Option"/>
    <w:basedOn w:val="DefaultParagraphFont"/>
    <w:rsid w:val="005850FE"/>
    <w:rPr>
      <w:b/>
      <w:smallCaps/>
    </w:rPr>
  </w:style>
  <w:style w:type="paragraph" w:customStyle="1" w:styleId="TableListNumber">
    <w:name w:val="Table List Number"/>
    <w:basedOn w:val="ListNumber"/>
    <w:rsid w:val="005850FE"/>
    <w:pPr>
      <w:numPr>
        <w:numId w:val="0"/>
      </w:numPr>
    </w:pPr>
  </w:style>
  <w:style w:type="paragraph" w:styleId="TOC4">
    <w:name w:val="toc 4"/>
    <w:basedOn w:val="TOCBase"/>
    <w:next w:val="Normal"/>
    <w:semiHidden/>
    <w:rsid w:val="005850FE"/>
    <w:pPr>
      <w:tabs>
        <w:tab w:val="right" w:leader="dot" w:pos="9071"/>
      </w:tabs>
      <w:ind w:left="1701"/>
    </w:pPr>
  </w:style>
  <w:style w:type="paragraph" w:customStyle="1" w:styleId="ListAlpha">
    <w:name w:val="List Alpha"/>
    <w:basedOn w:val="List"/>
    <w:rsid w:val="005850FE"/>
    <w:pPr>
      <w:numPr>
        <w:numId w:val="9"/>
      </w:numPr>
    </w:pPr>
  </w:style>
  <w:style w:type="paragraph" w:customStyle="1" w:styleId="ListAlpha2">
    <w:name w:val="List Alpha 2"/>
    <w:basedOn w:val="List2"/>
    <w:rsid w:val="005850FE"/>
    <w:pPr>
      <w:numPr>
        <w:numId w:val="8"/>
      </w:numPr>
    </w:pPr>
  </w:style>
  <w:style w:type="paragraph" w:styleId="List2">
    <w:name w:val="List 2"/>
    <w:basedOn w:val="BodyText"/>
    <w:rsid w:val="005850FE"/>
    <w:pPr>
      <w:tabs>
        <w:tab w:val="left" w:pos="680"/>
      </w:tabs>
      <w:spacing w:before="60" w:after="60"/>
      <w:ind w:left="680" w:hanging="340"/>
    </w:pPr>
  </w:style>
  <w:style w:type="paragraph" w:styleId="List3">
    <w:name w:val="List 3"/>
    <w:basedOn w:val="BodyText"/>
    <w:rsid w:val="005850FE"/>
    <w:pPr>
      <w:tabs>
        <w:tab w:val="left" w:pos="1021"/>
      </w:tabs>
      <w:spacing w:before="60" w:after="60"/>
      <w:ind w:left="1020" w:hanging="340"/>
    </w:pPr>
  </w:style>
  <w:style w:type="paragraph" w:styleId="List4">
    <w:name w:val="List 4"/>
    <w:basedOn w:val="BodyText"/>
    <w:rsid w:val="005850FE"/>
    <w:pPr>
      <w:tabs>
        <w:tab w:val="left" w:pos="1361"/>
      </w:tabs>
      <w:spacing w:before="60" w:after="60"/>
      <w:ind w:left="1361" w:hanging="340"/>
    </w:pPr>
  </w:style>
  <w:style w:type="paragraph" w:styleId="List5">
    <w:name w:val="List 5"/>
    <w:basedOn w:val="BodyText"/>
    <w:rsid w:val="005850FE"/>
    <w:pPr>
      <w:tabs>
        <w:tab w:val="left" w:pos="1701"/>
      </w:tabs>
      <w:spacing w:before="60" w:after="60"/>
      <w:ind w:left="1701" w:hanging="340"/>
    </w:pPr>
  </w:style>
  <w:style w:type="paragraph" w:styleId="ListBullet3">
    <w:name w:val="List Bullet 3"/>
    <w:basedOn w:val="List3"/>
    <w:rsid w:val="005850FE"/>
    <w:pPr>
      <w:numPr>
        <w:numId w:val="14"/>
      </w:numPr>
      <w:tabs>
        <w:tab w:val="clear" w:pos="1021"/>
      </w:tabs>
      <w:ind w:left="1037" w:hanging="357"/>
    </w:pPr>
  </w:style>
  <w:style w:type="paragraph" w:styleId="ListBullet4">
    <w:name w:val="List Bullet 4"/>
    <w:basedOn w:val="List4"/>
    <w:rsid w:val="005850FE"/>
    <w:pPr>
      <w:numPr>
        <w:numId w:val="3"/>
      </w:numPr>
      <w:tabs>
        <w:tab w:val="clear" w:pos="1361"/>
      </w:tabs>
    </w:pPr>
  </w:style>
  <w:style w:type="paragraph" w:styleId="ListBullet5">
    <w:name w:val="List Bullet 5"/>
    <w:basedOn w:val="List5"/>
    <w:rsid w:val="005850FE"/>
    <w:pPr>
      <w:numPr>
        <w:numId w:val="4"/>
      </w:numPr>
    </w:pPr>
  </w:style>
  <w:style w:type="paragraph" w:styleId="ListContinue2">
    <w:name w:val="List Continue 2"/>
    <w:basedOn w:val="List2"/>
    <w:rsid w:val="005850FE"/>
    <w:pPr>
      <w:ind w:firstLine="0"/>
    </w:pPr>
  </w:style>
  <w:style w:type="paragraph" w:styleId="ListContinue3">
    <w:name w:val="List Continue 3"/>
    <w:basedOn w:val="List3"/>
    <w:rsid w:val="005850FE"/>
    <w:pPr>
      <w:ind w:left="1021" w:firstLine="0"/>
    </w:pPr>
  </w:style>
  <w:style w:type="paragraph" w:styleId="ListContinue4">
    <w:name w:val="List Continue 4"/>
    <w:basedOn w:val="List4"/>
    <w:rsid w:val="005850FE"/>
    <w:pPr>
      <w:ind w:firstLine="0"/>
    </w:pPr>
  </w:style>
  <w:style w:type="paragraph" w:styleId="ListContinue5">
    <w:name w:val="List Continue 5"/>
    <w:basedOn w:val="List5"/>
    <w:rsid w:val="005850FE"/>
    <w:pPr>
      <w:ind w:firstLine="0"/>
    </w:pPr>
  </w:style>
  <w:style w:type="paragraph" w:styleId="ListNumber3">
    <w:name w:val="List Number 3"/>
    <w:basedOn w:val="List3"/>
    <w:rsid w:val="005850FE"/>
    <w:pPr>
      <w:numPr>
        <w:numId w:val="5"/>
      </w:numPr>
    </w:pPr>
  </w:style>
  <w:style w:type="paragraph" w:styleId="ListNumber4">
    <w:name w:val="List Number 4"/>
    <w:basedOn w:val="List4"/>
    <w:rsid w:val="005850FE"/>
    <w:pPr>
      <w:numPr>
        <w:numId w:val="6"/>
      </w:numPr>
    </w:pPr>
  </w:style>
  <w:style w:type="paragraph" w:styleId="ListNumber5">
    <w:name w:val="List Number 5"/>
    <w:basedOn w:val="List5"/>
    <w:rsid w:val="005850FE"/>
    <w:pPr>
      <w:numPr>
        <w:numId w:val="7"/>
      </w:numPr>
    </w:pPr>
  </w:style>
  <w:style w:type="paragraph" w:styleId="BlockText">
    <w:name w:val="Block Text"/>
    <w:basedOn w:val="Normal"/>
    <w:rsid w:val="005850FE"/>
    <w:pPr>
      <w:spacing w:after="120"/>
      <w:ind w:left="1440" w:right="1440"/>
    </w:pPr>
  </w:style>
  <w:style w:type="character" w:customStyle="1" w:styleId="Subscript">
    <w:name w:val="Subscript"/>
    <w:basedOn w:val="DefaultParagraphFont"/>
    <w:rsid w:val="005850FE"/>
    <w:rPr>
      <w:sz w:val="16"/>
      <w:vertAlign w:val="subscript"/>
    </w:rPr>
  </w:style>
  <w:style w:type="character" w:customStyle="1" w:styleId="Superscript">
    <w:name w:val="Superscript"/>
    <w:basedOn w:val="DefaultParagraphFont"/>
    <w:rsid w:val="005850FE"/>
    <w:rPr>
      <w:sz w:val="16"/>
      <w:vertAlign w:val="superscript"/>
    </w:rPr>
  </w:style>
  <w:style w:type="character" w:customStyle="1" w:styleId="Symbols">
    <w:name w:val="Symbols"/>
    <w:basedOn w:val="DefaultParagraphFont"/>
    <w:rsid w:val="005850FE"/>
    <w:rPr>
      <w:rFonts w:ascii="Symbol" w:hAnsi="Symbol"/>
    </w:rPr>
  </w:style>
  <w:style w:type="character" w:customStyle="1" w:styleId="MenuOptions">
    <w:name w:val="Menu Options"/>
    <w:basedOn w:val="DefaultParagraphFont"/>
    <w:rsid w:val="005850FE"/>
    <w:rPr>
      <w:rFonts w:ascii="Arial Narrow" w:hAnsi="Arial Narrow"/>
      <w:smallCaps/>
    </w:rPr>
  </w:style>
  <w:style w:type="character" w:customStyle="1" w:styleId="Buttons">
    <w:name w:val="Buttons"/>
    <w:basedOn w:val="DefaultParagraphFont"/>
    <w:rsid w:val="005850FE"/>
    <w:rPr>
      <w:b/>
    </w:rPr>
  </w:style>
  <w:style w:type="character" w:customStyle="1" w:styleId="Underlined">
    <w:name w:val="Underlined"/>
    <w:basedOn w:val="DefaultParagraphFont"/>
    <w:rsid w:val="005850FE"/>
    <w:rPr>
      <w:u w:val="single"/>
    </w:rPr>
  </w:style>
  <w:style w:type="paragraph" w:customStyle="1" w:styleId="TableBodyTextRight">
    <w:name w:val="Table Body Text Right"/>
    <w:basedOn w:val="TableBodyText"/>
    <w:rsid w:val="005850FE"/>
    <w:pPr>
      <w:widowControl w:val="0"/>
      <w:autoSpaceDE w:val="0"/>
      <w:autoSpaceDN w:val="0"/>
      <w:adjustRightInd w:val="0"/>
      <w:jc w:val="right"/>
    </w:pPr>
    <w:rPr>
      <w:rFonts w:cs="Arial"/>
      <w:szCs w:val="18"/>
    </w:rPr>
  </w:style>
  <w:style w:type="paragraph" w:customStyle="1" w:styleId="CopyrightText">
    <w:name w:val="Copyright Text"/>
    <w:basedOn w:val="BodyText"/>
    <w:rsid w:val="005850FE"/>
    <w:rPr>
      <w:sz w:val="18"/>
    </w:rPr>
  </w:style>
  <w:style w:type="paragraph" w:customStyle="1" w:styleId="BodySmallRight">
    <w:name w:val="Body Small Right"/>
    <w:basedOn w:val="BodyTextRight"/>
    <w:rsid w:val="005850FE"/>
    <w:rPr>
      <w:sz w:val="18"/>
      <w:szCs w:val="18"/>
    </w:rPr>
  </w:style>
  <w:style w:type="paragraph" w:customStyle="1" w:styleId="MarginEdition">
    <w:name w:val="Margin Edition"/>
    <w:basedOn w:val="MarginNote"/>
    <w:rsid w:val="005850FE"/>
    <w:pPr>
      <w:spacing w:before="0" w:after="0"/>
    </w:pPr>
    <w:rPr>
      <w:rFonts w:ascii="Times New Roman" w:hAnsi="Times New Roman"/>
      <w:color w:val="999999"/>
    </w:rPr>
  </w:style>
  <w:style w:type="paragraph" w:customStyle="1" w:styleId="Spacer">
    <w:name w:val="Spacer"/>
    <w:basedOn w:val="Normal"/>
    <w:rsid w:val="005850FE"/>
    <w:rPr>
      <w:sz w:val="2"/>
      <w:szCs w:val="2"/>
    </w:rPr>
  </w:style>
  <w:style w:type="character" w:customStyle="1" w:styleId="Small">
    <w:name w:val="Small"/>
    <w:basedOn w:val="DefaultParagraphFont"/>
    <w:rsid w:val="005850FE"/>
    <w:rPr>
      <w:sz w:val="16"/>
    </w:rPr>
  </w:style>
  <w:style w:type="paragraph" w:customStyle="1" w:styleId="WideTable">
    <w:name w:val="Wide Table"/>
    <w:basedOn w:val="Normal"/>
    <w:rsid w:val="005850FE"/>
    <w:pPr>
      <w:ind w:left="-1418"/>
    </w:pPr>
    <w:rPr>
      <w:sz w:val="2"/>
      <w:szCs w:val="2"/>
    </w:rPr>
  </w:style>
  <w:style w:type="character" w:styleId="PageNumber">
    <w:name w:val="page number"/>
    <w:basedOn w:val="DefaultParagraphFont"/>
    <w:rsid w:val="005850FE"/>
  </w:style>
  <w:style w:type="paragraph" w:styleId="Quote">
    <w:name w:val="Quote"/>
    <w:basedOn w:val="Heading1"/>
    <w:link w:val="QuoteChar"/>
    <w:qFormat/>
    <w:rsid w:val="005850FE"/>
    <w:rPr>
      <w:b w:val="0"/>
      <w:sz w:val="72"/>
      <w:szCs w:val="72"/>
      <w:lang w:val="en-NZ"/>
    </w:rPr>
  </w:style>
  <w:style w:type="character" w:customStyle="1" w:styleId="QuoteChar">
    <w:name w:val="Quote Char"/>
    <w:basedOn w:val="DefaultParagraphFont"/>
    <w:link w:val="Quote"/>
    <w:rsid w:val="00585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0FE"/>
    <w:pPr>
      <w:pageBreakBefore/>
    </w:pPr>
  </w:style>
  <w:style w:type="paragraph" w:customStyle="1" w:styleId="Border">
    <w:name w:val="Border"/>
    <w:basedOn w:val="Normal"/>
    <w:qFormat/>
    <w:rsid w:val="00585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0FE"/>
    <w:rPr>
      <w:b/>
      <w:bCs/>
      <w:i/>
      <w:iCs/>
      <w:color w:val="auto"/>
    </w:rPr>
  </w:style>
  <w:style w:type="paragraph" w:styleId="IntenseQuote">
    <w:name w:val="Intense Quote"/>
    <w:basedOn w:val="Normal"/>
    <w:next w:val="Normal"/>
    <w:link w:val="IntenseQuoteChar"/>
    <w:uiPriority w:val="30"/>
    <w:qFormat/>
    <w:rsid w:val="00585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0FE"/>
    <w:rPr>
      <w:smallCaps/>
      <w:color w:val="auto"/>
      <w:u w:val="single"/>
    </w:rPr>
  </w:style>
  <w:style w:type="character" w:styleId="IntenseReference">
    <w:name w:val="Intense Reference"/>
    <w:basedOn w:val="DefaultParagraphFont"/>
    <w:uiPriority w:val="32"/>
    <w:qFormat/>
    <w:rsid w:val="005850FE"/>
    <w:rPr>
      <w:b/>
      <w:bCs/>
      <w:smallCaps/>
      <w:color w:val="auto"/>
      <w:spacing w:val="5"/>
      <w:u w:val="single"/>
    </w:rPr>
  </w:style>
  <w:style w:type="paragraph" w:customStyle="1" w:styleId="2ColumnHeading">
    <w:name w:val="2Column Heading"/>
    <w:basedOn w:val="BodyText"/>
    <w:qFormat/>
    <w:rsid w:val="005850FE"/>
    <w:pPr>
      <w:spacing w:after="60"/>
      <w:ind w:left="-2268"/>
    </w:pPr>
    <w:rPr>
      <w:b/>
    </w:rPr>
  </w:style>
  <w:style w:type="paragraph" w:customStyle="1" w:styleId="Heading1TOC">
    <w:name w:val="Heading1 TOC"/>
    <w:basedOn w:val="Normal"/>
    <w:qFormat/>
    <w:rsid w:val="005850FE"/>
    <w:pPr>
      <w:spacing w:before="240" w:after="120"/>
    </w:pPr>
    <w:rPr>
      <w:rFonts w:ascii="Times New Roman" w:hAnsi="Times New Roman"/>
      <w:b/>
      <w:sz w:val="32"/>
    </w:rPr>
  </w:style>
  <w:style w:type="paragraph" w:customStyle="1" w:styleId="Heading2TOC">
    <w:name w:val="Heading2 TOC"/>
    <w:basedOn w:val="Normal"/>
    <w:qFormat/>
    <w:rsid w:val="005850FE"/>
    <w:pPr>
      <w:spacing w:before="240" w:after="60"/>
    </w:pPr>
    <w:rPr>
      <w:rFonts w:ascii="Times New Roman" w:hAnsi="Times New Roman"/>
      <w:b/>
      <w:sz w:val="28"/>
    </w:rPr>
  </w:style>
  <w:style w:type="character" w:customStyle="1" w:styleId="Underline">
    <w:name w:val="Underline"/>
    <w:basedOn w:val="DefaultParagraphFont"/>
    <w:qFormat/>
    <w:rsid w:val="005850FE"/>
    <w:rPr>
      <w:u w:val="single"/>
    </w:rPr>
  </w:style>
  <w:style w:type="character" w:customStyle="1" w:styleId="BoldandItalics">
    <w:name w:val="Bold and Italics"/>
    <w:qFormat/>
    <w:rsid w:val="005850FE"/>
    <w:rPr>
      <w:b/>
      <w:i/>
      <w:u w:val="none"/>
    </w:rPr>
  </w:style>
  <w:style w:type="paragraph" w:styleId="BalloonText">
    <w:name w:val="Balloon Text"/>
    <w:basedOn w:val="Normal"/>
    <w:link w:val="BalloonTextChar"/>
    <w:rsid w:val="005850FE"/>
    <w:rPr>
      <w:rFonts w:ascii="Tahoma" w:hAnsi="Tahoma" w:cs="Tahoma"/>
      <w:sz w:val="16"/>
      <w:szCs w:val="16"/>
    </w:rPr>
  </w:style>
  <w:style w:type="character" w:customStyle="1" w:styleId="BalloonTextChar">
    <w:name w:val="Balloon Text Char"/>
    <w:basedOn w:val="DefaultParagraphFont"/>
    <w:link w:val="BalloonText"/>
    <w:rsid w:val="00585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0FE"/>
    <w:rPr>
      <w:b/>
      <w:color w:val="660033"/>
      <w:spacing w:val="0"/>
    </w:rPr>
  </w:style>
  <w:style w:type="paragraph" w:customStyle="1" w:styleId="Nameditemlist">
    <w:name w:val="Named item list"/>
    <w:basedOn w:val="BodyText"/>
    <w:qFormat/>
    <w:rsid w:val="005850FE"/>
    <w:pPr>
      <w:tabs>
        <w:tab w:val="left" w:pos="2835"/>
      </w:tabs>
      <w:ind w:left="2835" w:hanging="2835"/>
    </w:pPr>
  </w:style>
  <w:style w:type="paragraph" w:customStyle="1" w:styleId="BodyTextnopadding">
    <w:name w:val="Body Text no padding"/>
    <w:basedOn w:val="BodyText"/>
    <w:qFormat/>
    <w:rsid w:val="005850FE"/>
    <w:pPr>
      <w:spacing w:before="0" w:after="0"/>
    </w:pPr>
  </w:style>
  <w:style w:type="paragraph" w:customStyle="1" w:styleId="BodyTextBold">
    <w:name w:val="Body Text Bold"/>
    <w:basedOn w:val="BodyText"/>
    <w:qFormat/>
    <w:rsid w:val="005850FE"/>
    <w:rPr>
      <w:b/>
    </w:rPr>
  </w:style>
  <w:style w:type="character" w:styleId="Hyperlink">
    <w:name w:val="Hyperlink"/>
    <w:basedOn w:val="DefaultParagraphFont"/>
    <w:uiPriority w:val="99"/>
    <w:unhideWhenUsed/>
    <w:rsid w:val="005B3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10614</Characters>
  <Application>Microsoft Office Word</Application>
  <DocSecurity>0</DocSecurity>
  <Lines>393</Lines>
  <Paragraphs>236</Paragraphs>
  <ScaleCrop>false</ScaleCrop>
  <Company>Author-it Software Corporation Ltd.</Company>
  <LinksUpToDate>false</LinksUpToDate>
  <CharactersWithSpaces>12051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MEM04021 Supervise individual non-ferrous melting and casting operation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2025-03-01T14:24:00Z</dcterms:created>
  <dcterms:modified xsi:type="dcterms:W3CDTF">2025-03-01T14:24:00Z</dcterms:modified>
</cp:coreProperties>
</file>