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7DE" w:rsidP="006D77DE">
      <w:pPr>
        <w:pStyle w:val="Title"/>
      </w:pPr>
      <w:r>
        <w:fldChar w:fldCharType="begin"/>
      </w:r>
      <w:r>
        <w:instrText xml:space="preserve"> TITLE   \* MERGEFORMAT </w:instrText>
      </w:r>
      <w:r>
        <w:fldChar w:fldCharType="separate"/>
      </w:r>
      <w:r>
        <w:t>MEM04020 Supervise individual ferrous melting and casting operation</w:t>
      </w:r>
      <w:r>
        <w:fldChar w:fldCharType="end"/>
      </w:r>
    </w:p>
    <w:p w:rsidR="006D77DE" w:rsidP="006D77DE">
      <w:pPr>
        <w:pStyle w:val="Version"/>
        <w:sectPr w:rsidSect="008F02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0231" w:rsidP="008F0231">
      <w:pPr>
        <w:pStyle w:val="SuperHeading"/>
      </w:pPr>
      <w:r w:rsidRPr="008F0231">
        <w:t>MEM04020 Supe</w:t>
      </w:r>
      <w:r w:rsidRPr="008F0231">
        <w:t>rvise individual ferrous melting and casting operation</w:t>
      </w:r>
    </w:p>
    <w:p w:rsidR="00000000" w:rsidRPr="008F0231" w:rsidP="008F0231">
      <w:pPr>
        <w:pStyle w:val="Heading1"/>
      </w:pPr>
      <w:bookmarkStart w:id="1" w:name="O_1168812"/>
      <w:bookmarkEnd w:id="1"/>
      <w:r w:rsidRPr="008F0231">
        <w:t>Modification History</w:t>
      </w:r>
    </w:p>
    <w:p w:rsidR="00000000" w:rsidRPr="008F0231" w:rsidP="006D77DE">
      <w:pPr>
        <w:pStyle w:val="BodyText"/>
      </w:pPr>
      <w:r w:rsidRPr="008F0231">
        <w:t xml:space="preserve">Release 2. Quantum of hours of workplace practice removed. Supersedes and is equivalent to MEM04020 Supervise individual ferrous melting and casting </w:t>
      </w:r>
      <w:r w:rsidRPr="008F0231">
        <w:t>operation (Release 1).</w:t>
      </w:r>
    </w:p>
    <w:p w:rsidR="00000000" w:rsidRPr="008F0231" w:rsidP="006D77DE">
      <w:pPr>
        <w:pStyle w:val="BodyText"/>
      </w:pPr>
      <w:r w:rsidRPr="008F0231">
        <w:t>Release 1. Supersedes and is equivalent to MEM04020A Supervise individual ferrous melting and casting operation.</w:t>
      </w:r>
    </w:p>
    <w:p w:rsidR="00000000" w:rsidRPr="008F0231" w:rsidP="008F0231">
      <w:pPr>
        <w:pStyle w:val="Heading1"/>
      </w:pPr>
      <w:bookmarkStart w:id="2" w:name="O_1168811"/>
      <w:bookmarkEnd w:id="2"/>
      <w:r w:rsidRPr="008F0231">
        <w:t>Application</w:t>
      </w:r>
    </w:p>
    <w:p w:rsidR="00000000" w:rsidRPr="008F0231" w:rsidP="006D77DE">
      <w:pPr>
        <w:pStyle w:val="BodyText"/>
      </w:pPr>
      <w:r w:rsidRPr="008F0231">
        <w:t>The unit of competency defines the skills and knowledge required by a foundry tradesperso</w:t>
      </w:r>
      <w:r w:rsidRPr="008F0231">
        <w:t xml:space="preserve">n to supervise ferrous melting and casting operations in a foundry to ensure specifications are met and safety procedures maintained. This work is performed under the overall direction of a metallurgist. </w:t>
      </w:r>
    </w:p>
    <w:p w:rsidR="00000000" w:rsidRPr="008F0231" w:rsidP="006D77DE">
      <w:pPr>
        <w:pStyle w:val="BodyText"/>
      </w:pPr>
      <w:r w:rsidRPr="008F0231">
        <w:t>No licensing, legislative or certification require</w:t>
      </w:r>
      <w:r w:rsidRPr="008F0231">
        <w:t>ments apply to this unit at the time of publication.</w:t>
      </w:r>
    </w:p>
    <w:p w:rsidR="00000000" w:rsidRPr="008F0231" w:rsidP="008F0231">
      <w:pPr>
        <w:pStyle w:val="BodyText"/>
      </w:pPr>
      <w:r w:rsidRPr="008F0231">
        <w:rPr>
          <w:rStyle w:val="SpecialBold"/>
        </w:rPr>
        <w:t>Band:</w:t>
      </w:r>
      <w:r w:rsidRPr="008F0231">
        <w:rPr>
          <w:rStyle w:val="SpecialBold"/>
        </w:rPr>
        <w:tab/>
        <w:t>B</w:t>
      </w:r>
    </w:p>
    <w:p w:rsidR="00000000" w:rsidRPr="008F0231" w:rsidP="008F0231">
      <w:pPr>
        <w:pStyle w:val="BodyText"/>
      </w:pPr>
      <w:r w:rsidRPr="008F0231">
        <w:rPr>
          <w:rStyle w:val="SpecialBold"/>
        </w:rPr>
        <w:t>Unit Weight:</w:t>
      </w:r>
      <w:r w:rsidRPr="008F0231">
        <w:rPr>
          <w:rStyle w:val="SpecialBold"/>
        </w:rPr>
        <w:tab/>
        <w:t>4</w:t>
      </w:r>
    </w:p>
    <w:p w:rsidR="00000000" w:rsidRPr="008F0231" w:rsidP="008F0231">
      <w:pPr>
        <w:pStyle w:val="AllowPageBreak"/>
      </w:pPr>
    </w:p>
    <w:p w:rsidR="00000000" w:rsidRPr="008F0231" w:rsidP="008F0231">
      <w:pPr>
        <w:pStyle w:val="Heading1"/>
      </w:pPr>
      <w:bookmarkStart w:id="3" w:name="O_1168810"/>
      <w:bookmarkEnd w:id="3"/>
      <w:r w:rsidRPr="008F0231">
        <w:t>Pre-requisite Unit</w:t>
      </w:r>
    </w:p>
    <w:tbl>
      <w:tblPr>
        <w:tblW w:w="0" w:type="auto"/>
        <w:tblLayout w:type="fixed"/>
        <w:tblCellMar>
          <w:left w:w="62" w:type="dxa"/>
          <w:right w:w="62" w:type="dxa"/>
        </w:tblCellMar>
        <w:tblLook w:val="0000"/>
      </w:tblPr>
      <w:tblGrid>
        <w:gridCol w:w="2258"/>
        <w:gridCol w:w="6508"/>
      </w:tblGrid>
      <w:tr w:rsidTr="008F023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MEM04001</w:t>
            </w:r>
          </w:p>
        </w:tc>
        <w:tc>
          <w:tcPr>
            <w:tcW w:w="650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Operate melting furnaces</w:t>
            </w:r>
          </w:p>
        </w:tc>
      </w:tr>
      <w:tr w:rsidTr="008F023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MEM04004</w:t>
            </w:r>
          </w:p>
        </w:tc>
        <w:tc>
          <w:tcPr>
            <w:tcW w:w="650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Prepare and mix sand for metal moulding</w:t>
            </w:r>
          </w:p>
        </w:tc>
      </w:tr>
      <w:tr w:rsidTr="008F023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MEM04007</w:t>
            </w:r>
          </w:p>
        </w:tc>
        <w:tc>
          <w:tcPr>
            <w:tcW w:w="650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Pour molten metal</w:t>
            </w:r>
          </w:p>
        </w:tc>
      </w:tr>
      <w:tr w:rsidTr="008F023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 xml:space="preserve">MEM04024 </w:t>
            </w:r>
          </w:p>
        </w:tc>
        <w:tc>
          <w:tcPr>
            <w:tcW w:w="650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Pro</w:t>
            </w:r>
            <w:r w:rsidRPr="008F0231">
              <w:t>duce moulds and cores by hand</w:t>
            </w:r>
          </w:p>
        </w:tc>
      </w:tr>
      <w:tr w:rsidTr="008F023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MEM04025</w:t>
            </w:r>
          </w:p>
        </w:tc>
        <w:tc>
          <w:tcPr>
            <w:tcW w:w="650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Produce moulds and cores by hand (advanced)</w:t>
            </w:r>
          </w:p>
        </w:tc>
      </w:tr>
      <w:tr w:rsidTr="008F023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MEM09002</w:t>
            </w:r>
          </w:p>
        </w:tc>
        <w:tc>
          <w:tcPr>
            <w:tcW w:w="650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Interpret technical drawing</w:t>
            </w:r>
          </w:p>
        </w:tc>
      </w:tr>
      <w:tr w:rsidTr="008F023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MEM11011</w:t>
            </w:r>
          </w:p>
        </w:tc>
        <w:tc>
          <w:tcPr>
            <w:tcW w:w="650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Undertake manual handling</w:t>
            </w:r>
          </w:p>
        </w:tc>
      </w:tr>
      <w:tr w:rsidTr="008F023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MEM12023</w:t>
            </w:r>
          </w:p>
        </w:tc>
        <w:tc>
          <w:tcPr>
            <w:tcW w:w="650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Perform engineering measurements</w:t>
            </w:r>
          </w:p>
        </w:tc>
      </w:tr>
      <w:tr w:rsidTr="008F023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MEM12024</w:t>
            </w:r>
          </w:p>
        </w:tc>
        <w:tc>
          <w:tcPr>
            <w:tcW w:w="650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Perform computations</w:t>
            </w:r>
          </w:p>
        </w:tc>
      </w:tr>
      <w:tr w:rsidTr="008F023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MEM13004</w:t>
            </w:r>
          </w:p>
        </w:tc>
        <w:tc>
          <w:tcPr>
            <w:tcW w:w="650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Work safely wi</w:t>
            </w:r>
            <w:r w:rsidRPr="008F0231">
              <w:t>th molten metals/glass</w:t>
            </w:r>
          </w:p>
        </w:tc>
      </w:tr>
      <w:tr w:rsidTr="008F023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MEM13015</w:t>
            </w:r>
          </w:p>
        </w:tc>
        <w:tc>
          <w:tcPr>
            <w:tcW w:w="650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Work safely and effectively in manufacturing and engineering</w:t>
            </w:r>
          </w:p>
        </w:tc>
      </w:tr>
      <w:tr w:rsidTr="008F023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MEM14006</w:t>
            </w:r>
          </w:p>
        </w:tc>
        <w:tc>
          <w:tcPr>
            <w:tcW w:w="650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Plan work activities</w:t>
            </w:r>
          </w:p>
        </w:tc>
      </w:tr>
      <w:tr w:rsidTr="008F023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MEM16006</w:t>
            </w:r>
          </w:p>
        </w:tc>
        <w:tc>
          <w:tcPr>
            <w:tcW w:w="650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Organise and communicate information</w:t>
            </w:r>
          </w:p>
        </w:tc>
      </w:tr>
      <w:tr w:rsidTr="008F023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MEM18001</w:t>
            </w:r>
          </w:p>
        </w:tc>
        <w:tc>
          <w:tcPr>
            <w:tcW w:w="6508" w:type="dxa"/>
            <w:tcBorders>
              <w:top w:val="nil"/>
              <w:left w:val="nil"/>
              <w:bottom w:val="nil"/>
              <w:right w:val="nil"/>
            </w:tcBorders>
            <w:tcMar>
              <w:top w:w="0" w:type="dxa"/>
              <w:left w:w="62" w:type="dxa"/>
              <w:bottom w:w="0" w:type="dxa"/>
              <w:right w:w="62" w:type="dxa"/>
            </w:tcMar>
          </w:tcPr>
          <w:p w:rsidR="00000000" w:rsidRPr="008F0231" w:rsidP="008F0231">
            <w:pPr>
              <w:pStyle w:val="BodyText"/>
            </w:pPr>
            <w:r w:rsidRPr="008F0231">
              <w:t>Use hand tools</w:t>
            </w:r>
          </w:p>
        </w:tc>
      </w:tr>
    </w:tbl>
    <w:p w:rsidR="00000000" w:rsidRPr="008F0231" w:rsidP="008F0231">
      <w:pPr>
        <w:pStyle w:val="BodyText"/>
      </w:pPr>
    </w:p>
    <w:p w:rsidR="00000000" w:rsidRPr="008F0231" w:rsidP="008F0231">
      <w:pPr>
        <w:pStyle w:val="AllowPageBreak"/>
      </w:pPr>
    </w:p>
    <w:p w:rsidR="00000000" w:rsidRPr="008F0231" w:rsidP="008F0231">
      <w:pPr>
        <w:pStyle w:val="Heading1"/>
      </w:pPr>
      <w:bookmarkStart w:id="4" w:name="O_1168809"/>
      <w:bookmarkEnd w:id="4"/>
      <w:r w:rsidRPr="008F0231">
        <w:t>Competency Field</w:t>
      </w:r>
    </w:p>
    <w:p w:rsidR="00000000" w:rsidRPr="008F0231" w:rsidP="006D77DE">
      <w:pPr>
        <w:pStyle w:val="BodyText"/>
      </w:pPr>
      <w:r w:rsidRPr="008F0231">
        <w:t>Casting and moulding</w:t>
      </w:r>
    </w:p>
    <w:p w:rsidR="00000000" w:rsidRPr="008F0231" w:rsidP="008F0231">
      <w:pPr>
        <w:pStyle w:val="Heading1"/>
      </w:pPr>
      <w:bookmarkStart w:id="5" w:name="O_1168808"/>
      <w:bookmarkEnd w:id="5"/>
      <w:r w:rsidRPr="008F023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F0231">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Performance criteria describe the performance needed to demonstrate achievement of the element.</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F0231" w:rsidP="008F0231">
            <w:pPr>
              <w:pStyle w:val="BodyText"/>
            </w:pPr>
            <w:r w:rsidRPr="008F0231">
              <w:t>1</w:t>
            </w:r>
          </w:p>
        </w:tc>
        <w:tc>
          <w:tcPr>
            <w:tcW w:w="1986" w:type="dxa"/>
            <w:vMerge w:val="restart"/>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1.1</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Follow standard operating procedures (SOPs)</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1.2</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Comply with work health and safety (WHS) requirements at all times</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1.3</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Use appropriate personal protective equipment (PPE) in accordance with SOPs</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1.4</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Identify job requirements from specifications, drawings, job sheets or work instructions</w:t>
            </w:r>
          </w:p>
        </w:tc>
      </w:tr>
      <w:tr w:rsidTr="008F023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F0231">
            <w:pPr>
              <w:pStyle w:val="BodyText"/>
              <w:rPr>
                <w:lang w:val="en-NZ"/>
              </w:rPr>
            </w:pP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F0231" w:rsidP="008F0231">
            <w:pPr>
              <w:pStyle w:val="BodyText"/>
            </w:pPr>
            <w:r w:rsidRPr="008F0231">
              <w:t>2</w:t>
            </w:r>
          </w:p>
        </w:tc>
        <w:tc>
          <w:tcPr>
            <w:tcW w:w="1986" w:type="dxa"/>
            <w:vMerge w:val="restart"/>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rPr>
                <w:rStyle w:val="SpecialBold"/>
              </w:rPr>
              <w:t>Identify specifications for required casting</w:t>
            </w: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2.1</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Identify required material specification and mould requirements</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2.2</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Identify any special melting and casting requirements for the job</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2.3</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Identify safety procedures for the required melting and casting operation</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2.4</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 xml:space="preserve">Identify and follow regulations and codes of practice relevant to foundry and individual melting, pouring and casting operation </w:t>
            </w:r>
          </w:p>
        </w:tc>
      </w:tr>
      <w:tr w:rsidTr="008F023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F0231">
            <w:pPr>
              <w:pStyle w:val="BodyText"/>
              <w:rPr>
                <w:lang w:val="en-NZ"/>
              </w:rPr>
            </w:pP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F0231" w:rsidP="008F0231">
            <w:pPr>
              <w:pStyle w:val="BodyText"/>
            </w:pPr>
            <w:r w:rsidRPr="008F0231">
              <w:t>3</w:t>
            </w:r>
          </w:p>
        </w:tc>
        <w:tc>
          <w:tcPr>
            <w:tcW w:w="1986" w:type="dxa"/>
            <w:vMerge w:val="restart"/>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rPr>
                <w:rStyle w:val="SpecialBold"/>
              </w:rPr>
              <w:t>Verify metal charges to melting</w:t>
            </w: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3.1</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 xml:space="preserve">Select required components to give the required metal specification </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3.2</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 xml:space="preserve">Calculate required charge of each component </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3.3</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 xml:space="preserve">Recommend changes and/or additions to the charge </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3.4</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Monitor the preparation of the charge, including checking for contaminants</w:t>
            </w:r>
          </w:p>
        </w:tc>
      </w:tr>
      <w:tr w:rsidTr="008F023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F0231">
            <w:pPr>
              <w:pStyle w:val="BodyText"/>
              <w:rPr>
                <w:lang w:val="en-NZ"/>
              </w:rPr>
            </w:pP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F0231" w:rsidP="008F0231">
            <w:pPr>
              <w:pStyle w:val="BodyText"/>
            </w:pPr>
            <w:r w:rsidRPr="008F0231">
              <w:t>4</w:t>
            </w:r>
          </w:p>
        </w:tc>
        <w:tc>
          <w:tcPr>
            <w:tcW w:w="1986" w:type="dxa"/>
            <w:vMerge w:val="restart"/>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rPr>
                <w:rStyle w:val="SpecialBold"/>
              </w:rPr>
              <w:t>Monitor furnace operation</w:t>
            </w: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4.1</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Check that the furnace is in good operational condition and that appropriate lining is present</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4.2</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Organise for maintenance and repairs as required</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4.3</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Identify metal or alloy specification for required casting</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4.4</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Monitor a melt to ensure the product meets specification</w:t>
            </w:r>
          </w:p>
        </w:tc>
      </w:tr>
      <w:tr w:rsidTr="008F023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F0231">
            <w:pPr>
              <w:pStyle w:val="BodyText"/>
              <w:rPr>
                <w:lang w:val="en-NZ"/>
              </w:rPr>
            </w:pP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F0231" w:rsidP="008F0231">
            <w:pPr>
              <w:pStyle w:val="BodyText"/>
            </w:pPr>
            <w:r w:rsidRPr="008F0231">
              <w:t>5</w:t>
            </w:r>
          </w:p>
        </w:tc>
        <w:tc>
          <w:tcPr>
            <w:tcW w:w="1986" w:type="dxa"/>
            <w:vMerge w:val="restart"/>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rPr>
                <w:rStyle w:val="SpecialBold"/>
              </w:rPr>
              <w:t>Monitor pouring of molten metal</w:t>
            </w: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5.1</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Check pouring area is secure and that all non-essential personnel are excluded</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5.2</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Check all members of the pouring crew are wearing appropriate PPE</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5.3</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Ensure escape routes are known in advance by all members of the pouring crew</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5.4</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Check emergency pour out pit is operational and other safety measures are in place</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5.5</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Ensure moulds are ready to receive liquid metal, ensure access ways and pouring ways are clear, and that there are appropriate spaces between each mould</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5.6</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 xml:space="preserve">Check pouring is undertaken at correct temperature and in efficient order </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5.7</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Ensure pouring</w:t>
            </w:r>
            <w:r w:rsidRPr="008F0231">
              <w:t xml:space="preserve"> basin and moulds are ready to receive liquid metal</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5.8</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Take required samples for analysis</w:t>
            </w:r>
          </w:p>
        </w:tc>
      </w:tr>
      <w:tr w:rsidTr="008F023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F0231">
            <w:pPr>
              <w:pStyle w:val="BodyText"/>
              <w:rPr>
                <w:lang w:val="en-NZ"/>
              </w:rPr>
            </w:pP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F0231" w:rsidP="008F0231">
            <w:pPr>
              <w:pStyle w:val="BodyText"/>
            </w:pPr>
            <w:r w:rsidRPr="008F0231">
              <w:t>6</w:t>
            </w:r>
          </w:p>
        </w:tc>
        <w:tc>
          <w:tcPr>
            <w:tcW w:w="1986" w:type="dxa"/>
            <w:vMerge w:val="restart"/>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rPr>
                <w:rStyle w:val="SpecialBold"/>
              </w:rPr>
              <w:t>Control hazards</w:t>
            </w: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6.1</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Identify hazards in the metal melting/pouring process</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6.2</w:t>
            </w:r>
          </w:p>
        </w:tc>
        <w:tc>
          <w:tcPr>
            <w:tcW w:w="5678"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Assess the risks arising from those hazards</w:t>
            </w:r>
          </w:p>
        </w:tc>
      </w:tr>
      <w:tr w:rsidTr="008F02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6.3</w:t>
            </w:r>
          </w:p>
        </w:tc>
        <w:tc>
          <w:tcPr>
            <w:tcW w:w="5678" w:type="dxa"/>
            <w:tcBorders>
              <w:top w:val="nil"/>
              <w:left w:val="nil"/>
              <w:bottom w:val="nil"/>
              <w:right w:val="nil"/>
            </w:tcBorders>
            <w:tcMar>
              <w:top w:w="0" w:type="dxa"/>
              <w:left w:w="62" w:type="dxa"/>
              <w:bottom w:w="0" w:type="dxa"/>
              <w:right w:w="62" w:type="dxa"/>
            </w:tcMar>
          </w:tcPr>
          <w:p w:rsidR="00000000" w:rsidRPr="008F0231" w:rsidP="008F0231">
            <w:pPr>
              <w:pStyle w:val="BodyText"/>
            </w:pPr>
            <w:r w:rsidRPr="008F0231">
              <w:t>Implement procedures to control those hazards in line with procedures and duty of care</w:t>
            </w:r>
          </w:p>
        </w:tc>
      </w:tr>
    </w:tbl>
    <w:p w:rsidR="00000000" w:rsidRPr="008F0231" w:rsidP="008F0231">
      <w:pPr>
        <w:pStyle w:val="BodyText"/>
      </w:pPr>
    </w:p>
    <w:p w:rsidR="00000000" w:rsidRPr="008F0231" w:rsidP="008F0231">
      <w:pPr>
        <w:pStyle w:val="AllowPageBreak"/>
      </w:pPr>
    </w:p>
    <w:p w:rsidR="00000000" w:rsidRPr="008F0231" w:rsidP="008F0231">
      <w:pPr>
        <w:pStyle w:val="Heading1"/>
      </w:pPr>
      <w:bookmarkStart w:id="6" w:name="O_1168807"/>
      <w:bookmarkEnd w:id="6"/>
      <w:r w:rsidRPr="008F0231">
        <w:t>Foundation Skills</w:t>
      </w:r>
    </w:p>
    <w:p w:rsidR="00000000" w:rsidRPr="008F0231" w:rsidP="006D77DE">
      <w:pPr>
        <w:pStyle w:val="BodyText"/>
      </w:pPr>
      <w:r w:rsidRPr="008F0231">
        <w:t>This section describes those required skills (reading, writing, oral communication and numeracy) that are essential to workplace p</w:t>
      </w:r>
      <w:r w:rsidRPr="008F0231">
        <w:t xml:space="preserve">erformance in this unit of competency.  </w:t>
      </w:r>
    </w:p>
    <w:p w:rsidR="00000000" w:rsidRPr="008F0231" w:rsidP="006D77DE">
      <w:pPr>
        <w:pStyle w:val="BodyText"/>
      </w:pPr>
      <w:r w:rsidRPr="008F0231">
        <w:t>Foundation skills essential to performance are explicit in the performance criteria of this unit of competency.</w:t>
      </w:r>
    </w:p>
    <w:p w:rsidR="00000000" w:rsidRPr="008F0231" w:rsidP="008F0231">
      <w:pPr>
        <w:pStyle w:val="Heading1"/>
      </w:pPr>
      <w:bookmarkStart w:id="7" w:name="O_1168806"/>
      <w:bookmarkEnd w:id="7"/>
      <w:r w:rsidRPr="008F0231">
        <w:t>Range of Conditions</w:t>
      </w:r>
    </w:p>
    <w:tbl>
      <w:tblPr>
        <w:tblW w:w="9358" w:type="dxa"/>
        <w:tblLayout w:type="fixed"/>
        <w:tblCellMar>
          <w:left w:w="62" w:type="dxa"/>
          <w:right w:w="62" w:type="dxa"/>
        </w:tblCellMar>
        <w:tblLook w:val="0000"/>
      </w:tblPr>
      <w:tblGrid>
        <w:gridCol w:w="3012"/>
        <w:gridCol w:w="6346"/>
      </w:tblGrid>
      <w:tr w:rsidTr="008F0231">
        <w:tblPrEx>
          <w:tblW w:w="9358" w:type="dxa"/>
          <w:tblLayout w:type="fixed"/>
          <w:tblCellMar>
            <w:left w:w="62" w:type="dxa"/>
            <w:right w:w="62" w:type="dxa"/>
          </w:tblCellMar>
          <w:tblLook w:val="0000"/>
        </w:tblPrEx>
        <w:trPr>
          <w:tblHeader/>
        </w:trPr>
        <w:tc>
          <w:tcPr>
            <w:tcW w:w="9358" w:type="dxa"/>
            <w:gridSpan w:val="2"/>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t>This field allows for different work en</w:t>
            </w:r>
            <w:r w:rsidRPr="008F0231">
              <w:t>vironments and conditions that may affect performance. Essential operating conditions that may be present (depending on the work situation, needs of the candidate, accessibility of the item, and local industry and regional contexts) are included.</w:t>
            </w:r>
          </w:p>
        </w:tc>
      </w:tr>
      <w:tr w:rsidTr="008F0231">
        <w:tblPrEx>
          <w:tblW w:w="935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rPr>
                <w:rStyle w:val="SpecialBold"/>
              </w:rPr>
              <w:t xml:space="preserve">Moulds </w:t>
            </w:r>
            <w:r w:rsidRPr="008F0231">
              <w:rPr>
                <w:rStyle w:val="SpecialBold"/>
              </w:rPr>
              <w:t>include one (1) or more of the following:</w:t>
            </w:r>
          </w:p>
        </w:tc>
        <w:tc>
          <w:tcPr>
            <w:tcW w:w="6346" w:type="dxa"/>
            <w:tcBorders>
              <w:top w:val="nil"/>
              <w:left w:val="nil"/>
              <w:bottom w:val="nil"/>
              <w:right w:val="nil"/>
            </w:tcBorders>
            <w:tcMar>
              <w:top w:w="0" w:type="dxa"/>
              <w:left w:w="62" w:type="dxa"/>
              <w:bottom w:w="0" w:type="dxa"/>
              <w:right w:w="62" w:type="dxa"/>
            </w:tcMar>
          </w:tcPr>
          <w:p w:rsidR="00000000" w:rsidRPr="008F0231" w:rsidP="008F0231">
            <w:pPr>
              <w:pStyle w:val="ListBullet"/>
            </w:pPr>
            <w:r w:rsidRPr="008F0231">
              <w:t>sand</w:t>
            </w:r>
          </w:p>
          <w:p w:rsidR="00000000" w:rsidRPr="008F0231" w:rsidP="008F0231">
            <w:pPr>
              <w:pStyle w:val="ListBullet"/>
            </w:pPr>
            <w:r w:rsidRPr="008F0231">
              <w:t>die</w:t>
            </w:r>
          </w:p>
          <w:p w:rsidR="00000000" w:rsidRPr="008F0231" w:rsidP="008F0231">
            <w:pPr>
              <w:pStyle w:val="ListBullet"/>
            </w:pPr>
            <w:r w:rsidRPr="008F0231">
              <w:t>investment</w:t>
            </w:r>
          </w:p>
          <w:p w:rsidR="00000000" w:rsidP="008F0231">
            <w:pPr>
              <w:pStyle w:val="BodyText"/>
              <w:rPr>
                <w:lang w:val="en-NZ"/>
              </w:rPr>
            </w:pPr>
          </w:p>
        </w:tc>
      </w:tr>
      <w:tr w:rsidTr="008F0231">
        <w:tblPrEx>
          <w:tblW w:w="935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rPr>
                <w:rStyle w:val="SpecialBold"/>
              </w:rPr>
              <w:t>Contaminants include one (1) or more of the following:</w:t>
            </w:r>
          </w:p>
        </w:tc>
        <w:tc>
          <w:tcPr>
            <w:tcW w:w="6346" w:type="dxa"/>
            <w:tcBorders>
              <w:top w:val="nil"/>
              <w:left w:val="nil"/>
              <w:bottom w:val="nil"/>
              <w:right w:val="nil"/>
            </w:tcBorders>
            <w:tcMar>
              <w:top w:w="0" w:type="dxa"/>
              <w:left w:w="62" w:type="dxa"/>
              <w:bottom w:w="0" w:type="dxa"/>
              <w:right w:w="62" w:type="dxa"/>
            </w:tcMar>
          </w:tcPr>
          <w:p w:rsidR="00000000" w:rsidRPr="008F0231" w:rsidP="008F0231">
            <w:pPr>
              <w:pStyle w:val="ListBullet"/>
            </w:pPr>
            <w:r w:rsidRPr="008F0231">
              <w:t>non-specified metal</w:t>
            </w:r>
          </w:p>
          <w:p w:rsidR="00000000" w:rsidRPr="008F0231" w:rsidP="008F0231">
            <w:pPr>
              <w:pStyle w:val="ListBullet"/>
            </w:pPr>
            <w:r w:rsidRPr="008F0231">
              <w:t>rubber</w:t>
            </w:r>
          </w:p>
          <w:p w:rsidR="00000000" w:rsidRPr="008F0231" w:rsidP="008F0231">
            <w:pPr>
              <w:pStyle w:val="ListBullet"/>
            </w:pPr>
            <w:r w:rsidRPr="008F0231">
              <w:t>grease</w:t>
            </w:r>
          </w:p>
          <w:p w:rsidR="00000000" w:rsidRPr="008F0231" w:rsidP="008F0231">
            <w:pPr>
              <w:pStyle w:val="ListBullet"/>
            </w:pPr>
            <w:r w:rsidRPr="008F0231">
              <w:t>water</w:t>
            </w:r>
          </w:p>
          <w:p w:rsidR="00000000" w:rsidRPr="008F0231" w:rsidP="008F0231">
            <w:pPr>
              <w:pStyle w:val="ListBullet"/>
            </w:pPr>
            <w:r w:rsidRPr="008F0231">
              <w:t>paint and non-metallics</w:t>
            </w:r>
          </w:p>
          <w:p w:rsidR="00000000" w:rsidRPr="008F0231" w:rsidP="008F0231">
            <w:pPr>
              <w:pStyle w:val="ListBullet"/>
            </w:pPr>
            <w:r w:rsidRPr="008F0231">
              <w:t xml:space="preserve">closed containers or pipes </w:t>
            </w:r>
          </w:p>
          <w:p w:rsidR="00000000" w:rsidRPr="008F0231" w:rsidP="008F0231">
            <w:pPr>
              <w:pStyle w:val="ListBullet"/>
            </w:pPr>
            <w:r w:rsidRPr="008F0231">
              <w:t xml:space="preserve">pressure containers, including aerosols </w:t>
            </w:r>
          </w:p>
          <w:p w:rsidR="00000000" w:rsidP="008F0231">
            <w:pPr>
              <w:pStyle w:val="BodyText"/>
              <w:rPr>
                <w:lang w:val="en-NZ"/>
              </w:rPr>
            </w:pPr>
          </w:p>
        </w:tc>
      </w:tr>
      <w:tr w:rsidTr="008F0231">
        <w:tblPrEx>
          <w:tblW w:w="935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8F0231">
            <w:pPr>
              <w:pStyle w:val="BodyText"/>
              <w:rPr>
                <w:lang w:val="en-NZ"/>
              </w:rPr>
            </w:pPr>
            <w:r w:rsidRPr="008F0231">
              <w:rPr>
                <w:rStyle w:val="SpecialBold"/>
              </w:rPr>
              <w:t>Material specification includes one (1) or more of the following:</w:t>
            </w:r>
          </w:p>
        </w:tc>
        <w:tc>
          <w:tcPr>
            <w:tcW w:w="6346" w:type="dxa"/>
            <w:tcBorders>
              <w:top w:val="nil"/>
              <w:left w:val="nil"/>
              <w:bottom w:val="nil"/>
              <w:right w:val="nil"/>
            </w:tcBorders>
            <w:tcMar>
              <w:top w:w="0" w:type="dxa"/>
              <w:left w:w="62" w:type="dxa"/>
              <w:bottom w:w="0" w:type="dxa"/>
              <w:right w:w="62" w:type="dxa"/>
            </w:tcMar>
          </w:tcPr>
          <w:p w:rsidR="00000000" w:rsidRPr="008F0231" w:rsidP="008F0231">
            <w:pPr>
              <w:pStyle w:val="ListBullet"/>
            </w:pPr>
            <w:r w:rsidRPr="008F0231">
              <w:t xml:space="preserve">ferrous metals </w:t>
            </w:r>
          </w:p>
          <w:p w:rsidR="00000000" w:rsidRPr="008F0231" w:rsidP="008F0231">
            <w:pPr>
              <w:pStyle w:val="ListBullet"/>
            </w:pPr>
            <w:r w:rsidRPr="008F0231">
              <w:t xml:space="preserve">ferrous alloys </w:t>
            </w:r>
          </w:p>
          <w:p w:rsidR="00000000" w:rsidRPr="008F0231" w:rsidP="008F0231">
            <w:pPr>
              <w:pStyle w:val="ListBullet"/>
            </w:pPr>
            <w:r w:rsidRPr="008F0231">
              <w:t>contaminants</w:t>
            </w:r>
          </w:p>
          <w:p w:rsidR="00000000" w:rsidRPr="008F0231" w:rsidP="008F0231">
            <w:pPr>
              <w:pStyle w:val="BodyText"/>
            </w:pPr>
          </w:p>
        </w:tc>
      </w:tr>
    </w:tbl>
    <w:p w:rsidR="00000000" w:rsidRPr="008F0231" w:rsidP="008F0231">
      <w:pPr>
        <w:pStyle w:val="BodyText"/>
      </w:pPr>
    </w:p>
    <w:p w:rsidR="00000000" w:rsidRPr="008F0231" w:rsidP="008F0231">
      <w:pPr>
        <w:pStyle w:val="AllowPageBreak"/>
      </w:pPr>
    </w:p>
    <w:p w:rsidR="00000000" w:rsidRPr="008F0231" w:rsidP="008F0231">
      <w:pPr>
        <w:pStyle w:val="Heading1"/>
      </w:pPr>
      <w:bookmarkStart w:id="8" w:name="O_1168805"/>
      <w:bookmarkEnd w:id="8"/>
      <w:r w:rsidRPr="008F0231">
        <w:t>Unit Mapping Information</w:t>
      </w:r>
    </w:p>
    <w:p w:rsidR="00000000" w:rsidRPr="008F0231" w:rsidP="006D77DE">
      <w:pPr>
        <w:pStyle w:val="BodyText"/>
      </w:pPr>
      <w:r w:rsidRPr="008F0231">
        <w:t>Release 2. Supersedes and is equivalent to MEM04020 Supervise individual ferrous melting and casting operation (Release 1).</w:t>
      </w:r>
    </w:p>
    <w:p w:rsidR="00000000" w:rsidRPr="008F0231" w:rsidP="006D77DE">
      <w:pPr>
        <w:pStyle w:val="BodyText"/>
      </w:pPr>
      <w:r w:rsidRPr="008F0231">
        <w:t>Release 1. Supersedes and is equivalent to MEM04020A Supervise individual ferrous melting and casting operation.</w:t>
      </w:r>
    </w:p>
    <w:p w:rsidR="00000000" w:rsidRPr="008F0231" w:rsidP="008F0231">
      <w:pPr>
        <w:pStyle w:val="Heading1"/>
      </w:pPr>
      <w:bookmarkStart w:id="9" w:name="O_1168813"/>
      <w:bookmarkEnd w:id="9"/>
      <w:r w:rsidRPr="008F0231">
        <w:t>Links</w:t>
      </w:r>
    </w:p>
    <w:p w:rsidR="00000000" w:rsidRPr="008F0231" w:rsidP="006D77DE">
      <w:pPr>
        <w:pStyle w:val="BodyText"/>
      </w:pPr>
      <w:r w:rsidRPr="008F023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86286">
        <w:rPr>
          <w:rStyle w:val="Hyperlink"/>
        </w:rPr>
        <w:t>https://vetnet.gov.au/Pages/TrainingDocs.aspx?q=b7050d37-5fd0-4740-8f7d-3b7a49c10bb2</w:t>
      </w:r>
      <w:r>
        <w:fldChar w:fldCharType="end"/>
      </w:r>
    </w:p>
    <w:p w:rsidR="00000000" w:rsidRPr="008F0231" w:rsidP="008F0231"/>
    <w:sectPr w:rsidSect="008F02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31" w:rsidRPr="006D77DE" w:rsidP="006D77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DE" w:rsidP="008F0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77DE" w:rsidP="008F023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77DE" w:rsidP="008F02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231" w:rsidRPr="006D77DE" w:rsidP="006D77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DE" w:rsidRPr="002D2AF8" w:rsidP="008F0231">
    <w:pPr>
      <w:pStyle w:val="Header"/>
      <w:framePr w:wrap="around"/>
    </w:pPr>
    <w:r>
      <w:fldChar w:fldCharType="begin"/>
    </w:r>
    <w:r>
      <w:instrText xml:space="preserve"> TITLE   \* MERGEFORMAT </w:instrText>
    </w:r>
    <w:r>
      <w:fldChar w:fldCharType="separate"/>
    </w:r>
    <w:r>
      <w:t>MEM04020 Supervise individual ferrous melting and casting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D77DE" w:rsidP="008F0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7CC9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A446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231"/>
    <w:pPr>
      <w:spacing w:before="360" w:after="60"/>
      <w:outlineLvl w:val="0"/>
    </w:pPr>
    <w:rPr>
      <w:sz w:val="32"/>
    </w:rPr>
  </w:style>
  <w:style w:type="paragraph" w:styleId="Heading2">
    <w:name w:val="heading 2"/>
    <w:basedOn w:val="HeadingBase"/>
    <w:next w:val="BodyText"/>
    <w:link w:val="Heading2Char"/>
    <w:qFormat/>
    <w:rsid w:val="008F0231"/>
    <w:pPr>
      <w:keepLines/>
      <w:spacing w:before="240" w:after="120"/>
      <w:outlineLvl w:val="1"/>
    </w:pPr>
    <w:rPr>
      <w:sz w:val="28"/>
      <w:szCs w:val="40"/>
    </w:rPr>
  </w:style>
  <w:style w:type="paragraph" w:styleId="Heading3">
    <w:name w:val="heading 3"/>
    <w:basedOn w:val="HeadingBase"/>
    <w:next w:val="BodyText"/>
    <w:link w:val="Heading3Char"/>
    <w:qFormat/>
    <w:rsid w:val="008F0231"/>
    <w:pPr>
      <w:spacing w:before="180" w:after="120"/>
      <w:outlineLvl w:val="2"/>
    </w:pPr>
    <w:rPr>
      <w:spacing w:val="-10"/>
      <w:kern w:val="32"/>
    </w:rPr>
  </w:style>
  <w:style w:type="paragraph" w:styleId="Heading4">
    <w:name w:val="heading 4"/>
    <w:basedOn w:val="HeadingBase"/>
    <w:next w:val="BodyText"/>
    <w:link w:val="Heading4Char"/>
    <w:qFormat/>
    <w:rsid w:val="008F0231"/>
    <w:pPr>
      <w:spacing w:before="160" w:after="120"/>
      <w:outlineLvl w:val="3"/>
    </w:pPr>
    <w:rPr>
      <w:sz w:val="22"/>
    </w:rPr>
  </w:style>
  <w:style w:type="paragraph" w:styleId="Heading5">
    <w:name w:val="heading 5"/>
    <w:basedOn w:val="HeadingBase"/>
    <w:next w:val="Normal"/>
    <w:link w:val="Heading5Char"/>
    <w:qFormat/>
    <w:rsid w:val="008F0231"/>
    <w:pPr>
      <w:spacing w:before="80"/>
      <w:outlineLvl w:val="4"/>
    </w:pPr>
    <w:rPr>
      <w:color w:val="918585"/>
      <w:sz w:val="20"/>
    </w:rPr>
  </w:style>
  <w:style w:type="paragraph" w:styleId="Heading6">
    <w:name w:val="heading 6"/>
    <w:basedOn w:val="HeadingBase"/>
    <w:next w:val="Normal"/>
    <w:link w:val="Heading6Char"/>
    <w:qFormat/>
    <w:rsid w:val="008F0231"/>
    <w:pPr>
      <w:spacing w:before="60"/>
      <w:outlineLvl w:val="5"/>
    </w:pPr>
    <w:rPr>
      <w:color w:val="918585"/>
      <w:sz w:val="20"/>
    </w:rPr>
  </w:style>
  <w:style w:type="paragraph" w:styleId="Heading7">
    <w:name w:val="heading 7"/>
    <w:basedOn w:val="Normal"/>
    <w:next w:val="Normal"/>
    <w:link w:val="Heading7Char"/>
    <w:qFormat/>
    <w:rsid w:val="008F0231"/>
    <w:pPr>
      <w:ind w:left="720"/>
      <w:outlineLvl w:val="6"/>
    </w:pPr>
    <w:rPr>
      <w:i/>
    </w:rPr>
  </w:style>
  <w:style w:type="paragraph" w:styleId="Heading8">
    <w:name w:val="heading 8"/>
    <w:basedOn w:val="Normal"/>
    <w:next w:val="Normal"/>
    <w:link w:val="Heading8Char"/>
    <w:qFormat/>
    <w:rsid w:val="008F0231"/>
    <w:pPr>
      <w:ind w:left="720"/>
      <w:outlineLvl w:val="7"/>
    </w:pPr>
    <w:rPr>
      <w:i/>
    </w:rPr>
  </w:style>
  <w:style w:type="paragraph" w:styleId="Heading9">
    <w:name w:val="heading 9"/>
    <w:basedOn w:val="Normal"/>
    <w:next w:val="Normal"/>
    <w:link w:val="Heading9Char"/>
    <w:qFormat/>
    <w:rsid w:val="008F0231"/>
    <w:pPr>
      <w:ind w:left="720"/>
      <w:outlineLvl w:val="8"/>
    </w:pPr>
    <w:rPr>
      <w:i/>
    </w:rPr>
  </w:style>
  <w:style w:type="character" w:default="1" w:styleId="DefaultParagraphFont">
    <w:name w:val="Default Paragraph Font"/>
    <w:uiPriority w:val="1"/>
    <w:unhideWhenUsed/>
    <w:rsid w:val="008F0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231"/>
  </w:style>
  <w:style w:type="character" w:customStyle="1" w:styleId="Heading1Char">
    <w:name w:val="Heading 1 Char"/>
    <w:basedOn w:val="DefaultParagraphFont"/>
    <w:link w:val="Heading1"/>
    <w:rsid w:val="008F0231"/>
    <w:rPr>
      <w:rFonts w:ascii="Times New Roman" w:eastAsia="Times New Roman" w:hAnsi="Times New Roman" w:cs="Times New Roman"/>
      <w:b/>
      <w:sz w:val="32"/>
      <w:szCs w:val="20"/>
      <w:lang w:eastAsia="en-US"/>
    </w:rPr>
  </w:style>
  <w:style w:type="paragraph" w:styleId="BodyText">
    <w:name w:val="Body Text"/>
    <w:basedOn w:val="Normal"/>
    <w:link w:val="BodyTextChar"/>
    <w:rsid w:val="008F02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231"/>
    <w:rPr>
      <w:rFonts w:ascii="Times New Roman" w:eastAsia="Times New Roman" w:hAnsi="Times New Roman" w:cs="Times New Roman"/>
      <w:sz w:val="24"/>
      <w:lang w:eastAsia="en-US"/>
    </w:rPr>
  </w:style>
  <w:style w:type="paragraph" w:styleId="ListBullet">
    <w:name w:val="List Bullet"/>
    <w:basedOn w:val="List"/>
    <w:rsid w:val="008F0231"/>
    <w:pPr>
      <w:numPr>
        <w:numId w:val="11"/>
      </w:numPr>
      <w:tabs>
        <w:tab w:val="clear" w:pos="340"/>
      </w:tabs>
      <w:spacing w:before="40" w:after="40"/>
    </w:pPr>
  </w:style>
  <w:style w:type="character" w:customStyle="1" w:styleId="SpecialBold">
    <w:name w:val="Special Bold"/>
    <w:basedOn w:val="DefaultParagraphFont"/>
    <w:rsid w:val="008F0231"/>
    <w:rPr>
      <w:b/>
      <w:spacing w:val="0"/>
    </w:rPr>
  </w:style>
  <w:style w:type="paragraph" w:customStyle="1" w:styleId="SuperHeading">
    <w:name w:val="SuperHeading"/>
    <w:basedOn w:val="Normal"/>
    <w:rsid w:val="008F0231"/>
    <w:pPr>
      <w:spacing w:before="240" w:after="120"/>
      <w:outlineLvl w:val="0"/>
    </w:pPr>
    <w:rPr>
      <w:rFonts w:ascii="Times New Roman" w:hAnsi="Times New Roman"/>
      <w:b/>
      <w:sz w:val="32"/>
    </w:rPr>
  </w:style>
  <w:style w:type="paragraph" w:customStyle="1" w:styleId="AllowPageBreak">
    <w:name w:val="AllowPageBreak"/>
    <w:rsid w:val="008F02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0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231"/>
    <w:rPr>
      <w:rFonts w:ascii="Courier New" w:eastAsia="Times New Roman" w:hAnsi="Courier New" w:cs="Times New Roman"/>
      <w:i/>
      <w:szCs w:val="20"/>
      <w:lang w:eastAsia="en-US"/>
    </w:rPr>
  </w:style>
  <w:style w:type="paragraph" w:customStyle="1" w:styleId="HeadingBase">
    <w:name w:val="Heading Base"/>
    <w:rsid w:val="008F0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231"/>
    <w:pPr>
      <w:tabs>
        <w:tab w:val="right" w:leader="dot" w:pos="9072"/>
      </w:tabs>
      <w:ind w:left="567"/>
    </w:pPr>
    <w:rPr>
      <w:szCs w:val="22"/>
    </w:rPr>
  </w:style>
  <w:style w:type="paragraph" w:customStyle="1" w:styleId="TOCBase">
    <w:name w:val="TOC Base"/>
    <w:rsid w:val="008F0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231"/>
    <w:pPr>
      <w:tabs>
        <w:tab w:val="right" w:leader="dot" w:pos="9072"/>
      </w:tabs>
      <w:spacing w:before="40" w:after="40"/>
      <w:ind w:left="284"/>
    </w:pPr>
    <w:rPr>
      <w:rFonts w:ascii="Times New Roman" w:hAnsi="Times New Roman"/>
    </w:rPr>
  </w:style>
  <w:style w:type="paragraph" w:styleId="TOC1">
    <w:name w:val="toc 1"/>
    <w:basedOn w:val="TOCBase"/>
    <w:next w:val="Normal"/>
    <w:rsid w:val="008F02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231"/>
    <w:rPr>
      <w:rFonts w:ascii="Times New Roman" w:eastAsia="Times New Roman" w:hAnsi="Times New Roman" w:cs="Times New Roman"/>
      <w:sz w:val="16"/>
      <w:lang w:eastAsia="en-US"/>
    </w:rPr>
  </w:style>
  <w:style w:type="paragraph" w:styleId="Title">
    <w:name w:val="Title"/>
    <w:basedOn w:val="HeadingBase"/>
    <w:link w:val="TitleChar"/>
    <w:qFormat/>
    <w:rsid w:val="008F0231"/>
    <w:pPr>
      <w:spacing w:before="5040"/>
      <w:jc w:val="center"/>
    </w:pPr>
    <w:rPr>
      <w:sz w:val="48"/>
      <w:szCs w:val="72"/>
      <w:lang w:val="en-US"/>
    </w:rPr>
  </w:style>
  <w:style w:type="character" w:customStyle="1" w:styleId="TitleChar">
    <w:name w:val="Title Char"/>
    <w:basedOn w:val="DefaultParagraphFont"/>
    <w:link w:val="Title"/>
    <w:rsid w:val="008F0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231"/>
    <w:pPr>
      <w:tabs>
        <w:tab w:val="left" w:pos="3600"/>
        <w:tab w:val="left" w:pos="3958"/>
      </w:tabs>
    </w:pPr>
  </w:style>
  <w:style w:type="paragraph" w:styleId="List">
    <w:name w:val="List"/>
    <w:basedOn w:val="BodyText"/>
    <w:next w:val="BodyText"/>
    <w:rsid w:val="008F0231"/>
    <w:pPr>
      <w:tabs>
        <w:tab w:val="left" w:pos="340"/>
      </w:tabs>
      <w:spacing w:before="60" w:after="60"/>
      <w:ind w:left="340" w:hanging="340"/>
    </w:pPr>
  </w:style>
  <w:style w:type="paragraph" w:customStyle="1" w:styleId="Note">
    <w:name w:val="Note"/>
    <w:basedOn w:val="BodyText"/>
    <w:rsid w:val="008F0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231"/>
    <w:pPr>
      <w:framePr w:wrap="auto" w:hAnchor="text" w:y="6049"/>
    </w:pPr>
    <w:rPr>
      <w:color w:val="000000"/>
      <w:sz w:val="40"/>
    </w:rPr>
  </w:style>
  <w:style w:type="paragraph" w:customStyle="1" w:styleId="TOCTitle">
    <w:name w:val="TOCTitle"/>
    <w:basedOn w:val="Heading1"/>
    <w:rsid w:val="008F0231"/>
    <w:pPr>
      <w:spacing w:after="240"/>
      <w:jc w:val="center"/>
      <w:outlineLvl w:val="9"/>
    </w:pPr>
    <w:rPr>
      <w:caps/>
    </w:rPr>
  </w:style>
  <w:style w:type="paragraph" w:customStyle="1" w:styleId="Version">
    <w:name w:val="Version"/>
    <w:rsid w:val="008F02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0231"/>
    <w:pPr>
      <w:numPr>
        <w:numId w:val="12"/>
      </w:numPr>
      <w:tabs>
        <w:tab w:val="clear" w:pos="680"/>
      </w:tabs>
    </w:pPr>
  </w:style>
  <w:style w:type="paragraph" w:styleId="Index1">
    <w:name w:val="index 1"/>
    <w:basedOn w:val="Normal"/>
    <w:next w:val="Normal"/>
    <w:semiHidden/>
    <w:rsid w:val="008F0231"/>
    <w:pPr>
      <w:keepNext w:val="0"/>
      <w:tabs>
        <w:tab w:val="right" w:pos="4176"/>
      </w:tabs>
      <w:ind w:left="198" w:hanging="198"/>
    </w:pPr>
    <w:rPr>
      <w:rFonts w:ascii="Garamond" w:hAnsi="Garamond"/>
    </w:rPr>
  </w:style>
  <w:style w:type="paragraph" w:styleId="IndexHeading">
    <w:name w:val="index heading"/>
    <w:basedOn w:val="Normal"/>
    <w:next w:val="Index1"/>
    <w:semiHidden/>
    <w:rsid w:val="008F0231"/>
    <w:pPr>
      <w:spacing w:before="120" w:after="120"/>
    </w:pPr>
    <w:rPr>
      <w:rFonts w:ascii="Arial" w:hAnsi="Arial"/>
      <w:b/>
      <w:color w:val="918585"/>
      <w:sz w:val="24"/>
    </w:rPr>
  </w:style>
  <w:style w:type="paragraph" w:styleId="Header">
    <w:name w:val="header"/>
    <w:basedOn w:val="Normal"/>
    <w:link w:val="HeaderChar"/>
    <w:rsid w:val="008F0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231"/>
    <w:rPr>
      <w:rFonts w:ascii="Times New Roman" w:eastAsia="Times New Roman" w:hAnsi="Times New Roman" w:cs="Times New Roman"/>
      <w:sz w:val="16"/>
      <w:szCs w:val="20"/>
      <w:lang w:val="en-GB" w:eastAsia="en-US"/>
    </w:rPr>
  </w:style>
  <w:style w:type="paragraph" w:customStyle="1" w:styleId="Chapter">
    <w:name w:val="Chapter"/>
    <w:basedOn w:val="Normal"/>
    <w:rsid w:val="008F0231"/>
    <w:pPr>
      <w:spacing w:before="240"/>
    </w:pPr>
    <w:rPr>
      <w:rFonts w:ascii="Times New Roman" w:hAnsi="Times New Roman"/>
      <w:smallCaps/>
      <w:spacing w:val="80"/>
      <w:sz w:val="28"/>
    </w:rPr>
  </w:style>
  <w:style w:type="paragraph" w:customStyle="1" w:styleId="InChapter">
    <w:name w:val="InChapter"/>
    <w:basedOn w:val="Heading3"/>
    <w:rsid w:val="008F0231"/>
    <w:pPr>
      <w:spacing w:after="240"/>
      <w:outlineLvl w:val="9"/>
    </w:pPr>
    <w:rPr>
      <w:noProof/>
    </w:rPr>
  </w:style>
  <w:style w:type="paragraph" w:styleId="Index2">
    <w:name w:val="index 2"/>
    <w:basedOn w:val="Normal"/>
    <w:next w:val="Normal"/>
    <w:semiHidden/>
    <w:rsid w:val="008F0231"/>
    <w:pPr>
      <w:tabs>
        <w:tab w:val="right" w:pos="4176"/>
      </w:tabs>
      <w:ind w:left="568" w:hanging="284"/>
    </w:pPr>
    <w:rPr>
      <w:rFonts w:ascii="Garamond" w:hAnsi="Garamond"/>
    </w:rPr>
  </w:style>
  <w:style w:type="paragraph" w:customStyle="1" w:styleId="Byline">
    <w:name w:val="Byline"/>
    <w:rsid w:val="008F0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231"/>
    <w:pPr>
      <w:tabs>
        <w:tab w:val="clear" w:pos="3600"/>
        <w:tab w:val="clear" w:pos="3958"/>
      </w:tabs>
      <w:jc w:val="right"/>
    </w:pPr>
  </w:style>
  <w:style w:type="character" w:styleId="Emphasis">
    <w:name w:val="Emphasis"/>
    <w:basedOn w:val="DefaultParagraphFont"/>
    <w:qFormat/>
    <w:rsid w:val="008F0231"/>
    <w:rPr>
      <w:i/>
    </w:rPr>
  </w:style>
  <w:style w:type="paragraph" w:styleId="Caption">
    <w:name w:val="caption"/>
    <w:basedOn w:val="BodyText"/>
    <w:next w:val="Normal"/>
    <w:qFormat/>
    <w:rsid w:val="008F0231"/>
    <w:pPr>
      <w:framePr w:w="2268" w:hSpace="181" w:vSpace="181" w:wrap="around" w:vAnchor="text" w:hAnchor="page" w:x="1135" w:y="285" w:anchorLock="1"/>
    </w:pPr>
    <w:rPr>
      <w:i/>
    </w:rPr>
  </w:style>
  <w:style w:type="paragraph" w:customStyle="1" w:styleId="MiniTOCTitle">
    <w:name w:val="MiniTOCTitle"/>
    <w:basedOn w:val="Heading4"/>
    <w:rsid w:val="008F0231"/>
    <w:pPr>
      <w:spacing w:before="240"/>
      <w:outlineLvl w:val="9"/>
    </w:pPr>
    <w:rPr>
      <w:noProof/>
      <w:sz w:val="24"/>
    </w:rPr>
  </w:style>
  <w:style w:type="paragraph" w:customStyle="1" w:styleId="MiniTOCItem">
    <w:name w:val="MiniTOCItem"/>
    <w:basedOn w:val="ListBullet"/>
    <w:rsid w:val="008F0231"/>
    <w:pPr>
      <w:numPr>
        <w:numId w:val="0"/>
      </w:numPr>
      <w:tabs>
        <w:tab w:val="right" w:leader="dot" w:pos="6521"/>
      </w:tabs>
      <w:spacing w:before="0" w:after="0"/>
    </w:pPr>
  </w:style>
  <w:style w:type="paragraph" w:customStyle="1" w:styleId="TOFTitle">
    <w:name w:val="TOFTitle"/>
    <w:basedOn w:val="TOCTitle"/>
    <w:rsid w:val="008F0231"/>
  </w:style>
  <w:style w:type="paragraph" w:styleId="TableofFigures">
    <w:name w:val="table of figures"/>
    <w:basedOn w:val="Normal"/>
    <w:next w:val="Normal"/>
    <w:semiHidden/>
    <w:rsid w:val="008F0231"/>
    <w:pPr>
      <w:tabs>
        <w:tab w:val="right" w:leader="dot" w:pos="9072"/>
      </w:tabs>
      <w:ind w:left="970" w:hanging="403"/>
    </w:pPr>
    <w:rPr>
      <w:rFonts w:ascii="Times New Roman" w:hAnsi="Times New Roman"/>
      <w:b/>
    </w:rPr>
  </w:style>
  <w:style w:type="paragraph" w:styleId="ListNumber">
    <w:name w:val="List Number"/>
    <w:basedOn w:val="List"/>
    <w:rsid w:val="008F0231"/>
    <w:pPr>
      <w:numPr>
        <w:numId w:val="14"/>
      </w:numPr>
      <w:tabs>
        <w:tab w:val="clear" w:pos="340"/>
      </w:tabs>
    </w:pPr>
  </w:style>
  <w:style w:type="character" w:customStyle="1" w:styleId="WingdingSymbols">
    <w:name w:val="Wingding Symbols"/>
    <w:rsid w:val="008F0231"/>
    <w:rPr>
      <w:rFonts w:ascii="Wingdings" w:hAnsi="Wingdings"/>
    </w:rPr>
  </w:style>
  <w:style w:type="paragraph" w:customStyle="1" w:styleId="TableHeading">
    <w:name w:val="Table Heading"/>
    <w:basedOn w:val="HeadingBase"/>
    <w:rsid w:val="008F0231"/>
    <w:pPr>
      <w:keepLines/>
      <w:pBdr>
        <w:bottom w:val="single" w:sz="6" w:space="1" w:color="918585"/>
      </w:pBdr>
      <w:spacing w:before="240"/>
    </w:pPr>
  </w:style>
  <w:style w:type="character" w:customStyle="1" w:styleId="HotSpot">
    <w:name w:val="HotSpot"/>
    <w:rsid w:val="008F0231"/>
    <w:rPr>
      <w:color w:val="0033CC"/>
      <w:u w:val="none"/>
    </w:rPr>
  </w:style>
  <w:style w:type="paragraph" w:customStyle="1" w:styleId="BodyTextRight">
    <w:name w:val="Body Text Right"/>
    <w:basedOn w:val="BodyText"/>
    <w:rsid w:val="008F0231"/>
    <w:pPr>
      <w:spacing w:before="0" w:after="0"/>
      <w:jc w:val="right"/>
    </w:pPr>
  </w:style>
  <w:style w:type="paragraph" w:styleId="Index3">
    <w:name w:val="index 3"/>
    <w:basedOn w:val="ListNumber2"/>
    <w:next w:val="Normal"/>
    <w:semiHidden/>
    <w:rsid w:val="008F0231"/>
    <w:pPr>
      <w:numPr>
        <w:numId w:val="0"/>
      </w:numPr>
      <w:tabs>
        <w:tab w:val="right" w:leader="dot" w:pos="4176"/>
      </w:tabs>
    </w:pPr>
  </w:style>
  <w:style w:type="paragraph" w:styleId="ListNumber2">
    <w:name w:val="List Number 2"/>
    <w:basedOn w:val="List2"/>
    <w:rsid w:val="008F0231"/>
    <w:pPr>
      <w:numPr>
        <w:numId w:val="9"/>
      </w:numPr>
      <w:tabs>
        <w:tab w:val="clear" w:pos="1060"/>
      </w:tabs>
    </w:pPr>
  </w:style>
  <w:style w:type="paragraph" w:customStyle="1" w:styleId="MarginNote">
    <w:name w:val="Margin Note"/>
    <w:basedOn w:val="BodyText"/>
    <w:rsid w:val="008F0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231"/>
    <w:rPr>
      <w:sz w:val="32"/>
    </w:rPr>
  </w:style>
  <w:style w:type="paragraph" w:customStyle="1" w:styleId="HeadingProcedure">
    <w:name w:val="Heading Procedure"/>
    <w:basedOn w:val="HeadingBase"/>
    <w:next w:val="Normal"/>
    <w:rsid w:val="008F0231"/>
    <w:pPr>
      <w:tabs>
        <w:tab w:val="left" w:pos="0"/>
      </w:tabs>
      <w:spacing w:before="120" w:after="60"/>
    </w:pPr>
    <w:rPr>
      <w:i/>
      <w:color w:val="918585"/>
      <w:sz w:val="22"/>
    </w:rPr>
  </w:style>
  <w:style w:type="paragraph" w:customStyle="1" w:styleId="TableBodyText">
    <w:name w:val="Table Body Text"/>
    <w:basedOn w:val="BodyText"/>
    <w:rsid w:val="008F0231"/>
    <w:pPr>
      <w:spacing w:before="60" w:after="60"/>
    </w:pPr>
  </w:style>
  <w:style w:type="paragraph" w:styleId="ListContinue">
    <w:name w:val="List Continue"/>
    <w:basedOn w:val="List"/>
    <w:rsid w:val="008F0231"/>
    <w:pPr>
      <w:ind w:firstLine="0"/>
    </w:pPr>
  </w:style>
  <w:style w:type="paragraph" w:customStyle="1" w:styleId="ListNote">
    <w:name w:val="List Note"/>
    <w:basedOn w:val="List"/>
    <w:rsid w:val="008F0231"/>
    <w:pPr>
      <w:pBdr>
        <w:top w:val="single" w:sz="6" w:space="2" w:color="918585"/>
        <w:bottom w:val="single" w:sz="6" w:space="2" w:color="918585"/>
      </w:pBdr>
      <w:tabs>
        <w:tab w:val="left" w:pos="1021"/>
      </w:tabs>
      <w:ind w:firstLine="0"/>
    </w:pPr>
  </w:style>
  <w:style w:type="paragraph" w:customStyle="1" w:styleId="Warning">
    <w:name w:val="Warning"/>
    <w:basedOn w:val="BodyText"/>
    <w:rsid w:val="008F0231"/>
    <w:pPr>
      <w:shd w:val="clear" w:color="auto" w:fill="D9D9D9"/>
      <w:tabs>
        <w:tab w:val="left" w:pos="992"/>
      </w:tabs>
      <w:ind w:left="119" w:right="119"/>
    </w:pPr>
    <w:rPr>
      <w:sz w:val="20"/>
    </w:rPr>
  </w:style>
  <w:style w:type="paragraph" w:customStyle="1" w:styleId="MarginIcons">
    <w:name w:val="Margin Icons"/>
    <w:basedOn w:val="BodyText"/>
    <w:rsid w:val="008F0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231"/>
    <w:rPr>
      <w:rFonts w:ascii="Courier New" w:hAnsi="Courier New"/>
    </w:rPr>
  </w:style>
  <w:style w:type="paragraph" w:customStyle="1" w:styleId="NoteBullet">
    <w:name w:val="Note Bullet"/>
    <w:basedOn w:val="Note"/>
    <w:rsid w:val="008F0231"/>
    <w:pPr>
      <w:tabs>
        <w:tab w:val="clear" w:pos="680"/>
      </w:tabs>
      <w:spacing w:before="60" w:after="60"/>
    </w:pPr>
  </w:style>
  <w:style w:type="paragraph" w:customStyle="1" w:styleId="SubHeading2">
    <w:name w:val="SubHeading2"/>
    <w:basedOn w:val="HeadingBase"/>
    <w:rsid w:val="008F0231"/>
    <w:pPr>
      <w:spacing w:before="240" w:after="60"/>
    </w:pPr>
    <w:rPr>
      <w:sz w:val="20"/>
    </w:rPr>
  </w:style>
  <w:style w:type="paragraph" w:customStyle="1" w:styleId="SubHeading1">
    <w:name w:val="SubHeading1"/>
    <w:basedOn w:val="HeadingBase"/>
    <w:rsid w:val="008F0231"/>
    <w:pPr>
      <w:spacing w:before="240" w:after="60"/>
    </w:pPr>
    <w:rPr>
      <w:color w:val="918585"/>
      <w:sz w:val="22"/>
    </w:rPr>
  </w:style>
  <w:style w:type="paragraph" w:customStyle="1" w:styleId="SideHeading">
    <w:name w:val="Side Heading"/>
    <w:basedOn w:val="HeadingBase"/>
    <w:rsid w:val="008F0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231"/>
    <w:pPr>
      <w:numPr>
        <w:numId w:val="10"/>
      </w:numPr>
    </w:pPr>
  </w:style>
  <w:style w:type="paragraph" w:styleId="PlainText">
    <w:name w:val="Plain Text"/>
    <w:basedOn w:val="Normal"/>
    <w:link w:val="PlainTextChar"/>
    <w:rsid w:val="008F0231"/>
    <w:rPr>
      <w:sz w:val="20"/>
    </w:rPr>
  </w:style>
  <w:style w:type="character" w:customStyle="1" w:styleId="PlainTextChar">
    <w:name w:val="Plain Text Char"/>
    <w:basedOn w:val="DefaultParagraphFont"/>
    <w:link w:val="PlainText"/>
    <w:rsid w:val="008F0231"/>
    <w:rPr>
      <w:rFonts w:ascii="Courier New" w:eastAsia="Times New Roman" w:hAnsi="Courier New" w:cs="Times New Roman"/>
      <w:sz w:val="20"/>
      <w:szCs w:val="20"/>
      <w:lang w:eastAsia="en-US"/>
    </w:rPr>
  </w:style>
  <w:style w:type="character" w:customStyle="1" w:styleId="MenuOption">
    <w:name w:val="Menu Option"/>
    <w:basedOn w:val="DefaultParagraphFont"/>
    <w:rsid w:val="008F0231"/>
    <w:rPr>
      <w:b/>
      <w:smallCaps/>
    </w:rPr>
  </w:style>
  <w:style w:type="paragraph" w:customStyle="1" w:styleId="TableListNumber">
    <w:name w:val="Table List Number"/>
    <w:basedOn w:val="ListNumber"/>
    <w:rsid w:val="008F0231"/>
    <w:pPr>
      <w:numPr>
        <w:numId w:val="0"/>
      </w:numPr>
    </w:pPr>
  </w:style>
  <w:style w:type="paragraph" w:styleId="TOC4">
    <w:name w:val="toc 4"/>
    <w:basedOn w:val="TOCBase"/>
    <w:next w:val="Normal"/>
    <w:semiHidden/>
    <w:rsid w:val="008F0231"/>
    <w:pPr>
      <w:tabs>
        <w:tab w:val="right" w:leader="dot" w:pos="9071"/>
      </w:tabs>
      <w:ind w:left="1701"/>
    </w:pPr>
  </w:style>
  <w:style w:type="paragraph" w:customStyle="1" w:styleId="ListAlpha">
    <w:name w:val="List Alpha"/>
    <w:basedOn w:val="List"/>
    <w:rsid w:val="008F0231"/>
    <w:pPr>
      <w:numPr>
        <w:numId w:val="8"/>
      </w:numPr>
    </w:pPr>
  </w:style>
  <w:style w:type="paragraph" w:customStyle="1" w:styleId="ListAlpha2">
    <w:name w:val="List Alpha 2"/>
    <w:basedOn w:val="List2"/>
    <w:rsid w:val="008F0231"/>
    <w:pPr>
      <w:numPr>
        <w:numId w:val="7"/>
      </w:numPr>
    </w:pPr>
  </w:style>
  <w:style w:type="paragraph" w:styleId="List2">
    <w:name w:val="List 2"/>
    <w:basedOn w:val="BodyText"/>
    <w:rsid w:val="008F0231"/>
    <w:pPr>
      <w:tabs>
        <w:tab w:val="left" w:pos="680"/>
      </w:tabs>
      <w:spacing w:before="60" w:after="60"/>
      <w:ind w:left="680" w:hanging="340"/>
    </w:pPr>
  </w:style>
  <w:style w:type="paragraph" w:styleId="List3">
    <w:name w:val="List 3"/>
    <w:basedOn w:val="BodyText"/>
    <w:rsid w:val="008F0231"/>
    <w:pPr>
      <w:tabs>
        <w:tab w:val="left" w:pos="1021"/>
      </w:tabs>
      <w:spacing w:before="60" w:after="60"/>
      <w:ind w:left="1020" w:hanging="340"/>
    </w:pPr>
  </w:style>
  <w:style w:type="paragraph" w:styleId="List4">
    <w:name w:val="List 4"/>
    <w:basedOn w:val="BodyText"/>
    <w:rsid w:val="008F0231"/>
    <w:pPr>
      <w:tabs>
        <w:tab w:val="left" w:pos="1361"/>
      </w:tabs>
      <w:spacing w:before="60" w:after="60"/>
      <w:ind w:left="1361" w:hanging="340"/>
    </w:pPr>
  </w:style>
  <w:style w:type="paragraph" w:styleId="List5">
    <w:name w:val="List 5"/>
    <w:basedOn w:val="BodyText"/>
    <w:rsid w:val="008F0231"/>
    <w:pPr>
      <w:tabs>
        <w:tab w:val="left" w:pos="1701"/>
      </w:tabs>
      <w:spacing w:before="60" w:after="60"/>
      <w:ind w:left="1701" w:hanging="340"/>
    </w:pPr>
  </w:style>
  <w:style w:type="paragraph" w:styleId="ListBullet3">
    <w:name w:val="List Bullet 3"/>
    <w:basedOn w:val="List3"/>
    <w:rsid w:val="008F0231"/>
    <w:pPr>
      <w:numPr>
        <w:numId w:val="13"/>
      </w:numPr>
      <w:tabs>
        <w:tab w:val="clear" w:pos="1021"/>
      </w:tabs>
      <w:ind w:left="1037" w:hanging="357"/>
    </w:pPr>
  </w:style>
  <w:style w:type="paragraph" w:styleId="ListBullet4">
    <w:name w:val="List Bullet 4"/>
    <w:basedOn w:val="List4"/>
    <w:rsid w:val="008F0231"/>
    <w:pPr>
      <w:numPr>
        <w:numId w:val="2"/>
      </w:numPr>
      <w:tabs>
        <w:tab w:val="clear" w:pos="1361"/>
      </w:tabs>
    </w:pPr>
  </w:style>
  <w:style w:type="paragraph" w:styleId="ListBullet5">
    <w:name w:val="List Bullet 5"/>
    <w:basedOn w:val="List5"/>
    <w:rsid w:val="008F0231"/>
    <w:pPr>
      <w:numPr>
        <w:numId w:val="3"/>
      </w:numPr>
    </w:pPr>
  </w:style>
  <w:style w:type="paragraph" w:styleId="ListContinue2">
    <w:name w:val="List Continue 2"/>
    <w:basedOn w:val="List2"/>
    <w:rsid w:val="008F0231"/>
    <w:pPr>
      <w:ind w:firstLine="0"/>
    </w:pPr>
  </w:style>
  <w:style w:type="paragraph" w:styleId="ListContinue3">
    <w:name w:val="List Continue 3"/>
    <w:basedOn w:val="List3"/>
    <w:rsid w:val="008F0231"/>
    <w:pPr>
      <w:ind w:left="1021" w:firstLine="0"/>
    </w:pPr>
  </w:style>
  <w:style w:type="paragraph" w:styleId="ListContinue4">
    <w:name w:val="List Continue 4"/>
    <w:basedOn w:val="List4"/>
    <w:rsid w:val="008F0231"/>
    <w:pPr>
      <w:ind w:firstLine="0"/>
    </w:pPr>
  </w:style>
  <w:style w:type="paragraph" w:styleId="ListContinue5">
    <w:name w:val="List Continue 5"/>
    <w:basedOn w:val="List5"/>
    <w:rsid w:val="008F0231"/>
    <w:pPr>
      <w:ind w:firstLine="0"/>
    </w:pPr>
  </w:style>
  <w:style w:type="paragraph" w:styleId="ListNumber3">
    <w:name w:val="List Number 3"/>
    <w:basedOn w:val="List3"/>
    <w:rsid w:val="008F0231"/>
    <w:pPr>
      <w:numPr>
        <w:numId w:val="4"/>
      </w:numPr>
    </w:pPr>
  </w:style>
  <w:style w:type="paragraph" w:styleId="ListNumber4">
    <w:name w:val="List Number 4"/>
    <w:basedOn w:val="List4"/>
    <w:rsid w:val="008F0231"/>
    <w:pPr>
      <w:numPr>
        <w:numId w:val="5"/>
      </w:numPr>
    </w:pPr>
  </w:style>
  <w:style w:type="paragraph" w:styleId="ListNumber5">
    <w:name w:val="List Number 5"/>
    <w:basedOn w:val="List5"/>
    <w:rsid w:val="008F0231"/>
    <w:pPr>
      <w:numPr>
        <w:numId w:val="6"/>
      </w:numPr>
    </w:pPr>
  </w:style>
  <w:style w:type="paragraph" w:styleId="BlockText">
    <w:name w:val="Block Text"/>
    <w:basedOn w:val="Normal"/>
    <w:rsid w:val="008F0231"/>
    <w:pPr>
      <w:spacing w:after="120"/>
      <w:ind w:left="1440" w:right="1440"/>
    </w:pPr>
  </w:style>
  <w:style w:type="character" w:customStyle="1" w:styleId="Subscript">
    <w:name w:val="Subscript"/>
    <w:basedOn w:val="DefaultParagraphFont"/>
    <w:rsid w:val="008F0231"/>
    <w:rPr>
      <w:sz w:val="16"/>
      <w:vertAlign w:val="subscript"/>
    </w:rPr>
  </w:style>
  <w:style w:type="character" w:customStyle="1" w:styleId="Superscript">
    <w:name w:val="Superscript"/>
    <w:basedOn w:val="DefaultParagraphFont"/>
    <w:rsid w:val="008F0231"/>
    <w:rPr>
      <w:sz w:val="16"/>
      <w:vertAlign w:val="superscript"/>
    </w:rPr>
  </w:style>
  <w:style w:type="character" w:customStyle="1" w:styleId="Symbols">
    <w:name w:val="Symbols"/>
    <w:basedOn w:val="DefaultParagraphFont"/>
    <w:rsid w:val="008F0231"/>
    <w:rPr>
      <w:rFonts w:ascii="Symbol" w:hAnsi="Symbol"/>
    </w:rPr>
  </w:style>
  <w:style w:type="character" w:customStyle="1" w:styleId="MenuOptions">
    <w:name w:val="Menu Options"/>
    <w:basedOn w:val="DefaultParagraphFont"/>
    <w:rsid w:val="008F0231"/>
    <w:rPr>
      <w:rFonts w:ascii="Arial Narrow" w:hAnsi="Arial Narrow"/>
      <w:smallCaps/>
    </w:rPr>
  </w:style>
  <w:style w:type="character" w:customStyle="1" w:styleId="Buttons">
    <w:name w:val="Buttons"/>
    <w:basedOn w:val="DefaultParagraphFont"/>
    <w:rsid w:val="008F0231"/>
    <w:rPr>
      <w:b/>
    </w:rPr>
  </w:style>
  <w:style w:type="character" w:customStyle="1" w:styleId="Underlined">
    <w:name w:val="Underlined"/>
    <w:basedOn w:val="DefaultParagraphFont"/>
    <w:rsid w:val="008F0231"/>
    <w:rPr>
      <w:u w:val="single"/>
    </w:rPr>
  </w:style>
  <w:style w:type="paragraph" w:customStyle="1" w:styleId="TableBodyTextRight">
    <w:name w:val="Table Body Text Right"/>
    <w:basedOn w:val="TableBodyText"/>
    <w:rsid w:val="008F0231"/>
    <w:pPr>
      <w:widowControl w:val="0"/>
      <w:autoSpaceDE w:val="0"/>
      <w:autoSpaceDN w:val="0"/>
      <w:adjustRightInd w:val="0"/>
      <w:jc w:val="right"/>
    </w:pPr>
    <w:rPr>
      <w:rFonts w:cs="Arial"/>
      <w:szCs w:val="18"/>
    </w:rPr>
  </w:style>
  <w:style w:type="paragraph" w:customStyle="1" w:styleId="CopyrightText">
    <w:name w:val="Copyright Text"/>
    <w:basedOn w:val="BodyText"/>
    <w:rsid w:val="008F0231"/>
    <w:rPr>
      <w:sz w:val="18"/>
    </w:rPr>
  </w:style>
  <w:style w:type="paragraph" w:customStyle="1" w:styleId="BodySmallRight">
    <w:name w:val="Body Small Right"/>
    <w:basedOn w:val="BodyTextRight"/>
    <w:rsid w:val="008F0231"/>
    <w:rPr>
      <w:sz w:val="18"/>
      <w:szCs w:val="18"/>
    </w:rPr>
  </w:style>
  <w:style w:type="paragraph" w:customStyle="1" w:styleId="MarginEdition">
    <w:name w:val="Margin Edition"/>
    <w:basedOn w:val="MarginNote"/>
    <w:rsid w:val="008F0231"/>
    <w:pPr>
      <w:spacing w:before="0" w:after="0"/>
    </w:pPr>
    <w:rPr>
      <w:rFonts w:ascii="Times New Roman" w:hAnsi="Times New Roman"/>
      <w:color w:val="999999"/>
    </w:rPr>
  </w:style>
  <w:style w:type="paragraph" w:customStyle="1" w:styleId="Spacer">
    <w:name w:val="Spacer"/>
    <w:basedOn w:val="Normal"/>
    <w:rsid w:val="008F0231"/>
    <w:rPr>
      <w:sz w:val="2"/>
      <w:szCs w:val="2"/>
    </w:rPr>
  </w:style>
  <w:style w:type="character" w:customStyle="1" w:styleId="Small">
    <w:name w:val="Small"/>
    <w:basedOn w:val="DefaultParagraphFont"/>
    <w:rsid w:val="008F0231"/>
    <w:rPr>
      <w:sz w:val="16"/>
    </w:rPr>
  </w:style>
  <w:style w:type="paragraph" w:customStyle="1" w:styleId="WideTable">
    <w:name w:val="Wide Table"/>
    <w:basedOn w:val="Normal"/>
    <w:rsid w:val="008F0231"/>
    <w:pPr>
      <w:ind w:left="-1418"/>
    </w:pPr>
    <w:rPr>
      <w:sz w:val="2"/>
      <w:szCs w:val="2"/>
    </w:rPr>
  </w:style>
  <w:style w:type="character" w:styleId="PageNumber">
    <w:name w:val="page number"/>
    <w:basedOn w:val="DefaultParagraphFont"/>
    <w:rsid w:val="008F0231"/>
  </w:style>
  <w:style w:type="paragraph" w:styleId="Quote">
    <w:name w:val="Quote"/>
    <w:basedOn w:val="Heading1"/>
    <w:link w:val="QuoteChar"/>
    <w:qFormat/>
    <w:rsid w:val="008F0231"/>
    <w:rPr>
      <w:b w:val="0"/>
      <w:sz w:val="72"/>
      <w:szCs w:val="72"/>
      <w:lang w:val="en-NZ"/>
    </w:rPr>
  </w:style>
  <w:style w:type="character" w:customStyle="1" w:styleId="QuoteChar">
    <w:name w:val="Quote Char"/>
    <w:basedOn w:val="DefaultParagraphFont"/>
    <w:link w:val="Quote"/>
    <w:rsid w:val="008F0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231"/>
    <w:pPr>
      <w:pageBreakBefore/>
    </w:pPr>
  </w:style>
  <w:style w:type="paragraph" w:customStyle="1" w:styleId="Border">
    <w:name w:val="Border"/>
    <w:basedOn w:val="Normal"/>
    <w:qFormat/>
    <w:rsid w:val="008F0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231"/>
    <w:rPr>
      <w:b/>
      <w:bCs/>
      <w:i/>
      <w:iCs/>
      <w:color w:val="auto"/>
    </w:rPr>
  </w:style>
  <w:style w:type="paragraph" w:styleId="IntenseQuote">
    <w:name w:val="Intense Quote"/>
    <w:basedOn w:val="Normal"/>
    <w:next w:val="Normal"/>
    <w:link w:val="IntenseQuoteChar"/>
    <w:uiPriority w:val="30"/>
    <w:qFormat/>
    <w:rsid w:val="008F0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231"/>
    <w:rPr>
      <w:smallCaps/>
      <w:color w:val="auto"/>
      <w:u w:val="single"/>
    </w:rPr>
  </w:style>
  <w:style w:type="character" w:styleId="IntenseReference">
    <w:name w:val="Intense Reference"/>
    <w:basedOn w:val="DefaultParagraphFont"/>
    <w:uiPriority w:val="32"/>
    <w:qFormat/>
    <w:rsid w:val="008F0231"/>
    <w:rPr>
      <w:b/>
      <w:bCs/>
      <w:smallCaps/>
      <w:color w:val="auto"/>
      <w:spacing w:val="5"/>
      <w:u w:val="single"/>
    </w:rPr>
  </w:style>
  <w:style w:type="paragraph" w:customStyle="1" w:styleId="2ColumnHeading">
    <w:name w:val="2Column Heading"/>
    <w:basedOn w:val="BodyText"/>
    <w:qFormat/>
    <w:rsid w:val="008F0231"/>
    <w:pPr>
      <w:spacing w:after="60"/>
      <w:ind w:left="-2268"/>
    </w:pPr>
    <w:rPr>
      <w:b/>
    </w:rPr>
  </w:style>
  <w:style w:type="paragraph" w:customStyle="1" w:styleId="Heading1TOC">
    <w:name w:val="Heading1 TOC"/>
    <w:basedOn w:val="Normal"/>
    <w:qFormat/>
    <w:rsid w:val="008F0231"/>
    <w:pPr>
      <w:spacing w:before="240" w:after="120"/>
    </w:pPr>
    <w:rPr>
      <w:rFonts w:ascii="Times New Roman" w:hAnsi="Times New Roman"/>
      <w:b/>
      <w:sz w:val="32"/>
    </w:rPr>
  </w:style>
  <w:style w:type="paragraph" w:customStyle="1" w:styleId="Heading2TOC">
    <w:name w:val="Heading2 TOC"/>
    <w:basedOn w:val="Normal"/>
    <w:qFormat/>
    <w:rsid w:val="008F0231"/>
    <w:pPr>
      <w:spacing w:before="240" w:after="60"/>
    </w:pPr>
    <w:rPr>
      <w:rFonts w:ascii="Times New Roman" w:hAnsi="Times New Roman"/>
      <w:b/>
      <w:sz w:val="28"/>
    </w:rPr>
  </w:style>
  <w:style w:type="character" w:customStyle="1" w:styleId="Underline">
    <w:name w:val="Underline"/>
    <w:basedOn w:val="DefaultParagraphFont"/>
    <w:qFormat/>
    <w:rsid w:val="008F0231"/>
    <w:rPr>
      <w:u w:val="single"/>
    </w:rPr>
  </w:style>
  <w:style w:type="character" w:customStyle="1" w:styleId="BoldandItalics">
    <w:name w:val="Bold and Italics"/>
    <w:qFormat/>
    <w:rsid w:val="008F0231"/>
    <w:rPr>
      <w:b/>
      <w:i/>
      <w:u w:val="none"/>
    </w:rPr>
  </w:style>
  <w:style w:type="paragraph" w:styleId="BalloonText">
    <w:name w:val="Balloon Text"/>
    <w:basedOn w:val="Normal"/>
    <w:link w:val="BalloonTextChar"/>
    <w:rsid w:val="008F0231"/>
    <w:rPr>
      <w:rFonts w:ascii="Tahoma" w:hAnsi="Tahoma" w:cs="Tahoma"/>
      <w:sz w:val="16"/>
      <w:szCs w:val="16"/>
    </w:rPr>
  </w:style>
  <w:style w:type="character" w:customStyle="1" w:styleId="BalloonTextChar">
    <w:name w:val="Balloon Text Char"/>
    <w:basedOn w:val="DefaultParagraphFont"/>
    <w:link w:val="BalloonText"/>
    <w:rsid w:val="008F0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2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231"/>
    <w:rPr>
      <w:b/>
      <w:color w:val="660033"/>
      <w:spacing w:val="0"/>
    </w:rPr>
  </w:style>
  <w:style w:type="paragraph" w:customStyle="1" w:styleId="Nameditemlist">
    <w:name w:val="Named item list"/>
    <w:basedOn w:val="BodyText"/>
    <w:qFormat/>
    <w:rsid w:val="008F0231"/>
    <w:pPr>
      <w:tabs>
        <w:tab w:val="left" w:pos="2835"/>
      </w:tabs>
      <w:ind w:left="2835" w:hanging="2835"/>
    </w:pPr>
  </w:style>
  <w:style w:type="paragraph" w:customStyle="1" w:styleId="BodyTextnopadding">
    <w:name w:val="Body Text no padding"/>
    <w:basedOn w:val="BodyText"/>
    <w:qFormat/>
    <w:rsid w:val="008F0231"/>
    <w:pPr>
      <w:spacing w:before="0" w:after="0"/>
    </w:pPr>
  </w:style>
  <w:style w:type="paragraph" w:customStyle="1" w:styleId="BodyTextBold">
    <w:name w:val="Body Text Bold"/>
    <w:basedOn w:val="BodyText"/>
    <w:qFormat/>
    <w:rsid w:val="008F0231"/>
    <w:rPr>
      <w:b/>
    </w:rPr>
  </w:style>
  <w:style w:type="character" w:styleId="Hyperlink">
    <w:name w:val="Hyperlink"/>
    <w:basedOn w:val="DefaultParagraphFont"/>
    <w:uiPriority w:val="99"/>
    <w:unhideWhenUsed/>
    <w:rsid w:val="006D77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4784</Characters>
  <Application>Microsoft Office Word</Application>
  <DocSecurity>0</DocSecurity>
  <Lines>265</Lines>
  <Paragraphs>163</Paragraphs>
  <ScaleCrop>false</ScaleCrop>
  <Company>Author-it Software Corporation Ltd.</Company>
  <LinksUpToDate>false</LinksUpToDate>
  <CharactersWithSpaces>5410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MEM04020 Supervise individual ferrous melting and casting operation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2023-02-03T08:14:00Z</dcterms:created>
  <dcterms:modified xsi:type="dcterms:W3CDTF">2023-02-03T08:14:00Z</dcterms:modified>
</cp:coreProperties>
</file>