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62A" w:rsidP="0066162A">
      <w:pPr>
        <w:pStyle w:val="Title"/>
      </w:pPr>
      <w:r>
        <w:fldChar w:fldCharType="begin"/>
      </w:r>
      <w:r>
        <w:instrText xml:space="preserve"> TITLE   \* MERGEFORMAT </w:instrText>
      </w:r>
      <w:r>
        <w:fldChar w:fldCharType="separate"/>
      </w:r>
      <w:r>
        <w:t>MEM04020 Supervise individual ferrous melting and casting operation</w:t>
      </w:r>
      <w:r>
        <w:fldChar w:fldCharType="end"/>
      </w:r>
    </w:p>
    <w:p w:rsidR="0066162A" w:rsidP="0066162A">
      <w:pPr>
        <w:pStyle w:val="Version"/>
        <w:sectPr w:rsidSect="007D6D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6D4F" w:rsidP="007D6D4F">
      <w:pPr>
        <w:pStyle w:val="SuperHeading"/>
      </w:pPr>
      <w:r w:rsidRPr="007D6D4F">
        <w:t>MEM04020 Supervise individual ferrous melting and casting operation</w:t>
      </w:r>
    </w:p>
    <w:p w:rsidR="00000000" w:rsidRPr="007D6D4F" w:rsidP="007D6D4F">
      <w:pPr>
        <w:pStyle w:val="Heading1"/>
      </w:pPr>
      <w:bookmarkStart w:id="1" w:name="O_1168812"/>
      <w:bookmarkEnd w:id="1"/>
      <w:r w:rsidRPr="007D6D4F">
        <w:t>Modification History</w:t>
      </w:r>
    </w:p>
    <w:p w:rsidR="00000000" w:rsidRPr="007D6D4F" w:rsidP="0066162A">
      <w:pPr>
        <w:pStyle w:val="BodyText"/>
      </w:pPr>
      <w:r w:rsidRPr="007D6D4F">
        <w:t>Release 2. Quantum of h</w:t>
      </w:r>
      <w:r w:rsidRPr="007D6D4F">
        <w:t>ours of workplace practice removed. Supersedes and is equivalent to MEM04020 Supervise individual ferrous melting and casting operation (Release 1).</w:t>
      </w:r>
    </w:p>
    <w:p w:rsidR="00000000" w:rsidRPr="007D6D4F" w:rsidP="0066162A">
      <w:pPr>
        <w:pStyle w:val="BodyText"/>
      </w:pPr>
      <w:r w:rsidRPr="007D6D4F">
        <w:t>Release 1. Supersedes and is equivalent to MEM04020A Supervise individual ferrous melting and casting opera</w:t>
      </w:r>
      <w:r w:rsidRPr="007D6D4F">
        <w:t>tion.</w:t>
      </w:r>
    </w:p>
    <w:p w:rsidR="00000000" w:rsidRPr="007D6D4F" w:rsidP="007D6D4F">
      <w:pPr>
        <w:pStyle w:val="Heading1"/>
      </w:pPr>
      <w:bookmarkStart w:id="2" w:name="O_1168811"/>
      <w:bookmarkEnd w:id="2"/>
      <w:r w:rsidRPr="007D6D4F">
        <w:t>Application</w:t>
      </w:r>
    </w:p>
    <w:p w:rsidR="00000000" w:rsidRPr="007D6D4F" w:rsidP="0066162A">
      <w:pPr>
        <w:pStyle w:val="BodyText"/>
      </w:pPr>
      <w:r w:rsidRPr="007D6D4F">
        <w:t>The unit of competency defines the skills and knowledge required by a foundry tradesperson to supervise ferrous melting and casting operations in a foundry to ensure specifications are met and safety procedures maintain</w:t>
      </w:r>
      <w:r w:rsidRPr="007D6D4F">
        <w:t xml:space="preserve">ed. This work is performed under the overall direction of a metallurgist. </w:t>
      </w:r>
    </w:p>
    <w:p w:rsidR="00000000" w:rsidRPr="007D6D4F" w:rsidP="0066162A">
      <w:pPr>
        <w:pStyle w:val="BodyText"/>
      </w:pPr>
      <w:r w:rsidRPr="007D6D4F">
        <w:t>No licensing, legislative or certification requirements apply to this unit at the time of publication.</w:t>
      </w:r>
    </w:p>
    <w:p w:rsidR="00000000" w:rsidRPr="007D6D4F" w:rsidP="007D6D4F">
      <w:pPr>
        <w:pStyle w:val="BodyText"/>
      </w:pPr>
      <w:r w:rsidRPr="007D6D4F">
        <w:rPr>
          <w:rStyle w:val="SpecialBold"/>
        </w:rPr>
        <w:t>Band:</w:t>
      </w:r>
      <w:r w:rsidRPr="007D6D4F">
        <w:rPr>
          <w:rStyle w:val="SpecialBold"/>
        </w:rPr>
        <w:tab/>
        <w:t>B</w:t>
      </w:r>
    </w:p>
    <w:p w:rsidR="00000000" w:rsidRPr="007D6D4F" w:rsidP="007D6D4F">
      <w:pPr>
        <w:pStyle w:val="BodyText"/>
      </w:pPr>
      <w:r w:rsidRPr="007D6D4F">
        <w:rPr>
          <w:rStyle w:val="SpecialBold"/>
        </w:rPr>
        <w:t>Unit Weight:</w:t>
      </w:r>
      <w:r w:rsidRPr="007D6D4F">
        <w:rPr>
          <w:rStyle w:val="SpecialBold"/>
        </w:rPr>
        <w:tab/>
        <w:t>4</w:t>
      </w:r>
    </w:p>
    <w:p w:rsidR="00000000" w:rsidRPr="007D6D4F" w:rsidP="007D6D4F">
      <w:pPr>
        <w:pStyle w:val="AllowPageBreak"/>
      </w:pPr>
    </w:p>
    <w:p w:rsidR="00000000" w:rsidRPr="007D6D4F" w:rsidP="007D6D4F">
      <w:pPr>
        <w:pStyle w:val="Heading1"/>
      </w:pPr>
      <w:bookmarkStart w:id="3" w:name="O_1168810"/>
      <w:bookmarkEnd w:id="3"/>
      <w:r w:rsidRPr="007D6D4F">
        <w:t>Pre-requisite Unit</w:t>
      </w:r>
    </w:p>
    <w:tbl>
      <w:tblPr>
        <w:tblW w:w="0" w:type="auto"/>
        <w:tblLayout w:type="fixed"/>
        <w:tblCellMar>
          <w:left w:w="62" w:type="dxa"/>
          <w:right w:w="62" w:type="dxa"/>
        </w:tblCellMar>
        <w:tblLook w:val="0000"/>
      </w:tblPr>
      <w:tblGrid>
        <w:gridCol w:w="2258"/>
        <w:gridCol w:w="6508"/>
      </w:tblGrid>
      <w:tr w:rsidTr="007D6D4F">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MEM04001</w:t>
            </w:r>
          </w:p>
        </w:tc>
        <w:tc>
          <w:tcPr>
            <w:tcW w:w="650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Operat</w:t>
            </w:r>
            <w:r w:rsidRPr="007D6D4F">
              <w:t>e melting furnaces</w:t>
            </w:r>
          </w:p>
        </w:tc>
      </w:tr>
      <w:tr w:rsidTr="007D6D4F">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MEM04004</w:t>
            </w:r>
          </w:p>
        </w:tc>
        <w:tc>
          <w:tcPr>
            <w:tcW w:w="650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Prepare and mix sand for metal moulding</w:t>
            </w:r>
          </w:p>
        </w:tc>
      </w:tr>
      <w:tr w:rsidTr="007D6D4F">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MEM04007</w:t>
            </w:r>
          </w:p>
        </w:tc>
        <w:tc>
          <w:tcPr>
            <w:tcW w:w="650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Pour molten metal</w:t>
            </w:r>
          </w:p>
        </w:tc>
      </w:tr>
      <w:tr w:rsidTr="007D6D4F">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 xml:space="preserve">MEM04024 </w:t>
            </w:r>
          </w:p>
        </w:tc>
        <w:tc>
          <w:tcPr>
            <w:tcW w:w="650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Produce moulds and cores by hand</w:t>
            </w:r>
          </w:p>
        </w:tc>
      </w:tr>
      <w:tr w:rsidTr="007D6D4F">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MEM04025</w:t>
            </w:r>
          </w:p>
        </w:tc>
        <w:tc>
          <w:tcPr>
            <w:tcW w:w="650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Produce moulds and cores by hand (advanced)</w:t>
            </w:r>
          </w:p>
        </w:tc>
      </w:tr>
      <w:tr w:rsidTr="007D6D4F">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MEM09002</w:t>
            </w:r>
          </w:p>
        </w:tc>
        <w:tc>
          <w:tcPr>
            <w:tcW w:w="650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Interpret technical drawing</w:t>
            </w:r>
          </w:p>
        </w:tc>
      </w:tr>
      <w:tr w:rsidTr="007D6D4F">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MEM11011</w:t>
            </w:r>
          </w:p>
        </w:tc>
        <w:tc>
          <w:tcPr>
            <w:tcW w:w="650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Undertake manual handling</w:t>
            </w:r>
          </w:p>
        </w:tc>
      </w:tr>
      <w:tr w:rsidTr="007D6D4F">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MEM12023</w:t>
            </w:r>
          </w:p>
        </w:tc>
        <w:tc>
          <w:tcPr>
            <w:tcW w:w="650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Perform engineering measurements</w:t>
            </w:r>
          </w:p>
        </w:tc>
      </w:tr>
      <w:tr w:rsidTr="007D6D4F">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MEM12024</w:t>
            </w:r>
          </w:p>
        </w:tc>
        <w:tc>
          <w:tcPr>
            <w:tcW w:w="650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Perform computations</w:t>
            </w:r>
          </w:p>
        </w:tc>
      </w:tr>
      <w:tr w:rsidTr="007D6D4F">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MEM13004</w:t>
            </w:r>
          </w:p>
        </w:tc>
        <w:tc>
          <w:tcPr>
            <w:tcW w:w="650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Work safely with molten metals/glass</w:t>
            </w:r>
          </w:p>
        </w:tc>
      </w:tr>
      <w:tr w:rsidTr="007D6D4F">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MEM13015</w:t>
            </w:r>
          </w:p>
        </w:tc>
        <w:tc>
          <w:tcPr>
            <w:tcW w:w="650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Work safely and effectively in manufacturing and engineering</w:t>
            </w:r>
          </w:p>
        </w:tc>
      </w:tr>
      <w:tr w:rsidTr="007D6D4F">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MEM14006</w:t>
            </w:r>
          </w:p>
        </w:tc>
        <w:tc>
          <w:tcPr>
            <w:tcW w:w="650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Plan work activities</w:t>
            </w:r>
          </w:p>
        </w:tc>
      </w:tr>
      <w:tr w:rsidTr="007D6D4F">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MEM16006</w:t>
            </w:r>
          </w:p>
        </w:tc>
        <w:tc>
          <w:tcPr>
            <w:tcW w:w="650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Organise and communicate information</w:t>
            </w:r>
          </w:p>
        </w:tc>
      </w:tr>
      <w:tr w:rsidTr="007D6D4F">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MEM18001</w:t>
            </w:r>
          </w:p>
        </w:tc>
        <w:tc>
          <w:tcPr>
            <w:tcW w:w="6508" w:type="dxa"/>
            <w:tcBorders>
              <w:top w:val="nil"/>
              <w:left w:val="nil"/>
              <w:bottom w:val="nil"/>
              <w:right w:val="nil"/>
            </w:tcBorders>
            <w:tcMar>
              <w:top w:w="0" w:type="dxa"/>
              <w:left w:w="62" w:type="dxa"/>
              <w:bottom w:w="0" w:type="dxa"/>
              <w:right w:w="62" w:type="dxa"/>
            </w:tcMar>
          </w:tcPr>
          <w:p w:rsidR="00000000" w:rsidRPr="007D6D4F" w:rsidP="007D6D4F">
            <w:pPr>
              <w:pStyle w:val="BodyText"/>
            </w:pPr>
            <w:r w:rsidRPr="007D6D4F">
              <w:t>Use hand tools</w:t>
            </w:r>
          </w:p>
        </w:tc>
      </w:tr>
    </w:tbl>
    <w:p w:rsidR="00000000" w:rsidRPr="007D6D4F" w:rsidP="007D6D4F">
      <w:pPr>
        <w:pStyle w:val="BodyText"/>
      </w:pPr>
    </w:p>
    <w:p w:rsidR="00000000" w:rsidRPr="007D6D4F" w:rsidP="007D6D4F">
      <w:pPr>
        <w:pStyle w:val="AllowPageBreak"/>
      </w:pPr>
    </w:p>
    <w:p w:rsidR="00000000" w:rsidRPr="007D6D4F" w:rsidP="007D6D4F">
      <w:pPr>
        <w:pStyle w:val="Heading1"/>
      </w:pPr>
      <w:bookmarkStart w:id="4" w:name="O_1168809"/>
      <w:bookmarkEnd w:id="4"/>
      <w:r w:rsidRPr="007D6D4F">
        <w:t>Competency Field</w:t>
      </w:r>
    </w:p>
    <w:p w:rsidR="00000000" w:rsidRPr="007D6D4F" w:rsidP="0066162A">
      <w:pPr>
        <w:pStyle w:val="BodyText"/>
      </w:pPr>
      <w:r w:rsidRPr="007D6D4F">
        <w:t>Casting and moulding</w:t>
      </w:r>
    </w:p>
    <w:p w:rsidR="00000000" w:rsidRPr="007D6D4F" w:rsidP="007D6D4F">
      <w:pPr>
        <w:pStyle w:val="Heading1"/>
      </w:pPr>
      <w:bookmarkStart w:id="5" w:name="O_1168808"/>
      <w:bookmarkEnd w:id="5"/>
      <w:r w:rsidRPr="007D6D4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7D6D4F">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 xml:space="preserve">Performance criteria describe </w:t>
            </w:r>
            <w:r w:rsidRPr="007D6D4F">
              <w:t>the performance needed to demonstrate achievement of the element.</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D6D4F" w:rsidP="007D6D4F">
            <w:pPr>
              <w:pStyle w:val="BodyText"/>
            </w:pPr>
            <w:r w:rsidRPr="007D6D4F">
              <w:t>1</w:t>
            </w:r>
          </w:p>
        </w:tc>
        <w:tc>
          <w:tcPr>
            <w:tcW w:w="1986" w:type="dxa"/>
            <w:vMerge w:val="restart"/>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1.1</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Follow standard operating procedures (SOPs)</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1.2</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Comply with work health and safety (WHS) requirements at all times</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1.3</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Use appropriate personal protective equipment (PPE) in accordance with SOPs</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1.4</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Identify job requirements from specifications, drawings, job sheets or work instructions</w:t>
            </w:r>
          </w:p>
        </w:tc>
      </w:tr>
      <w:tr w:rsidTr="007D6D4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D6D4F">
            <w:pPr>
              <w:pStyle w:val="BodyText"/>
              <w:rPr>
                <w:lang w:val="en-NZ"/>
              </w:rPr>
            </w:pP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D6D4F" w:rsidP="007D6D4F">
            <w:pPr>
              <w:pStyle w:val="BodyText"/>
            </w:pPr>
            <w:r w:rsidRPr="007D6D4F">
              <w:t>2</w:t>
            </w:r>
          </w:p>
        </w:tc>
        <w:tc>
          <w:tcPr>
            <w:tcW w:w="1986" w:type="dxa"/>
            <w:vMerge w:val="restart"/>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rPr>
                <w:rStyle w:val="SpecialBold"/>
              </w:rPr>
              <w:t>Identify specifications for required casting</w:t>
            </w: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2.1</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Identify required material specification and mould requirements</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2.2</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Identify any special melting and casting requirements for the job</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2.3</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Identify safety procedures for the required melting and casting operation</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2.4</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 xml:space="preserve">Identify and follow regulations and codes of practice relevant to foundry and individual melting, pouring and casting operation </w:t>
            </w:r>
          </w:p>
        </w:tc>
      </w:tr>
      <w:tr w:rsidTr="007D6D4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D6D4F">
            <w:pPr>
              <w:pStyle w:val="BodyText"/>
              <w:rPr>
                <w:lang w:val="en-NZ"/>
              </w:rPr>
            </w:pP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D6D4F" w:rsidP="007D6D4F">
            <w:pPr>
              <w:pStyle w:val="BodyText"/>
            </w:pPr>
            <w:r w:rsidRPr="007D6D4F">
              <w:t>3</w:t>
            </w:r>
          </w:p>
        </w:tc>
        <w:tc>
          <w:tcPr>
            <w:tcW w:w="1986" w:type="dxa"/>
            <w:vMerge w:val="restart"/>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rPr>
                <w:rStyle w:val="SpecialBold"/>
              </w:rPr>
              <w:t>Verify metal charges to melting</w:t>
            </w: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3.1</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 xml:space="preserve">Select required components to give the required metal specification </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3.2</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 xml:space="preserve">Calculate required charge of each component </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3.3</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 xml:space="preserve">Recommend changes and/or additions to the charge </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3.4</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Monitor the preparation of the charge, including checking for contaminants</w:t>
            </w:r>
          </w:p>
        </w:tc>
      </w:tr>
      <w:tr w:rsidTr="007D6D4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D6D4F">
            <w:pPr>
              <w:pStyle w:val="BodyText"/>
              <w:rPr>
                <w:lang w:val="en-NZ"/>
              </w:rPr>
            </w:pP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D6D4F" w:rsidP="007D6D4F">
            <w:pPr>
              <w:pStyle w:val="BodyText"/>
            </w:pPr>
            <w:r w:rsidRPr="007D6D4F">
              <w:t>4</w:t>
            </w:r>
          </w:p>
        </w:tc>
        <w:tc>
          <w:tcPr>
            <w:tcW w:w="1986" w:type="dxa"/>
            <w:vMerge w:val="restart"/>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rPr>
                <w:rStyle w:val="SpecialBold"/>
              </w:rPr>
              <w:t>Monitor furnace operation</w:t>
            </w: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4.1</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Check that the furnace is in good operational condition and that appropriate lining is present</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4.2</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Organise for maintenance and repairs as required</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4.3</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Identify metal or alloy specification for required casting</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4.4</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Monitor a melt to ensure the product meets specification</w:t>
            </w:r>
          </w:p>
        </w:tc>
      </w:tr>
      <w:tr w:rsidTr="007D6D4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D6D4F">
            <w:pPr>
              <w:pStyle w:val="BodyText"/>
              <w:rPr>
                <w:lang w:val="en-NZ"/>
              </w:rPr>
            </w:pP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D6D4F" w:rsidP="007D6D4F">
            <w:pPr>
              <w:pStyle w:val="BodyText"/>
            </w:pPr>
            <w:r w:rsidRPr="007D6D4F">
              <w:t>5</w:t>
            </w:r>
          </w:p>
        </w:tc>
        <w:tc>
          <w:tcPr>
            <w:tcW w:w="1986" w:type="dxa"/>
            <w:vMerge w:val="restart"/>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rPr>
                <w:rStyle w:val="SpecialBold"/>
              </w:rPr>
              <w:t>Monitor pouring of molten metal</w:t>
            </w: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5.1</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Check pouring area is secure and that all non-essential personnel are excluded</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5.2</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Check all members of the pouring crew are wearing appropriate PPE</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5.3</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Ensure escape routes are known in advance by all members of the pouring crew</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5.4</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Check emergency pour out pit is operational and other safety measures are in place</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5.5</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Ensure moulds are ready to receive liquid metal, ensure access ways and pouring ways are clear, and that there are appropriate spaces between each mould</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5.6</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 xml:space="preserve">Check pouring is undertaken at correct temperature and in efficient order </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5.7</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Ensure pouring</w:t>
            </w:r>
            <w:r w:rsidRPr="007D6D4F">
              <w:t xml:space="preserve"> basin and moulds are ready to receive liquid metal</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5.8</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Take required samples for analysis</w:t>
            </w:r>
          </w:p>
        </w:tc>
      </w:tr>
      <w:tr w:rsidTr="007D6D4F">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D6D4F">
            <w:pPr>
              <w:pStyle w:val="BodyText"/>
              <w:rPr>
                <w:lang w:val="en-NZ"/>
              </w:rPr>
            </w:pP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D6D4F" w:rsidP="007D6D4F">
            <w:pPr>
              <w:pStyle w:val="BodyText"/>
            </w:pPr>
            <w:r w:rsidRPr="007D6D4F">
              <w:t>6</w:t>
            </w:r>
          </w:p>
        </w:tc>
        <w:tc>
          <w:tcPr>
            <w:tcW w:w="1986" w:type="dxa"/>
            <w:vMerge w:val="restart"/>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rPr>
                <w:rStyle w:val="SpecialBold"/>
              </w:rPr>
              <w:t>Control hazards</w:t>
            </w: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6.1</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Identify hazards in the metal melting/pouring process</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6.2</w:t>
            </w:r>
          </w:p>
        </w:tc>
        <w:tc>
          <w:tcPr>
            <w:tcW w:w="5678"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Assess the risks arising from those hazards</w:t>
            </w:r>
          </w:p>
        </w:tc>
      </w:tr>
      <w:tr w:rsidTr="007D6D4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6.3</w:t>
            </w:r>
          </w:p>
        </w:tc>
        <w:tc>
          <w:tcPr>
            <w:tcW w:w="5678" w:type="dxa"/>
            <w:tcBorders>
              <w:top w:val="nil"/>
              <w:left w:val="nil"/>
              <w:bottom w:val="nil"/>
              <w:right w:val="nil"/>
            </w:tcBorders>
            <w:tcMar>
              <w:top w:w="0" w:type="dxa"/>
              <w:left w:w="62" w:type="dxa"/>
              <w:bottom w:w="0" w:type="dxa"/>
              <w:right w:w="62" w:type="dxa"/>
            </w:tcMar>
          </w:tcPr>
          <w:p w:rsidR="00000000" w:rsidRPr="007D6D4F" w:rsidP="007D6D4F">
            <w:pPr>
              <w:pStyle w:val="BodyText"/>
            </w:pPr>
            <w:r w:rsidRPr="007D6D4F">
              <w:t>Implement procedures to control those hazards in line with procedures and duty of care</w:t>
            </w:r>
          </w:p>
        </w:tc>
      </w:tr>
    </w:tbl>
    <w:p w:rsidR="00000000" w:rsidRPr="007D6D4F" w:rsidP="007D6D4F">
      <w:pPr>
        <w:pStyle w:val="BodyText"/>
      </w:pPr>
    </w:p>
    <w:p w:rsidR="00000000" w:rsidRPr="007D6D4F" w:rsidP="007D6D4F">
      <w:pPr>
        <w:pStyle w:val="AllowPageBreak"/>
      </w:pPr>
    </w:p>
    <w:p w:rsidR="00000000" w:rsidRPr="007D6D4F" w:rsidP="007D6D4F">
      <w:pPr>
        <w:pStyle w:val="Heading1"/>
      </w:pPr>
      <w:bookmarkStart w:id="6" w:name="O_1168807"/>
      <w:bookmarkEnd w:id="6"/>
      <w:r w:rsidRPr="007D6D4F">
        <w:t>Foundation Skills</w:t>
      </w:r>
    </w:p>
    <w:p w:rsidR="00000000" w:rsidRPr="007D6D4F" w:rsidP="0066162A">
      <w:pPr>
        <w:pStyle w:val="BodyText"/>
      </w:pPr>
      <w:r w:rsidRPr="007D6D4F">
        <w:t>This section describes those required skills (reading, writing, oral communication and numeracy) that are essential to workplace p</w:t>
      </w:r>
      <w:r w:rsidRPr="007D6D4F">
        <w:t xml:space="preserve">erformance in this unit of competency.  </w:t>
      </w:r>
    </w:p>
    <w:p w:rsidR="00000000" w:rsidRPr="007D6D4F" w:rsidP="0066162A">
      <w:pPr>
        <w:pStyle w:val="BodyText"/>
      </w:pPr>
      <w:r w:rsidRPr="007D6D4F">
        <w:t>Foundation skills essential to performance are explicit in the performance criteria of this unit of competency.</w:t>
      </w:r>
    </w:p>
    <w:p w:rsidR="00000000" w:rsidRPr="007D6D4F" w:rsidP="007D6D4F">
      <w:pPr>
        <w:pStyle w:val="Heading1"/>
      </w:pPr>
      <w:bookmarkStart w:id="7" w:name="O_1168806"/>
      <w:bookmarkEnd w:id="7"/>
      <w:r w:rsidRPr="007D6D4F">
        <w:t>Range of Conditions</w:t>
      </w:r>
    </w:p>
    <w:tbl>
      <w:tblPr>
        <w:tblW w:w="9358" w:type="dxa"/>
        <w:tblLayout w:type="fixed"/>
        <w:tblCellMar>
          <w:left w:w="62" w:type="dxa"/>
          <w:right w:w="62" w:type="dxa"/>
        </w:tblCellMar>
        <w:tblLook w:val="0000"/>
      </w:tblPr>
      <w:tblGrid>
        <w:gridCol w:w="3012"/>
        <w:gridCol w:w="6346"/>
      </w:tblGrid>
      <w:tr w:rsidTr="007D6D4F">
        <w:tblPrEx>
          <w:tblW w:w="9358" w:type="dxa"/>
          <w:tblLayout w:type="fixed"/>
          <w:tblCellMar>
            <w:left w:w="62" w:type="dxa"/>
            <w:right w:w="62" w:type="dxa"/>
          </w:tblCellMar>
          <w:tblLook w:val="0000"/>
        </w:tblPrEx>
        <w:trPr>
          <w:tblHeader/>
        </w:trPr>
        <w:tc>
          <w:tcPr>
            <w:tcW w:w="9358" w:type="dxa"/>
            <w:gridSpan w:val="2"/>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t>This field allows for different work environments and condition</w:t>
            </w:r>
            <w:r w:rsidRPr="007D6D4F">
              <w:t>s that may affect performance. Essential operating conditions that may be present (depending on the work situation, needs of the candidate, accessibility of the item, and local industry and regional contexts) are included.</w:t>
            </w:r>
          </w:p>
        </w:tc>
      </w:tr>
      <w:tr w:rsidTr="007D6D4F">
        <w:tblPrEx>
          <w:tblW w:w="935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rPr>
                <w:rStyle w:val="SpecialBold"/>
              </w:rPr>
              <w:t>Moulds in</w:t>
            </w:r>
            <w:r w:rsidRPr="007D6D4F">
              <w:rPr>
                <w:rStyle w:val="SpecialBold"/>
              </w:rPr>
              <w:t>clude one (1) or more of the following:</w:t>
            </w:r>
          </w:p>
        </w:tc>
        <w:tc>
          <w:tcPr>
            <w:tcW w:w="6346" w:type="dxa"/>
            <w:tcBorders>
              <w:top w:val="nil"/>
              <w:left w:val="nil"/>
              <w:bottom w:val="nil"/>
              <w:right w:val="nil"/>
            </w:tcBorders>
            <w:tcMar>
              <w:top w:w="0" w:type="dxa"/>
              <w:left w:w="62" w:type="dxa"/>
              <w:bottom w:w="0" w:type="dxa"/>
              <w:right w:w="62" w:type="dxa"/>
            </w:tcMar>
          </w:tcPr>
          <w:p w:rsidR="00000000" w:rsidRPr="007D6D4F" w:rsidP="007D6D4F">
            <w:pPr>
              <w:pStyle w:val="ListBullet"/>
            </w:pPr>
            <w:r w:rsidRPr="007D6D4F">
              <w:t>sand</w:t>
            </w:r>
          </w:p>
          <w:p w:rsidR="00000000" w:rsidRPr="007D6D4F" w:rsidP="007D6D4F">
            <w:pPr>
              <w:pStyle w:val="ListBullet"/>
            </w:pPr>
            <w:r w:rsidRPr="007D6D4F">
              <w:t>die</w:t>
            </w:r>
          </w:p>
          <w:p w:rsidR="00000000" w:rsidRPr="007D6D4F" w:rsidP="007D6D4F">
            <w:pPr>
              <w:pStyle w:val="ListBullet"/>
            </w:pPr>
            <w:r w:rsidRPr="007D6D4F">
              <w:t>investment</w:t>
            </w:r>
          </w:p>
          <w:p w:rsidR="00000000" w:rsidP="007D6D4F">
            <w:pPr>
              <w:pStyle w:val="BodyText"/>
              <w:rPr>
                <w:lang w:val="en-NZ"/>
              </w:rPr>
            </w:pPr>
          </w:p>
        </w:tc>
      </w:tr>
      <w:tr w:rsidTr="007D6D4F">
        <w:tblPrEx>
          <w:tblW w:w="935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rPr>
                <w:rStyle w:val="SpecialBold"/>
              </w:rPr>
              <w:t>Contaminants include one (1) or more of the following:</w:t>
            </w:r>
          </w:p>
        </w:tc>
        <w:tc>
          <w:tcPr>
            <w:tcW w:w="6346" w:type="dxa"/>
            <w:tcBorders>
              <w:top w:val="nil"/>
              <w:left w:val="nil"/>
              <w:bottom w:val="nil"/>
              <w:right w:val="nil"/>
            </w:tcBorders>
            <w:tcMar>
              <w:top w:w="0" w:type="dxa"/>
              <w:left w:w="62" w:type="dxa"/>
              <w:bottom w:w="0" w:type="dxa"/>
              <w:right w:w="62" w:type="dxa"/>
            </w:tcMar>
          </w:tcPr>
          <w:p w:rsidR="00000000" w:rsidRPr="007D6D4F" w:rsidP="007D6D4F">
            <w:pPr>
              <w:pStyle w:val="ListBullet"/>
            </w:pPr>
            <w:r w:rsidRPr="007D6D4F">
              <w:t>non-specified metal</w:t>
            </w:r>
          </w:p>
          <w:p w:rsidR="00000000" w:rsidRPr="007D6D4F" w:rsidP="007D6D4F">
            <w:pPr>
              <w:pStyle w:val="ListBullet"/>
            </w:pPr>
            <w:r w:rsidRPr="007D6D4F">
              <w:t>rubber</w:t>
            </w:r>
          </w:p>
          <w:p w:rsidR="00000000" w:rsidRPr="007D6D4F" w:rsidP="007D6D4F">
            <w:pPr>
              <w:pStyle w:val="ListBullet"/>
            </w:pPr>
            <w:r w:rsidRPr="007D6D4F">
              <w:t>grease</w:t>
            </w:r>
          </w:p>
          <w:p w:rsidR="00000000" w:rsidRPr="007D6D4F" w:rsidP="007D6D4F">
            <w:pPr>
              <w:pStyle w:val="ListBullet"/>
            </w:pPr>
            <w:r w:rsidRPr="007D6D4F">
              <w:t>water</w:t>
            </w:r>
          </w:p>
          <w:p w:rsidR="00000000" w:rsidRPr="007D6D4F" w:rsidP="007D6D4F">
            <w:pPr>
              <w:pStyle w:val="ListBullet"/>
            </w:pPr>
            <w:r w:rsidRPr="007D6D4F">
              <w:t>paint and non-metallics</w:t>
            </w:r>
          </w:p>
          <w:p w:rsidR="00000000" w:rsidRPr="007D6D4F" w:rsidP="007D6D4F">
            <w:pPr>
              <w:pStyle w:val="ListBullet"/>
            </w:pPr>
            <w:r w:rsidRPr="007D6D4F">
              <w:t xml:space="preserve">closed containers or pipes </w:t>
            </w:r>
          </w:p>
          <w:p w:rsidR="00000000" w:rsidRPr="007D6D4F" w:rsidP="007D6D4F">
            <w:pPr>
              <w:pStyle w:val="ListBullet"/>
            </w:pPr>
            <w:r w:rsidRPr="007D6D4F">
              <w:t xml:space="preserve">pressure containers, including aerosols </w:t>
            </w:r>
          </w:p>
          <w:p w:rsidR="00000000" w:rsidP="007D6D4F">
            <w:pPr>
              <w:pStyle w:val="BodyText"/>
              <w:rPr>
                <w:lang w:val="en-NZ"/>
              </w:rPr>
            </w:pPr>
          </w:p>
        </w:tc>
      </w:tr>
      <w:tr w:rsidTr="007D6D4F">
        <w:tblPrEx>
          <w:tblW w:w="9358" w:type="dxa"/>
          <w:tblLayout w:type="fixed"/>
          <w:tblCellMar>
            <w:left w:w="62" w:type="dxa"/>
            <w:right w:w="62" w:type="dxa"/>
          </w:tblCellMar>
          <w:tblLook w:val="0000"/>
        </w:tblPrEx>
        <w:tc>
          <w:tcPr>
            <w:tcW w:w="3012" w:type="dxa"/>
            <w:tcBorders>
              <w:top w:val="nil"/>
              <w:left w:val="nil"/>
              <w:bottom w:val="nil"/>
              <w:right w:val="nil"/>
            </w:tcBorders>
            <w:tcMar>
              <w:top w:w="0" w:type="dxa"/>
              <w:left w:w="62" w:type="dxa"/>
              <w:bottom w:w="0" w:type="dxa"/>
              <w:right w:w="62" w:type="dxa"/>
            </w:tcMar>
          </w:tcPr>
          <w:p w:rsidR="00000000" w:rsidP="007D6D4F">
            <w:pPr>
              <w:pStyle w:val="BodyText"/>
              <w:rPr>
                <w:lang w:val="en-NZ"/>
              </w:rPr>
            </w:pPr>
            <w:r w:rsidRPr="007D6D4F">
              <w:rPr>
                <w:rStyle w:val="SpecialBold"/>
              </w:rPr>
              <w:t>Material specification includes one (1) or more of the following:</w:t>
            </w:r>
          </w:p>
        </w:tc>
        <w:tc>
          <w:tcPr>
            <w:tcW w:w="6346" w:type="dxa"/>
            <w:tcBorders>
              <w:top w:val="nil"/>
              <w:left w:val="nil"/>
              <w:bottom w:val="nil"/>
              <w:right w:val="nil"/>
            </w:tcBorders>
            <w:tcMar>
              <w:top w:w="0" w:type="dxa"/>
              <w:left w:w="62" w:type="dxa"/>
              <w:bottom w:w="0" w:type="dxa"/>
              <w:right w:w="62" w:type="dxa"/>
            </w:tcMar>
          </w:tcPr>
          <w:p w:rsidR="00000000" w:rsidRPr="007D6D4F" w:rsidP="007D6D4F">
            <w:pPr>
              <w:pStyle w:val="ListBullet"/>
            </w:pPr>
            <w:r w:rsidRPr="007D6D4F">
              <w:t xml:space="preserve">ferrous metals </w:t>
            </w:r>
          </w:p>
          <w:p w:rsidR="00000000" w:rsidRPr="007D6D4F" w:rsidP="007D6D4F">
            <w:pPr>
              <w:pStyle w:val="ListBullet"/>
            </w:pPr>
            <w:r w:rsidRPr="007D6D4F">
              <w:t xml:space="preserve">ferrous alloys </w:t>
            </w:r>
          </w:p>
          <w:p w:rsidR="00000000" w:rsidRPr="007D6D4F" w:rsidP="007D6D4F">
            <w:pPr>
              <w:pStyle w:val="ListBullet"/>
            </w:pPr>
            <w:r w:rsidRPr="007D6D4F">
              <w:t>contaminants</w:t>
            </w:r>
          </w:p>
          <w:p w:rsidR="00000000" w:rsidRPr="007D6D4F" w:rsidP="007D6D4F">
            <w:pPr>
              <w:pStyle w:val="BodyText"/>
            </w:pPr>
          </w:p>
        </w:tc>
      </w:tr>
    </w:tbl>
    <w:p w:rsidR="00000000" w:rsidRPr="007D6D4F" w:rsidP="007D6D4F">
      <w:pPr>
        <w:pStyle w:val="BodyText"/>
      </w:pPr>
    </w:p>
    <w:p w:rsidR="00000000" w:rsidRPr="007D6D4F" w:rsidP="007D6D4F">
      <w:pPr>
        <w:pStyle w:val="AllowPageBreak"/>
      </w:pPr>
    </w:p>
    <w:p w:rsidR="00000000" w:rsidRPr="007D6D4F" w:rsidP="007D6D4F">
      <w:pPr>
        <w:pStyle w:val="Heading1"/>
      </w:pPr>
      <w:bookmarkStart w:id="8" w:name="O_1168805"/>
      <w:bookmarkEnd w:id="8"/>
      <w:r w:rsidRPr="007D6D4F">
        <w:t>Unit Mapping Information</w:t>
      </w:r>
    </w:p>
    <w:p w:rsidR="00000000" w:rsidRPr="007D6D4F" w:rsidP="0066162A">
      <w:pPr>
        <w:pStyle w:val="BodyText"/>
      </w:pPr>
      <w:r w:rsidRPr="007D6D4F">
        <w:t xml:space="preserve">Release 2. Supersedes and is equivalent to </w:t>
      </w:r>
      <w:r w:rsidRPr="007D6D4F">
        <w:t>MEM04020 Supervise individual ferrous melting and casting operation (Release 1).</w:t>
      </w:r>
    </w:p>
    <w:p w:rsidR="00000000" w:rsidRPr="007D6D4F" w:rsidP="0066162A">
      <w:pPr>
        <w:pStyle w:val="BodyText"/>
      </w:pPr>
      <w:r w:rsidRPr="007D6D4F">
        <w:t>Release 1. Supersedes and is equivalent to MEM04020A Supervise individual ferrous melting and casting operation.</w:t>
      </w:r>
    </w:p>
    <w:p w:rsidR="00000000" w:rsidRPr="007D6D4F" w:rsidP="007D6D4F">
      <w:pPr>
        <w:pStyle w:val="Heading1"/>
      </w:pPr>
      <w:bookmarkStart w:id="9" w:name="O_1168813"/>
      <w:bookmarkEnd w:id="9"/>
      <w:r w:rsidRPr="007D6D4F">
        <w:t>Links</w:t>
      </w:r>
    </w:p>
    <w:p w:rsidR="00000000" w:rsidRPr="007D6D4F" w:rsidP="0066162A">
      <w:pPr>
        <w:pStyle w:val="BodyText"/>
      </w:pPr>
      <w:r w:rsidRPr="007D6D4F">
        <w:t>Companion Volume implementation guide</w:t>
      </w:r>
      <w:r w:rsidRPr="007D6D4F">
        <w:t xml:space="preserve">s are found in VETNet - </w:t>
      </w:r>
      <w:r>
        <w:fldChar w:fldCharType="begin"/>
      </w:r>
      <w:r>
        <w:instrText xml:space="preserve"> HYPERLINK "https://vetnet.gov.au/Pages/TrainingDocs.aspx?q=b7050d37-5fd0-4740-8f7d-3b7a49c10bb2" </w:instrText>
      </w:r>
      <w:r>
        <w:fldChar w:fldCharType="separate"/>
      </w:r>
      <w:r w:rsidRPr="00A53536">
        <w:rPr>
          <w:rStyle w:val="Hyperlink"/>
        </w:rPr>
        <w:t>https://vetnet.gov.au/Pages/TrainingDocs.aspx?q=b7050d37-5fd0-4740-8f7d-3b7a49c10bb2</w:t>
      </w:r>
      <w:r>
        <w:fldChar w:fldCharType="end"/>
      </w:r>
    </w:p>
    <w:p w:rsidR="00000000" w:rsidRPr="007D6D4F" w:rsidP="0066162A">
      <w:pPr>
        <w:pStyle w:val="BodyText"/>
        <w:sectPr w:rsidSect="007D6D4F">
          <w:headerReference w:type="default" r:id="rId10"/>
          <w:footerReference w:type="default" r:id="rId11"/>
          <w:pgSz w:w="11908" w:h="16833"/>
          <w:pgMar w:top="1702" w:right="1418" w:bottom="1702" w:left="1418" w:header="992" w:footer="992" w:gutter="0"/>
          <w:cols w:space="720"/>
          <w:noEndnote/>
          <w:docGrid w:linePitch="299"/>
        </w:sectPr>
      </w:pPr>
    </w:p>
    <w:p w:rsidR="00000000" w:rsidRPr="007D6D4F" w:rsidP="007D6D4F">
      <w:pPr>
        <w:pStyle w:val="SuperHeading"/>
      </w:pPr>
      <w:r w:rsidRPr="007D6D4F">
        <w:t>Assessment Requirements for MEM04020 Supervise individual ferrous melting and casting operation</w:t>
      </w:r>
    </w:p>
    <w:p w:rsidR="00000000" w:rsidRPr="007D6D4F" w:rsidP="007D6D4F">
      <w:pPr>
        <w:pStyle w:val="Heading1"/>
      </w:pPr>
      <w:bookmarkStart w:id="10" w:name="O_1168803"/>
      <w:bookmarkEnd w:id="10"/>
      <w:r w:rsidRPr="007D6D4F">
        <w:t>Modification History</w:t>
      </w:r>
    </w:p>
    <w:p w:rsidR="00000000" w:rsidRPr="007D6D4F" w:rsidP="0066162A">
      <w:pPr>
        <w:pStyle w:val="BodyText"/>
      </w:pPr>
      <w:r w:rsidRPr="007D6D4F">
        <w:t>Release 2. Quantum of hours of workplace practice removed. Supersedes and is equivalent to MEM04020 Supervise individual ferrous melting and casting operation (Release 1).</w:t>
      </w:r>
    </w:p>
    <w:p w:rsidR="00000000" w:rsidRPr="007D6D4F" w:rsidP="0066162A">
      <w:pPr>
        <w:pStyle w:val="BodyText"/>
      </w:pPr>
      <w:r w:rsidRPr="007D6D4F">
        <w:t>Release 1. Supersedes and is equivalent to ME</w:t>
      </w:r>
      <w:r w:rsidRPr="007D6D4F">
        <w:t>M04020A Supervise individual ferrous melting and casting operation.</w:t>
      </w:r>
    </w:p>
    <w:p w:rsidR="00000000" w:rsidRPr="007D6D4F" w:rsidP="007D6D4F">
      <w:pPr>
        <w:pStyle w:val="Heading1"/>
      </w:pPr>
      <w:bookmarkStart w:id="11" w:name="O_1168802"/>
      <w:bookmarkEnd w:id="11"/>
      <w:r w:rsidRPr="007D6D4F">
        <w:t>Performance Evidence</w:t>
      </w:r>
    </w:p>
    <w:p w:rsidR="00000000" w:rsidRPr="007D6D4F" w:rsidP="0066162A">
      <w:pPr>
        <w:pStyle w:val="BodyText"/>
      </w:pPr>
      <w:r w:rsidRPr="007D6D4F">
        <w:t>Evidence required to demonstrate competence in this unit must be relevant to and satisfy the requirements of the elements and performance criteria o</w:t>
      </w:r>
      <w:r w:rsidRPr="007D6D4F">
        <w:t>n at least two (2) occasions and include:</w:t>
      </w:r>
    </w:p>
    <w:p w:rsidR="00000000" w:rsidRPr="007D6D4F" w:rsidP="007D6D4F">
      <w:pPr>
        <w:pStyle w:val="ListBullet"/>
      </w:pPr>
      <w:r w:rsidRPr="007D6D4F">
        <w:t xml:space="preserve">following work instructions, standard operating procedures (SOPs) and safe work practices </w:t>
      </w:r>
    </w:p>
    <w:p w:rsidR="00000000" w:rsidRPr="007D6D4F" w:rsidP="007D6D4F">
      <w:pPr>
        <w:pStyle w:val="ListBullet"/>
      </w:pPr>
      <w:r w:rsidRPr="007D6D4F">
        <w:t>identifying and interpreting specifications, safety procedures and codes of practice/standards for the re</w:t>
      </w:r>
      <w:r w:rsidRPr="007D6D4F">
        <w:t>quired melting and casting operation</w:t>
      </w:r>
    </w:p>
    <w:p w:rsidR="00000000" w:rsidRPr="007D6D4F" w:rsidP="007D6D4F">
      <w:pPr>
        <w:pStyle w:val="ListBullet"/>
      </w:pPr>
      <w:r w:rsidRPr="007D6D4F">
        <w:t>checking for contaminates when verifying metal changes to melting and recommending changes and/or additions to the charge as required</w:t>
      </w:r>
    </w:p>
    <w:p w:rsidR="00000000" w:rsidRPr="007D6D4F" w:rsidP="007D6D4F">
      <w:pPr>
        <w:pStyle w:val="ListBullet"/>
      </w:pPr>
      <w:r w:rsidRPr="007D6D4F">
        <w:t xml:space="preserve">providing evidence from castings that were made using different alloys and moulds </w:t>
      </w:r>
    </w:p>
    <w:p w:rsidR="00000000" w:rsidRPr="007D6D4F" w:rsidP="007D6D4F">
      <w:pPr>
        <w:pStyle w:val="ListBullet"/>
      </w:pPr>
      <w:r w:rsidRPr="007D6D4F">
        <w:t>mo</w:t>
      </w:r>
      <w:r w:rsidRPr="007D6D4F">
        <w:t>nitoring melting and casting operations of ferrous metal</w:t>
      </w:r>
    </w:p>
    <w:p w:rsidR="00000000" w:rsidRPr="007D6D4F" w:rsidP="007D6D4F">
      <w:pPr>
        <w:pStyle w:val="ListBullet"/>
      </w:pPr>
      <w:r w:rsidRPr="007D6D4F">
        <w:t>operating a melting furnace safely and monitoring and supervising the operation of a furnace by other employees</w:t>
      </w:r>
    </w:p>
    <w:p w:rsidR="00000000" w:rsidRPr="007D6D4F" w:rsidP="007D6D4F">
      <w:pPr>
        <w:pStyle w:val="ListBullet"/>
      </w:pPr>
      <w:r w:rsidRPr="007D6D4F">
        <w:t>handling pouring equipment and monitoring safely and supervising the operation of pouri</w:t>
      </w:r>
      <w:r w:rsidRPr="007D6D4F">
        <w:t>ng equipment by other employees.</w:t>
      </w:r>
    </w:p>
    <w:p w:rsidR="00000000" w:rsidRPr="007D6D4F" w:rsidP="007D6D4F">
      <w:pPr>
        <w:pStyle w:val="AllowPageBreak"/>
      </w:pPr>
    </w:p>
    <w:p w:rsidR="00000000" w:rsidRPr="007D6D4F" w:rsidP="007D6D4F">
      <w:pPr>
        <w:pStyle w:val="Heading1"/>
      </w:pPr>
      <w:bookmarkStart w:id="12" w:name="O_1168801"/>
      <w:bookmarkEnd w:id="12"/>
      <w:r w:rsidRPr="007D6D4F">
        <w:t>Knowledge Evidence</w:t>
      </w:r>
    </w:p>
    <w:p w:rsidR="00000000" w:rsidRPr="007D6D4F" w:rsidP="0066162A">
      <w:pPr>
        <w:pStyle w:val="BodyText"/>
      </w:pPr>
      <w:r w:rsidRPr="007D6D4F">
        <w:t>Evidence required to demonstrate the required knowledge for this unit must be relevant to and satisfy the requirements of the elements and performance criteria and include knowledge of:</w:t>
      </w:r>
    </w:p>
    <w:p w:rsidR="00000000" w:rsidRPr="007D6D4F" w:rsidP="007D6D4F">
      <w:pPr>
        <w:pStyle w:val="ListBullet"/>
      </w:pPr>
      <w:r w:rsidRPr="007D6D4F">
        <w:t>safe work practices and procedures and use of personal protective equipment (PPE)</w:t>
      </w:r>
    </w:p>
    <w:p w:rsidR="00000000" w:rsidRPr="007D6D4F" w:rsidP="007D6D4F">
      <w:pPr>
        <w:pStyle w:val="ListBullet"/>
      </w:pPr>
      <w:r w:rsidRPr="007D6D4F">
        <w:t>charge calculations – importance of composition control, methods used to calculate for additions and types of alloy additions and their effects on casting behaviour and fin</w:t>
      </w:r>
      <w:r w:rsidRPr="007D6D4F">
        <w:t>ished product</w:t>
      </w:r>
    </w:p>
    <w:p w:rsidR="00000000" w:rsidRPr="007D6D4F" w:rsidP="007D6D4F">
      <w:pPr>
        <w:pStyle w:val="ListBullet"/>
      </w:pPr>
      <w:r w:rsidRPr="007D6D4F">
        <w:t>steel – induction furnace melting, principles, refractories suitable for steelmaking and their characteristics, arc furnace melting; acid, basic, single slag, double slag, deoxidisation and hydrogen control and ladle refining</w:t>
      </w:r>
    </w:p>
    <w:p w:rsidR="00000000" w:rsidRPr="007D6D4F" w:rsidP="007D6D4F">
      <w:pPr>
        <w:pStyle w:val="ListBullet"/>
      </w:pPr>
      <w:r w:rsidRPr="007D6D4F">
        <w:t>cast iron – type</w:t>
      </w:r>
      <w:r w:rsidRPr="007D6D4F">
        <w:t>s of cast iron, influence of carbon and silicon contents, carbon equivalent, effect of cooling rate, microstructure and classification of graphite, carbide stabilisers and graphite, inoculation and types of inoculant, spheroidal graphite formation and trea</w:t>
      </w:r>
      <w:r w:rsidRPr="007D6D4F">
        <w:t>tment methods and casting characteristics of grey, S.G (ductile) and malleable cast irons</w:t>
      </w:r>
    </w:p>
    <w:p w:rsidR="00000000" w:rsidRPr="007D6D4F" w:rsidP="007D6D4F">
      <w:pPr>
        <w:pStyle w:val="ListBullet"/>
      </w:pPr>
      <w:r w:rsidRPr="007D6D4F">
        <w:t>ferrous alloys – definitions of ferrous metals, grades of iron and their applications, including S.G. iron, ductile iron, grey and white irons, alloy cast irons, chil</w:t>
      </w:r>
      <w:r w:rsidRPr="007D6D4F">
        <w:t>led and malleable iron, grades of steel and their applications, including carbon steel and alloys steels, methods of controlling physical properties, advantages/disadvantages of density of each type of ferrous metal, methods of controlling tensile strength</w:t>
      </w:r>
      <w:r w:rsidRPr="007D6D4F">
        <w:t xml:space="preserve"> of ferrous metals, methods of controlling the hardness of ferrous metals, the influence of melting points on production processes, shrinkage percentage of the types of ferrous metals, how to control metal fluidity, use of degassing to control gas defects,</w:t>
      </w:r>
      <w:r w:rsidRPr="007D6D4F">
        <w:t xml:space="preserve"> be able to take action to control grain size, casting temperature, make a selection of ferrous metal based on required properties, conduct metal analysis on ferrous metal and use Australian Standards (or other appropriate standard) for ferrous metals</w:t>
      </w:r>
    </w:p>
    <w:p w:rsidR="00000000" w:rsidRPr="007D6D4F" w:rsidP="007D6D4F">
      <w:pPr>
        <w:pStyle w:val="ListBullet"/>
      </w:pPr>
      <w:r w:rsidRPr="007D6D4F">
        <w:t>type</w:t>
      </w:r>
      <w:r w:rsidRPr="007D6D4F">
        <w:t xml:space="preserve">s of furnaces and their relative advantages and disadvantages – blast furnace, cupola, induction, direct </w:t>
      </w:r>
      <w:r w:rsidRPr="007D6D4F">
        <w:t>arc, indirect arc, open hearth, reverberatory, rotary and maintenance</w:t>
      </w:r>
    </w:p>
    <w:p w:rsidR="00000000" w:rsidRPr="007D6D4F" w:rsidP="007D6D4F">
      <w:pPr>
        <w:pStyle w:val="ListBullet"/>
      </w:pPr>
      <w:r w:rsidRPr="007D6D4F">
        <w:t>refractory types and purposes, including dolomite, silica brick, chrome brick, ga</w:t>
      </w:r>
      <w:r w:rsidRPr="007D6D4F">
        <w:t>nister, fireclay, firebrick, magnesite, kyanite and fused alumina</w:t>
      </w:r>
    </w:p>
    <w:p w:rsidR="00000000" w:rsidRPr="007D6D4F" w:rsidP="007D6D4F">
      <w:pPr>
        <w:pStyle w:val="ListBullet"/>
      </w:pPr>
      <w:r w:rsidRPr="007D6D4F">
        <w:t>linings types and purposes, including monolithic, castable, rammable, bricks, basic, acid and neutral</w:t>
      </w:r>
    </w:p>
    <w:p w:rsidR="00000000" w:rsidRPr="007D6D4F" w:rsidP="007D6D4F">
      <w:pPr>
        <w:pStyle w:val="ListBullet"/>
      </w:pPr>
      <w:r w:rsidRPr="007D6D4F">
        <w:t>types of ladles – lip, tea pot and bottom pour</w:t>
      </w:r>
    </w:p>
    <w:p w:rsidR="00000000" w:rsidRPr="007D6D4F" w:rsidP="007D6D4F">
      <w:pPr>
        <w:pStyle w:val="ListBullet"/>
      </w:pPr>
      <w:r w:rsidRPr="007D6D4F">
        <w:t>safe working with ladles – pre-heat ladle</w:t>
      </w:r>
      <w:r w:rsidRPr="007D6D4F">
        <w:t>s, ladle maintenance and checking mechanical condition of ladles including gearboxes and safety locks</w:t>
      </w:r>
    </w:p>
    <w:p w:rsidR="00000000" w:rsidRPr="007D6D4F" w:rsidP="007D6D4F">
      <w:pPr>
        <w:pStyle w:val="ListBullet"/>
      </w:pPr>
      <w:r w:rsidRPr="007D6D4F">
        <w:t>use of lifting and handling equipment including – tongs, shanks, cranes, hoists, bogey ladles and maintenance</w:t>
      </w:r>
    </w:p>
    <w:p w:rsidR="00000000" w:rsidRPr="007D6D4F" w:rsidP="007D6D4F">
      <w:pPr>
        <w:pStyle w:val="ListBullet"/>
      </w:pPr>
      <w:r w:rsidRPr="007D6D4F">
        <w:t>supervision of other staff in melting and casting safety, including housekeeping, PPE, dry area and tools, pre-heating of ladles and safe working load of overhead cranes</w:t>
      </w:r>
    </w:p>
    <w:p w:rsidR="00000000" w:rsidRPr="007D6D4F" w:rsidP="007D6D4F">
      <w:pPr>
        <w:pStyle w:val="ListBullet"/>
      </w:pPr>
      <w:r w:rsidRPr="007D6D4F">
        <w:t>furnace operation procedures, including ensuring a dry and safe charge, warm and dry e</w:t>
      </w:r>
      <w:r w:rsidRPr="007D6D4F">
        <w:t>quipment, pre-heating, scrap selection, housekeeping, melting schedule, pouring schedule, calculations, including volume and mass calculations, charge calculations, maintaining supply and maintenance of melting and pouring equipment</w:t>
      </w:r>
    </w:p>
    <w:p w:rsidR="00000000" w:rsidRPr="007D6D4F" w:rsidP="007D6D4F">
      <w:pPr>
        <w:pStyle w:val="ListBullet"/>
      </w:pPr>
      <w:r w:rsidRPr="007D6D4F">
        <w:t>types of control equipm</w:t>
      </w:r>
      <w:r w:rsidRPr="007D6D4F">
        <w:t>ent – thermal analysis, pyrometers, gas analysis, chemical analysis, wet chemical analysis, spectrograph and fluidity test</w:t>
      </w:r>
    </w:p>
    <w:p w:rsidR="00000000" w:rsidRPr="007D6D4F" w:rsidP="007D6D4F">
      <w:pPr>
        <w:pStyle w:val="ListBullet"/>
      </w:pPr>
      <w:r w:rsidRPr="007D6D4F">
        <w:t>quality control and procedures for:</w:t>
      </w:r>
    </w:p>
    <w:p w:rsidR="00000000" w:rsidRPr="007D6D4F" w:rsidP="007D6D4F">
      <w:pPr>
        <w:pStyle w:val="ListBullet2"/>
      </w:pPr>
      <w:r w:rsidRPr="007D6D4F">
        <w:t xml:space="preserve">accurate weighing, correct chemical analysis, covers and fluxes, mould/metal reactions, conduct </w:t>
      </w:r>
      <w:r w:rsidRPr="007D6D4F">
        <w:t>and interpretation of thermal analysis, alloying procedure, thermal analysis, degassing, deoxidising, ladle refining, chill/wedge test and customer requirements</w:t>
      </w:r>
    </w:p>
    <w:p w:rsidR="00000000" w:rsidRPr="007D6D4F" w:rsidP="007D6D4F">
      <w:pPr>
        <w:pStyle w:val="ListBullet"/>
      </w:pPr>
      <w:r w:rsidRPr="007D6D4F">
        <w:t>types of defects and prevention, including but not limited to contamination, gas absorption, m</w:t>
      </w:r>
      <w:r w:rsidRPr="007D6D4F">
        <w:t>etal analysis, temperature control, oxidation and other defects common to iron and steel</w:t>
      </w:r>
    </w:p>
    <w:p w:rsidR="00000000" w:rsidRPr="007D6D4F" w:rsidP="007D6D4F">
      <w:pPr>
        <w:pStyle w:val="ListBullet"/>
      </w:pPr>
      <w:r w:rsidRPr="007D6D4F">
        <w:t xml:space="preserve">tapping and pouring operations, including when to pour according to job and furnace specification, availability of emergency pour out pits and other safety equipment, </w:t>
      </w:r>
      <w:r w:rsidRPr="007D6D4F">
        <w:t>availability of cranes or other transport, pour out rate, ensure mechanical test bar is available and taken if required and ensure pig pouring and tagging is performed correctly.</w:t>
      </w:r>
    </w:p>
    <w:p w:rsidR="00000000" w:rsidRPr="007D6D4F" w:rsidP="007D6D4F">
      <w:pPr>
        <w:pStyle w:val="AllowPageBreak"/>
      </w:pPr>
    </w:p>
    <w:p w:rsidR="00000000" w:rsidRPr="007D6D4F" w:rsidP="007D6D4F">
      <w:pPr>
        <w:pStyle w:val="Heading1"/>
      </w:pPr>
      <w:bookmarkStart w:id="13" w:name="O_1168800"/>
      <w:bookmarkEnd w:id="13"/>
      <w:r w:rsidRPr="007D6D4F">
        <w:t>Assessment Conditions</w:t>
      </w:r>
    </w:p>
    <w:p w:rsidR="00000000" w:rsidRPr="007D6D4F" w:rsidP="007D6D4F">
      <w:pPr>
        <w:pStyle w:val="ListBullet"/>
      </w:pPr>
      <w:r w:rsidRPr="007D6D4F">
        <w:t>Assessors must:</w:t>
      </w:r>
    </w:p>
    <w:p w:rsidR="00000000" w:rsidRPr="007D6D4F" w:rsidP="007D6D4F">
      <w:pPr>
        <w:pStyle w:val="ListBullet2"/>
      </w:pPr>
      <w:r w:rsidRPr="007D6D4F">
        <w:t>have vocational co</w:t>
      </w:r>
      <w:r w:rsidRPr="007D6D4F">
        <w:t>mpetency in the supervision of individual ferrous melting and casting operation at least to the level being assessed with relevant industry knowledge and experience</w:t>
      </w:r>
    </w:p>
    <w:p w:rsidR="00000000" w:rsidRPr="007D6D4F" w:rsidP="007D6D4F">
      <w:pPr>
        <w:pStyle w:val="ListBullet2"/>
      </w:pPr>
      <w:r w:rsidRPr="007D6D4F">
        <w:t xml:space="preserve">satisfy the assessor requirements in the </w:t>
      </w:r>
      <w:r w:rsidRPr="007D6D4F">
        <w:rPr>
          <w:rStyle w:val="Emphasis"/>
        </w:rPr>
        <w:t>Standards for Registered Training Organisations 20</w:t>
      </w:r>
      <w:r w:rsidRPr="007D6D4F">
        <w:rPr>
          <w:rStyle w:val="Emphasis"/>
        </w:rPr>
        <w:t xml:space="preserve">15 or its replacement </w:t>
      </w:r>
      <w:r w:rsidRPr="007D6D4F">
        <w:t xml:space="preserve">and comply with the </w:t>
      </w:r>
      <w:r w:rsidRPr="007D6D4F">
        <w:rPr>
          <w:rStyle w:val="Emphasis"/>
        </w:rPr>
        <w:t xml:space="preserve">National Vocational Education and Training Regulator Act 2011, </w:t>
      </w:r>
      <w:r w:rsidRPr="007D6D4F">
        <w:t>its replacement</w:t>
      </w:r>
      <w:r w:rsidRPr="007D6D4F">
        <w:rPr>
          <w:rStyle w:val="Emphasis"/>
        </w:rPr>
        <w:t xml:space="preserve"> </w:t>
      </w:r>
      <w:r w:rsidRPr="007D6D4F">
        <w:t>or equivalent legislation covering VET regulation in a non-referring state/territory as the case requires.</w:t>
      </w:r>
    </w:p>
    <w:p w:rsidR="00000000" w:rsidRPr="007D6D4F" w:rsidP="007D6D4F">
      <w:pPr>
        <w:pStyle w:val="ListBullet"/>
      </w:pPr>
      <w:r w:rsidRPr="007D6D4F">
        <w:t xml:space="preserve">Assessment must occur in a </w:t>
      </w:r>
      <w:r w:rsidRPr="007D6D4F">
        <w:t>functioning workplace. Where assessment in the workplace would be unsafe, impractical or threatens the environment, assessment must occur in a sufficiently rigorous simulated environment that reflects the circumstances that would be experienced in a functi</w:t>
      </w:r>
      <w:r w:rsidRPr="007D6D4F">
        <w:t>oning workplace. Assessment must cover all aspects of workplace performance, including task skills, task management skills, contingency management skills and job role environment skills.</w:t>
      </w:r>
    </w:p>
    <w:p w:rsidR="00000000" w:rsidRPr="007D6D4F" w:rsidP="007D6D4F">
      <w:pPr>
        <w:pStyle w:val="ListBullet"/>
      </w:pPr>
      <w:r w:rsidRPr="007D6D4F">
        <w:t>Conditions for assessment must incl</w:t>
      </w:r>
      <w:r w:rsidRPr="007D6D4F">
        <w:t>ude access to all tools, equipment, materials and documentation required, including relevant workplace procedures, product and manufacturing specifications.</w:t>
      </w:r>
    </w:p>
    <w:p w:rsidR="00000000" w:rsidRPr="007D6D4F" w:rsidP="007D6D4F">
      <w:pPr>
        <w:pStyle w:val="ListBullet"/>
      </w:pPr>
      <w:r w:rsidRPr="007D6D4F">
        <w:t>Assessment processes and techniques must be appropriate to the language, literacy and numeracy requ</w:t>
      </w:r>
      <w:r w:rsidRPr="007D6D4F">
        <w:t>irements of the work being performed and the needs of the candidate.</w:t>
      </w:r>
    </w:p>
    <w:p w:rsidR="00000000" w:rsidRPr="007D6D4F" w:rsidP="007D6D4F">
      <w:pPr>
        <w:pStyle w:val="AllowPageBreak"/>
      </w:pPr>
    </w:p>
    <w:p w:rsidR="00000000" w:rsidRPr="007D6D4F" w:rsidP="007D6D4F">
      <w:pPr>
        <w:pStyle w:val="Heading1"/>
      </w:pPr>
      <w:bookmarkStart w:id="14" w:name="O_1168814"/>
      <w:bookmarkEnd w:id="14"/>
      <w:r w:rsidRPr="007D6D4F">
        <w:t>Links</w:t>
      </w:r>
    </w:p>
    <w:p w:rsidR="00000000" w:rsidRPr="007D6D4F" w:rsidP="0066162A">
      <w:pPr>
        <w:pStyle w:val="BodyText"/>
      </w:pPr>
      <w:r w:rsidRPr="007D6D4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53536">
        <w:rPr>
          <w:rStyle w:val="Hyperlink"/>
        </w:rPr>
        <w:t>https://vetnet.gov.au/Pages/TrainingDocs.aspx?q=b7050d37-5fd0-4740-8f7d-3b7a49c10bb2</w:t>
      </w:r>
      <w:r>
        <w:fldChar w:fldCharType="end"/>
      </w:r>
    </w:p>
    <w:p w:rsidR="00000000" w:rsidRPr="007D6D4F" w:rsidP="007D6D4F"/>
    <w:sectPr w:rsidSect="007D6D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4F" w:rsidRPr="0066162A" w:rsidP="006616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62A" w:rsidP="007D6D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6162A" w:rsidP="007D6D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6162A" w:rsidP="007D6D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4F" w:rsidP="007D6D4F">
    <w:pPr>
      <w:pStyle w:val="Footer"/>
      <w:framePr w:wrap="around"/>
    </w:pPr>
    <w:r>
      <w:fldChar w:fldCharType="begin"/>
    </w:r>
    <w:r>
      <w:instrText xml:space="preserve"> DOCPROPERTY  Subject  \* MERGEFORMAT </w:instrText>
    </w:r>
    <w:r>
      <w:fldChar w:fldCharType="separate"/>
    </w:r>
    <w:r w:rsidR="0066162A">
      <w:t>Approved</w:t>
    </w:r>
    <w:r w:rsidR="0066162A">
      <w:fldChar w:fldCharType="end"/>
    </w:r>
    <w:r>
      <w:tab/>
      <w:t xml:space="preserve">Page </w:t>
    </w:r>
    <w:r>
      <w:fldChar w:fldCharType="begin"/>
    </w:r>
    <w:r>
      <w:instrText xml:space="preserve"> PAGE  \* Arabic  \* MERGEFORMAT </w:instrText>
    </w:r>
    <w:r>
      <w:fldChar w:fldCharType="separate"/>
    </w:r>
    <w:r w:rsidR="0066162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162A">
      <w:rPr>
        <w:noProof/>
      </w:rPr>
      <w:t>6</w:t>
    </w:r>
    <w:r>
      <w:rPr>
        <w:noProof/>
      </w:rPr>
      <w:fldChar w:fldCharType="end"/>
    </w:r>
  </w:p>
  <w:p w:rsidR="007D6D4F" w:rsidP="007D6D4F">
    <w:pPr>
      <w:pStyle w:val="Footer"/>
      <w:framePr w:wrap="around"/>
    </w:pPr>
    <w:r>
      <w:t xml:space="preserve">© Commonwealth of Australia, </w:t>
    </w:r>
    <w:r>
      <w:fldChar w:fldCharType="begin"/>
    </w:r>
    <w:r>
      <w:instrText xml:space="preserve"> DATE  \@ "yyyy"  \* MERGEFORMAT </w:instrText>
    </w:r>
    <w:r>
      <w:fldChar w:fldCharType="separate"/>
    </w:r>
    <w:r w:rsidR="0066162A">
      <w:rPr>
        <w:noProof/>
      </w:rPr>
      <w:t>2025</w:t>
    </w:r>
    <w:r>
      <w:fldChar w:fldCharType="end"/>
    </w:r>
    <w:r>
      <w:tab/>
    </w:r>
    <w:r>
      <w:fldChar w:fldCharType="begin"/>
    </w:r>
    <w:r>
      <w:instrText xml:space="preserve"> DOCPROPERTY  Author  \* MERGEFORMAT </w:instrText>
    </w:r>
    <w:r>
      <w:fldChar w:fldCharType="separate"/>
    </w:r>
    <w:r w:rsidR="0066162A">
      <w:t>Manufacturing Industry Skills Alliance</w:t>
    </w:r>
    <w:r w:rsidR="0066162A">
      <w:fldChar w:fldCharType="end"/>
    </w:r>
  </w:p>
  <w:p w:rsidR="007D6D4F" w:rsidP="007D6D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6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D4F" w:rsidRPr="0066162A" w:rsidP="006616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62A" w:rsidRPr="002D2AF8" w:rsidP="007D6D4F">
    <w:pPr>
      <w:pStyle w:val="Header"/>
      <w:framePr w:wrap="around"/>
    </w:pPr>
    <w:r>
      <w:fldChar w:fldCharType="begin"/>
    </w:r>
    <w:r>
      <w:instrText xml:space="preserve"> TITLE   \* MERGEFORMAT </w:instrText>
    </w:r>
    <w:r>
      <w:fldChar w:fldCharType="separate"/>
    </w:r>
    <w:r>
      <w:t>MEM04020 Supervise individual ferrous melting and casting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162A" w:rsidP="007D6D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D4F" w:rsidRPr="002D2AF8" w:rsidP="007D6D4F">
    <w:pPr>
      <w:pStyle w:val="Header"/>
      <w:framePr w:wrap="around"/>
    </w:pPr>
    <w:r>
      <w:fldChar w:fldCharType="begin"/>
    </w:r>
    <w:r>
      <w:instrText xml:space="preserve"> TITLE   \* MERGEFORMAT </w:instrText>
    </w:r>
    <w:r>
      <w:fldChar w:fldCharType="separate"/>
    </w:r>
    <w:r w:rsidR="0066162A">
      <w:t>MEM04020 Supervise individual ferrous melting and casting operation</w:t>
    </w:r>
    <w:r w:rsidR="0066162A">
      <w:fldChar w:fldCharType="end"/>
    </w:r>
    <w:r>
      <w:tab/>
      <w:t xml:space="preserve">Date this document was generated: </w:t>
    </w:r>
    <w:r>
      <w:fldChar w:fldCharType="begin"/>
    </w:r>
    <w:r>
      <w:instrText xml:space="preserve"> CREATEDATE  \@ "d MMMM yyyy"  \* MERGEFORMAT </w:instrText>
    </w:r>
    <w:r>
      <w:fldChar w:fldCharType="separate"/>
    </w:r>
    <w:r w:rsidR="0066162A">
      <w:rPr>
        <w:noProof/>
      </w:rPr>
      <w:t>2 March 2025</w:t>
    </w:r>
    <w:r>
      <w:fldChar w:fldCharType="end"/>
    </w:r>
  </w:p>
  <w:p w:rsidR="007D6D4F" w:rsidP="007D6D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EAC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E03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D87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D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D4F"/>
    <w:pPr>
      <w:spacing w:before="360" w:after="60"/>
      <w:outlineLvl w:val="0"/>
    </w:pPr>
    <w:rPr>
      <w:sz w:val="32"/>
    </w:rPr>
  </w:style>
  <w:style w:type="paragraph" w:styleId="Heading2">
    <w:name w:val="heading 2"/>
    <w:basedOn w:val="HeadingBase"/>
    <w:next w:val="BodyText"/>
    <w:link w:val="Heading2Char"/>
    <w:qFormat/>
    <w:rsid w:val="007D6D4F"/>
    <w:pPr>
      <w:keepLines/>
      <w:spacing w:before="240" w:after="120"/>
      <w:outlineLvl w:val="1"/>
    </w:pPr>
    <w:rPr>
      <w:sz w:val="28"/>
      <w:szCs w:val="40"/>
    </w:rPr>
  </w:style>
  <w:style w:type="paragraph" w:styleId="Heading3">
    <w:name w:val="heading 3"/>
    <w:basedOn w:val="HeadingBase"/>
    <w:next w:val="BodyText"/>
    <w:link w:val="Heading3Char"/>
    <w:qFormat/>
    <w:rsid w:val="007D6D4F"/>
    <w:pPr>
      <w:spacing w:before="180" w:after="120"/>
      <w:outlineLvl w:val="2"/>
    </w:pPr>
    <w:rPr>
      <w:spacing w:val="-10"/>
      <w:kern w:val="32"/>
    </w:rPr>
  </w:style>
  <w:style w:type="paragraph" w:styleId="Heading4">
    <w:name w:val="heading 4"/>
    <w:basedOn w:val="HeadingBase"/>
    <w:next w:val="BodyText"/>
    <w:link w:val="Heading4Char"/>
    <w:qFormat/>
    <w:rsid w:val="007D6D4F"/>
    <w:pPr>
      <w:spacing w:before="160" w:after="120"/>
      <w:outlineLvl w:val="3"/>
    </w:pPr>
    <w:rPr>
      <w:sz w:val="22"/>
    </w:rPr>
  </w:style>
  <w:style w:type="paragraph" w:styleId="Heading5">
    <w:name w:val="heading 5"/>
    <w:basedOn w:val="HeadingBase"/>
    <w:next w:val="Normal"/>
    <w:link w:val="Heading5Char"/>
    <w:qFormat/>
    <w:rsid w:val="007D6D4F"/>
    <w:pPr>
      <w:spacing w:before="80"/>
      <w:outlineLvl w:val="4"/>
    </w:pPr>
    <w:rPr>
      <w:color w:val="918585"/>
      <w:sz w:val="20"/>
    </w:rPr>
  </w:style>
  <w:style w:type="paragraph" w:styleId="Heading6">
    <w:name w:val="heading 6"/>
    <w:basedOn w:val="HeadingBase"/>
    <w:next w:val="Normal"/>
    <w:link w:val="Heading6Char"/>
    <w:qFormat/>
    <w:rsid w:val="007D6D4F"/>
    <w:pPr>
      <w:spacing w:before="60"/>
      <w:outlineLvl w:val="5"/>
    </w:pPr>
    <w:rPr>
      <w:color w:val="918585"/>
      <w:sz w:val="20"/>
    </w:rPr>
  </w:style>
  <w:style w:type="paragraph" w:styleId="Heading7">
    <w:name w:val="heading 7"/>
    <w:basedOn w:val="Normal"/>
    <w:next w:val="Normal"/>
    <w:link w:val="Heading7Char"/>
    <w:qFormat/>
    <w:rsid w:val="007D6D4F"/>
    <w:pPr>
      <w:ind w:left="720"/>
      <w:outlineLvl w:val="6"/>
    </w:pPr>
    <w:rPr>
      <w:i/>
    </w:rPr>
  </w:style>
  <w:style w:type="paragraph" w:styleId="Heading8">
    <w:name w:val="heading 8"/>
    <w:basedOn w:val="Normal"/>
    <w:next w:val="Normal"/>
    <w:link w:val="Heading8Char"/>
    <w:qFormat/>
    <w:rsid w:val="007D6D4F"/>
    <w:pPr>
      <w:ind w:left="720"/>
      <w:outlineLvl w:val="7"/>
    </w:pPr>
    <w:rPr>
      <w:i/>
    </w:rPr>
  </w:style>
  <w:style w:type="paragraph" w:styleId="Heading9">
    <w:name w:val="heading 9"/>
    <w:basedOn w:val="Normal"/>
    <w:next w:val="Normal"/>
    <w:link w:val="Heading9Char"/>
    <w:qFormat/>
    <w:rsid w:val="007D6D4F"/>
    <w:pPr>
      <w:ind w:left="720"/>
      <w:outlineLvl w:val="8"/>
    </w:pPr>
    <w:rPr>
      <w:i/>
    </w:rPr>
  </w:style>
  <w:style w:type="character" w:default="1" w:styleId="DefaultParagraphFont">
    <w:name w:val="Default Paragraph Font"/>
    <w:uiPriority w:val="1"/>
    <w:unhideWhenUsed/>
    <w:rsid w:val="007D6D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D4F"/>
  </w:style>
  <w:style w:type="character" w:customStyle="1" w:styleId="Heading1Char">
    <w:name w:val="Heading 1 Char"/>
    <w:basedOn w:val="DefaultParagraphFont"/>
    <w:link w:val="Heading1"/>
    <w:rsid w:val="007D6D4F"/>
    <w:rPr>
      <w:rFonts w:ascii="Times New Roman" w:eastAsia="Times New Roman" w:hAnsi="Times New Roman" w:cs="Times New Roman"/>
      <w:b/>
      <w:sz w:val="32"/>
      <w:szCs w:val="20"/>
      <w:lang w:eastAsia="en-US"/>
    </w:rPr>
  </w:style>
  <w:style w:type="paragraph" w:styleId="BodyText">
    <w:name w:val="Body Text"/>
    <w:basedOn w:val="Normal"/>
    <w:link w:val="BodyTextChar"/>
    <w:rsid w:val="007D6D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D4F"/>
    <w:rPr>
      <w:rFonts w:ascii="Times New Roman" w:eastAsia="Times New Roman" w:hAnsi="Times New Roman" w:cs="Times New Roman"/>
      <w:sz w:val="24"/>
      <w:lang w:eastAsia="en-US"/>
    </w:rPr>
  </w:style>
  <w:style w:type="paragraph" w:styleId="ListBullet">
    <w:name w:val="List Bullet"/>
    <w:basedOn w:val="List"/>
    <w:rsid w:val="007D6D4F"/>
    <w:pPr>
      <w:numPr>
        <w:numId w:val="12"/>
      </w:numPr>
      <w:tabs>
        <w:tab w:val="clear" w:pos="340"/>
      </w:tabs>
      <w:spacing w:before="40" w:after="40"/>
    </w:pPr>
  </w:style>
  <w:style w:type="character" w:customStyle="1" w:styleId="SpecialBold">
    <w:name w:val="Special Bold"/>
    <w:basedOn w:val="DefaultParagraphFont"/>
    <w:rsid w:val="007D6D4F"/>
    <w:rPr>
      <w:b/>
      <w:spacing w:val="0"/>
    </w:rPr>
  </w:style>
  <w:style w:type="paragraph" w:styleId="ListBullet2">
    <w:name w:val="List Bullet 2"/>
    <w:basedOn w:val="List2"/>
    <w:rsid w:val="007D6D4F"/>
    <w:pPr>
      <w:numPr>
        <w:numId w:val="13"/>
      </w:numPr>
      <w:tabs>
        <w:tab w:val="clear" w:pos="680"/>
      </w:tabs>
    </w:pPr>
  </w:style>
  <w:style w:type="character" w:styleId="Emphasis">
    <w:name w:val="Emphasis"/>
    <w:basedOn w:val="DefaultParagraphFont"/>
    <w:qFormat/>
    <w:rsid w:val="007D6D4F"/>
    <w:rPr>
      <w:i/>
    </w:rPr>
  </w:style>
  <w:style w:type="paragraph" w:customStyle="1" w:styleId="SuperHeading">
    <w:name w:val="SuperHeading"/>
    <w:basedOn w:val="Normal"/>
    <w:rsid w:val="007D6D4F"/>
    <w:pPr>
      <w:spacing w:before="240" w:after="120"/>
      <w:outlineLvl w:val="0"/>
    </w:pPr>
    <w:rPr>
      <w:rFonts w:ascii="Times New Roman" w:hAnsi="Times New Roman"/>
      <w:b/>
      <w:sz w:val="32"/>
    </w:rPr>
  </w:style>
  <w:style w:type="paragraph" w:customStyle="1" w:styleId="AllowPageBreak">
    <w:name w:val="AllowPageBreak"/>
    <w:rsid w:val="007D6D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D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D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D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D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D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D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D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D4F"/>
    <w:rPr>
      <w:rFonts w:ascii="Courier New" w:eastAsia="Times New Roman" w:hAnsi="Courier New" w:cs="Times New Roman"/>
      <w:i/>
      <w:szCs w:val="20"/>
      <w:lang w:eastAsia="en-US"/>
    </w:rPr>
  </w:style>
  <w:style w:type="paragraph" w:customStyle="1" w:styleId="HeadingBase">
    <w:name w:val="Heading Base"/>
    <w:rsid w:val="007D6D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D4F"/>
    <w:pPr>
      <w:tabs>
        <w:tab w:val="right" w:leader="dot" w:pos="9072"/>
      </w:tabs>
      <w:ind w:left="567"/>
    </w:pPr>
    <w:rPr>
      <w:szCs w:val="22"/>
    </w:rPr>
  </w:style>
  <w:style w:type="paragraph" w:customStyle="1" w:styleId="TOCBase">
    <w:name w:val="TOC Base"/>
    <w:rsid w:val="007D6D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D4F"/>
    <w:pPr>
      <w:tabs>
        <w:tab w:val="right" w:leader="dot" w:pos="9072"/>
      </w:tabs>
      <w:spacing w:before="40" w:after="40"/>
      <w:ind w:left="284"/>
    </w:pPr>
    <w:rPr>
      <w:rFonts w:ascii="Times New Roman" w:hAnsi="Times New Roman"/>
    </w:rPr>
  </w:style>
  <w:style w:type="paragraph" w:styleId="TOC1">
    <w:name w:val="toc 1"/>
    <w:basedOn w:val="TOCBase"/>
    <w:next w:val="Normal"/>
    <w:rsid w:val="007D6D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D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D4F"/>
    <w:rPr>
      <w:rFonts w:ascii="Times New Roman" w:eastAsia="Times New Roman" w:hAnsi="Times New Roman" w:cs="Times New Roman"/>
      <w:sz w:val="16"/>
      <w:lang w:eastAsia="en-US"/>
    </w:rPr>
  </w:style>
  <w:style w:type="paragraph" w:styleId="Title">
    <w:name w:val="Title"/>
    <w:basedOn w:val="HeadingBase"/>
    <w:link w:val="TitleChar"/>
    <w:qFormat/>
    <w:rsid w:val="007D6D4F"/>
    <w:pPr>
      <w:spacing w:before="5040"/>
      <w:jc w:val="center"/>
    </w:pPr>
    <w:rPr>
      <w:sz w:val="48"/>
      <w:szCs w:val="72"/>
      <w:lang w:val="en-US"/>
    </w:rPr>
  </w:style>
  <w:style w:type="character" w:customStyle="1" w:styleId="TitleChar">
    <w:name w:val="Title Char"/>
    <w:basedOn w:val="DefaultParagraphFont"/>
    <w:link w:val="Title"/>
    <w:rsid w:val="007D6D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D4F"/>
    <w:pPr>
      <w:tabs>
        <w:tab w:val="left" w:pos="3600"/>
        <w:tab w:val="left" w:pos="3958"/>
      </w:tabs>
    </w:pPr>
  </w:style>
  <w:style w:type="paragraph" w:styleId="List">
    <w:name w:val="List"/>
    <w:basedOn w:val="BodyText"/>
    <w:next w:val="BodyText"/>
    <w:rsid w:val="007D6D4F"/>
    <w:pPr>
      <w:tabs>
        <w:tab w:val="left" w:pos="340"/>
      </w:tabs>
      <w:spacing w:before="60" w:after="60"/>
      <w:ind w:left="340" w:hanging="340"/>
    </w:pPr>
  </w:style>
  <w:style w:type="paragraph" w:customStyle="1" w:styleId="Note">
    <w:name w:val="Note"/>
    <w:basedOn w:val="BodyText"/>
    <w:rsid w:val="007D6D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D4F"/>
    <w:pPr>
      <w:framePr w:wrap="auto" w:hAnchor="text" w:y="6049"/>
    </w:pPr>
    <w:rPr>
      <w:color w:val="000000"/>
      <w:sz w:val="40"/>
    </w:rPr>
  </w:style>
  <w:style w:type="paragraph" w:customStyle="1" w:styleId="TOCTitle">
    <w:name w:val="TOCTitle"/>
    <w:basedOn w:val="Heading1"/>
    <w:rsid w:val="007D6D4F"/>
    <w:pPr>
      <w:spacing w:after="240"/>
      <w:jc w:val="center"/>
      <w:outlineLvl w:val="9"/>
    </w:pPr>
    <w:rPr>
      <w:caps/>
    </w:rPr>
  </w:style>
  <w:style w:type="paragraph" w:customStyle="1" w:styleId="Version">
    <w:name w:val="Version"/>
    <w:rsid w:val="007D6D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D4F"/>
    <w:pPr>
      <w:keepNext w:val="0"/>
      <w:tabs>
        <w:tab w:val="right" w:pos="4176"/>
      </w:tabs>
      <w:ind w:left="198" w:hanging="198"/>
    </w:pPr>
    <w:rPr>
      <w:rFonts w:ascii="Garamond" w:hAnsi="Garamond"/>
    </w:rPr>
  </w:style>
  <w:style w:type="paragraph" w:styleId="IndexHeading">
    <w:name w:val="index heading"/>
    <w:basedOn w:val="Normal"/>
    <w:next w:val="Index1"/>
    <w:semiHidden/>
    <w:rsid w:val="007D6D4F"/>
    <w:pPr>
      <w:spacing w:before="120" w:after="120"/>
    </w:pPr>
    <w:rPr>
      <w:rFonts w:ascii="Arial" w:hAnsi="Arial"/>
      <w:b/>
      <w:color w:val="918585"/>
      <w:sz w:val="24"/>
    </w:rPr>
  </w:style>
  <w:style w:type="paragraph" w:styleId="Header">
    <w:name w:val="header"/>
    <w:basedOn w:val="Normal"/>
    <w:link w:val="HeaderChar"/>
    <w:rsid w:val="007D6D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D4F"/>
    <w:rPr>
      <w:rFonts w:ascii="Times New Roman" w:eastAsia="Times New Roman" w:hAnsi="Times New Roman" w:cs="Times New Roman"/>
      <w:sz w:val="16"/>
      <w:szCs w:val="20"/>
      <w:lang w:val="en-GB" w:eastAsia="en-US"/>
    </w:rPr>
  </w:style>
  <w:style w:type="paragraph" w:customStyle="1" w:styleId="Chapter">
    <w:name w:val="Chapter"/>
    <w:basedOn w:val="Normal"/>
    <w:rsid w:val="007D6D4F"/>
    <w:pPr>
      <w:spacing w:before="240"/>
    </w:pPr>
    <w:rPr>
      <w:rFonts w:ascii="Times New Roman" w:hAnsi="Times New Roman"/>
      <w:smallCaps/>
      <w:spacing w:val="80"/>
      <w:sz w:val="28"/>
    </w:rPr>
  </w:style>
  <w:style w:type="paragraph" w:customStyle="1" w:styleId="InChapter">
    <w:name w:val="InChapter"/>
    <w:basedOn w:val="Heading3"/>
    <w:rsid w:val="007D6D4F"/>
    <w:pPr>
      <w:spacing w:after="240"/>
      <w:outlineLvl w:val="9"/>
    </w:pPr>
    <w:rPr>
      <w:noProof/>
    </w:rPr>
  </w:style>
  <w:style w:type="paragraph" w:styleId="Index2">
    <w:name w:val="index 2"/>
    <w:basedOn w:val="Normal"/>
    <w:next w:val="Normal"/>
    <w:semiHidden/>
    <w:rsid w:val="007D6D4F"/>
    <w:pPr>
      <w:tabs>
        <w:tab w:val="right" w:pos="4176"/>
      </w:tabs>
      <w:ind w:left="568" w:hanging="284"/>
    </w:pPr>
    <w:rPr>
      <w:rFonts w:ascii="Garamond" w:hAnsi="Garamond"/>
    </w:rPr>
  </w:style>
  <w:style w:type="paragraph" w:customStyle="1" w:styleId="Byline">
    <w:name w:val="Byline"/>
    <w:rsid w:val="007D6D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D4F"/>
    <w:pPr>
      <w:tabs>
        <w:tab w:val="clear" w:pos="3600"/>
        <w:tab w:val="clear" w:pos="3958"/>
      </w:tabs>
      <w:jc w:val="right"/>
    </w:pPr>
  </w:style>
  <w:style w:type="paragraph" w:styleId="Caption">
    <w:name w:val="caption"/>
    <w:basedOn w:val="BodyText"/>
    <w:next w:val="Normal"/>
    <w:qFormat/>
    <w:rsid w:val="007D6D4F"/>
    <w:pPr>
      <w:framePr w:w="2268" w:hSpace="181" w:vSpace="181" w:wrap="around" w:vAnchor="text" w:hAnchor="page" w:x="1135" w:y="285" w:anchorLock="1"/>
    </w:pPr>
    <w:rPr>
      <w:i/>
    </w:rPr>
  </w:style>
  <w:style w:type="paragraph" w:customStyle="1" w:styleId="MiniTOCTitle">
    <w:name w:val="MiniTOCTitle"/>
    <w:basedOn w:val="Heading4"/>
    <w:rsid w:val="007D6D4F"/>
    <w:pPr>
      <w:spacing w:before="240"/>
      <w:outlineLvl w:val="9"/>
    </w:pPr>
    <w:rPr>
      <w:noProof/>
      <w:sz w:val="24"/>
    </w:rPr>
  </w:style>
  <w:style w:type="paragraph" w:customStyle="1" w:styleId="MiniTOCItem">
    <w:name w:val="MiniTOCItem"/>
    <w:basedOn w:val="ListBullet"/>
    <w:rsid w:val="007D6D4F"/>
    <w:pPr>
      <w:numPr>
        <w:numId w:val="0"/>
      </w:numPr>
      <w:tabs>
        <w:tab w:val="right" w:leader="dot" w:pos="6521"/>
      </w:tabs>
      <w:spacing w:before="0" w:after="0"/>
    </w:pPr>
  </w:style>
  <w:style w:type="paragraph" w:customStyle="1" w:styleId="TOFTitle">
    <w:name w:val="TOFTitle"/>
    <w:basedOn w:val="TOCTitle"/>
    <w:rsid w:val="007D6D4F"/>
  </w:style>
  <w:style w:type="paragraph" w:styleId="TableofFigures">
    <w:name w:val="table of figures"/>
    <w:basedOn w:val="Normal"/>
    <w:next w:val="Normal"/>
    <w:semiHidden/>
    <w:rsid w:val="007D6D4F"/>
    <w:pPr>
      <w:tabs>
        <w:tab w:val="right" w:leader="dot" w:pos="9072"/>
      </w:tabs>
      <w:ind w:left="970" w:hanging="403"/>
    </w:pPr>
    <w:rPr>
      <w:rFonts w:ascii="Times New Roman" w:hAnsi="Times New Roman"/>
      <w:b/>
    </w:rPr>
  </w:style>
  <w:style w:type="paragraph" w:styleId="ListNumber">
    <w:name w:val="List Number"/>
    <w:basedOn w:val="List"/>
    <w:rsid w:val="007D6D4F"/>
    <w:pPr>
      <w:numPr>
        <w:numId w:val="15"/>
      </w:numPr>
      <w:tabs>
        <w:tab w:val="clear" w:pos="340"/>
      </w:tabs>
    </w:pPr>
  </w:style>
  <w:style w:type="character" w:customStyle="1" w:styleId="WingdingSymbols">
    <w:name w:val="Wingding Symbols"/>
    <w:rsid w:val="007D6D4F"/>
    <w:rPr>
      <w:rFonts w:ascii="Wingdings" w:hAnsi="Wingdings"/>
    </w:rPr>
  </w:style>
  <w:style w:type="paragraph" w:customStyle="1" w:styleId="TableHeading">
    <w:name w:val="Table Heading"/>
    <w:basedOn w:val="HeadingBase"/>
    <w:rsid w:val="007D6D4F"/>
    <w:pPr>
      <w:keepLines/>
      <w:pBdr>
        <w:bottom w:val="single" w:sz="6" w:space="1" w:color="918585"/>
      </w:pBdr>
      <w:spacing w:before="240"/>
    </w:pPr>
  </w:style>
  <w:style w:type="character" w:customStyle="1" w:styleId="HotSpot">
    <w:name w:val="HotSpot"/>
    <w:rsid w:val="007D6D4F"/>
    <w:rPr>
      <w:color w:val="0033CC"/>
      <w:u w:val="none"/>
    </w:rPr>
  </w:style>
  <w:style w:type="paragraph" w:customStyle="1" w:styleId="BodyTextRight">
    <w:name w:val="Body Text Right"/>
    <w:basedOn w:val="BodyText"/>
    <w:rsid w:val="007D6D4F"/>
    <w:pPr>
      <w:spacing w:before="0" w:after="0"/>
      <w:jc w:val="right"/>
    </w:pPr>
  </w:style>
  <w:style w:type="paragraph" w:styleId="Index3">
    <w:name w:val="index 3"/>
    <w:basedOn w:val="ListNumber2"/>
    <w:next w:val="Normal"/>
    <w:semiHidden/>
    <w:rsid w:val="007D6D4F"/>
    <w:pPr>
      <w:numPr>
        <w:numId w:val="0"/>
      </w:numPr>
      <w:tabs>
        <w:tab w:val="right" w:leader="dot" w:pos="4176"/>
      </w:tabs>
    </w:pPr>
  </w:style>
  <w:style w:type="paragraph" w:styleId="ListNumber2">
    <w:name w:val="List Number 2"/>
    <w:basedOn w:val="List2"/>
    <w:rsid w:val="007D6D4F"/>
    <w:pPr>
      <w:numPr>
        <w:numId w:val="10"/>
      </w:numPr>
      <w:tabs>
        <w:tab w:val="clear" w:pos="1060"/>
      </w:tabs>
    </w:pPr>
  </w:style>
  <w:style w:type="paragraph" w:customStyle="1" w:styleId="MarginNote">
    <w:name w:val="Margin Note"/>
    <w:basedOn w:val="BodyText"/>
    <w:rsid w:val="007D6D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D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D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D4F"/>
    <w:rPr>
      <w:sz w:val="32"/>
    </w:rPr>
  </w:style>
  <w:style w:type="paragraph" w:customStyle="1" w:styleId="HeadingProcedure">
    <w:name w:val="Heading Procedure"/>
    <w:basedOn w:val="HeadingBase"/>
    <w:next w:val="Normal"/>
    <w:rsid w:val="007D6D4F"/>
    <w:pPr>
      <w:tabs>
        <w:tab w:val="left" w:pos="0"/>
      </w:tabs>
      <w:spacing w:before="120" w:after="60"/>
    </w:pPr>
    <w:rPr>
      <w:i/>
      <w:color w:val="918585"/>
      <w:sz w:val="22"/>
    </w:rPr>
  </w:style>
  <w:style w:type="paragraph" w:customStyle="1" w:styleId="TableBodyText">
    <w:name w:val="Table Body Text"/>
    <w:basedOn w:val="BodyText"/>
    <w:rsid w:val="007D6D4F"/>
    <w:pPr>
      <w:spacing w:before="60" w:after="60"/>
    </w:pPr>
  </w:style>
  <w:style w:type="paragraph" w:styleId="ListContinue">
    <w:name w:val="List Continue"/>
    <w:basedOn w:val="List"/>
    <w:rsid w:val="007D6D4F"/>
    <w:pPr>
      <w:ind w:firstLine="0"/>
    </w:pPr>
  </w:style>
  <w:style w:type="paragraph" w:customStyle="1" w:styleId="ListNote">
    <w:name w:val="List Note"/>
    <w:basedOn w:val="List"/>
    <w:rsid w:val="007D6D4F"/>
    <w:pPr>
      <w:pBdr>
        <w:top w:val="single" w:sz="6" w:space="2" w:color="918585"/>
        <w:bottom w:val="single" w:sz="6" w:space="2" w:color="918585"/>
      </w:pBdr>
      <w:tabs>
        <w:tab w:val="left" w:pos="1021"/>
      </w:tabs>
      <w:ind w:firstLine="0"/>
    </w:pPr>
  </w:style>
  <w:style w:type="paragraph" w:customStyle="1" w:styleId="Warning">
    <w:name w:val="Warning"/>
    <w:basedOn w:val="BodyText"/>
    <w:rsid w:val="007D6D4F"/>
    <w:pPr>
      <w:shd w:val="clear" w:color="auto" w:fill="D9D9D9"/>
      <w:tabs>
        <w:tab w:val="left" w:pos="992"/>
      </w:tabs>
      <w:ind w:left="119" w:right="119"/>
    </w:pPr>
    <w:rPr>
      <w:sz w:val="20"/>
    </w:rPr>
  </w:style>
  <w:style w:type="paragraph" w:customStyle="1" w:styleId="MarginIcons">
    <w:name w:val="Margin Icons"/>
    <w:basedOn w:val="BodyText"/>
    <w:rsid w:val="007D6D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D4F"/>
    <w:rPr>
      <w:rFonts w:ascii="Courier New" w:hAnsi="Courier New"/>
    </w:rPr>
  </w:style>
  <w:style w:type="paragraph" w:customStyle="1" w:styleId="NoteBullet">
    <w:name w:val="Note Bullet"/>
    <w:basedOn w:val="Note"/>
    <w:rsid w:val="007D6D4F"/>
    <w:pPr>
      <w:tabs>
        <w:tab w:val="clear" w:pos="680"/>
      </w:tabs>
      <w:spacing w:before="60" w:after="60"/>
    </w:pPr>
  </w:style>
  <w:style w:type="paragraph" w:customStyle="1" w:styleId="SubHeading2">
    <w:name w:val="SubHeading2"/>
    <w:basedOn w:val="HeadingBase"/>
    <w:rsid w:val="007D6D4F"/>
    <w:pPr>
      <w:spacing w:before="240" w:after="60"/>
    </w:pPr>
    <w:rPr>
      <w:sz w:val="20"/>
    </w:rPr>
  </w:style>
  <w:style w:type="paragraph" w:customStyle="1" w:styleId="SubHeading1">
    <w:name w:val="SubHeading1"/>
    <w:basedOn w:val="HeadingBase"/>
    <w:rsid w:val="007D6D4F"/>
    <w:pPr>
      <w:spacing w:before="240" w:after="60"/>
    </w:pPr>
    <w:rPr>
      <w:color w:val="918585"/>
      <w:sz w:val="22"/>
    </w:rPr>
  </w:style>
  <w:style w:type="paragraph" w:customStyle="1" w:styleId="SideHeading">
    <w:name w:val="Side Heading"/>
    <w:basedOn w:val="HeadingBase"/>
    <w:rsid w:val="007D6D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D4F"/>
    <w:pPr>
      <w:tabs>
        <w:tab w:val="num" w:pos="360"/>
      </w:tabs>
    </w:pPr>
  </w:style>
  <w:style w:type="paragraph" w:styleId="PlainText">
    <w:name w:val="Plain Text"/>
    <w:basedOn w:val="Normal"/>
    <w:link w:val="PlainTextChar"/>
    <w:rsid w:val="007D6D4F"/>
    <w:rPr>
      <w:sz w:val="20"/>
    </w:rPr>
  </w:style>
  <w:style w:type="character" w:customStyle="1" w:styleId="PlainTextChar">
    <w:name w:val="Plain Text Char"/>
    <w:basedOn w:val="DefaultParagraphFont"/>
    <w:link w:val="PlainText"/>
    <w:rsid w:val="007D6D4F"/>
    <w:rPr>
      <w:rFonts w:ascii="Courier New" w:eastAsia="Times New Roman" w:hAnsi="Courier New" w:cs="Times New Roman"/>
      <w:sz w:val="20"/>
      <w:szCs w:val="20"/>
      <w:lang w:eastAsia="en-US"/>
    </w:rPr>
  </w:style>
  <w:style w:type="character" w:customStyle="1" w:styleId="MenuOption">
    <w:name w:val="Menu Option"/>
    <w:basedOn w:val="DefaultParagraphFont"/>
    <w:rsid w:val="007D6D4F"/>
    <w:rPr>
      <w:b/>
      <w:smallCaps/>
    </w:rPr>
  </w:style>
  <w:style w:type="paragraph" w:customStyle="1" w:styleId="TableListNumber">
    <w:name w:val="Table List Number"/>
    <w:basedOn w:val="ListNumber"/>
    <w:rsid w:val="007D6D4F"/>
    <w:pPr>
      <w:numPr>
        <w:numId w:val="0"/>
      </w:numPr>
    </w:pPr>
  </w:style>
  <w:style w:type="paragraph" w:styleId="TOC4">
    <w:name w:val="toc 4"/>
    <w:basedOn w:val="TOCBase"/>
    <w:next w:val="Normal"/>
    <w:semiHidden/>
    <w:rsid w:val="007D6D4F"/>
    <w:pPr>
      <w:tabs>
        <w:tab w:val="right" w:leader="dot" w:pos="9071"/>
      </w:tabs>
      <w:ind w:left="1701"/>
    </w:pPr>
  </w:style>
  <w:style w:type="paragraph" w:customStyle="1" w:styleId="ListAlpha">
    <w:name w:val="List Alpha"/>
    <w:basedOn w:val="List"/>
    <w:rsid w:val="007D6D4F"/>
    <w:pPr>
      <w:numPr>
        <w:numId w:val="9"/>
      </w:numPr>
    </w:pPr>
  </w:style>
  <w:style w:type="paragraph" w:customStyle="1" w:styleId="ListAlpha2">
    <w:name w:val="List Alpha 2"/>
    <w:basedOn w:val="List2"/>
    <w:rsid w:val="007D6D4F"/>
    <w:pPr>
      <w:numPr>
        <w:numId w:val="8"/>
      </w:numPr>
    </w:pPr>
  </w:style>
  <w:style w:type="paragraph" w:styleId="List2">
    <w:name w:val="List 2"/>
    <w:basedOn w:val="BodyText"/>
    <w:rsid w:val="007D6D4F"/>
    <w:pPr>
      <w:tabs>
        <w:tab w:val="left" w:pos="680"/>
      </w:tabs>
      <w:spacing w:before="60" w:after="60"/>
      <w:ind w:left="680" w:hanging="340"/>
    </w:pPr>
  </w:style>
  <w:style w:type="paragraph" w:styleId="List3">
    <w:name w:val="List 3"/>
    <w:basedOn w:val="BodyText"/>
    <w:rsid w:val="007D6D4F"/>
    <w:pPr>
      <w:tabs>
        <w:tab w:val="left" w:pos="1021"/>
      </w:tabs>
      <w:spacing w:before="60" w:after="60"/>
      <w:ind w:left="1020" w:hanging="340"/>
    </w:pPr>
  </w:style>
  <w:style w:type="paragraph" w:styleId="List4">
    <w:name w:val="List 4"/>
    <w:basedOn w:val="BodyText"/>
    <w:rsid w:val="007D6D4F"/>
    <w:pPr>
      <w:tabs>
        <w:tab w:val="left" w:pos="1361"/>
      </w:tabs>
      <w:spacing w:before="60" w:after="60"/>
      <w:ind w:left="1361" w:hanging="340"/>
    </w:pPr>
  </w:style>
  <w:style w:type="paragraph" w:styleId="List5">
    <w:name w:val="List 5"/>
    <w:basedOn w:val="BodyText"/>
    <w:rsid w:val="007D6D4F"/>
    <w:pPr>
      <w:tabs>
        <w:tab w:val="left" w:pos="1701"/>
      </w:tabs>
      <w:spacing w:before="60" w:after="60"/>
      <w:ind w:left="1701" w:hanging="340"/>
    </w:pPr>
  </w:style>
  <w:style w:type="paragraph" w:styleId="ListBullet3">
    <w:name w:val="List Bullet 3"/>
    <w:basedOn w:val="List3"/>
    <w:rsid w:val="007D6D4F"/>
    <w:pPr>
      <w:numPr>
        <w:numId w:val="14"/>
      </w:numPr>
      <w:tabs>
        <w:tab w:val="clear" w:pos="1021"/>
      </w:tabs>
      <w:ind w:left="1037" w:hanging="357"/>
    </w:pPr>
  </w:style>
  <w:style w:type="paragraph" w:styleId="ListBullet4">
    <w:name w:val="List Bullet 4"/>
    <w:basedOn w:val="List4"/>
    <w:rsid w:val="007D6D4F"/>
    <w:pPr>
      <w:numPr>
        <w:numId w:val="3"/>
      </w:numPr>
      <w:tabs>
        <w:tab w:val="clear" w:pos="1361"/>
      </w:tabs>
    </w:pPr>
  </w:style>
  <w:style w:type="paragraph" w:styleId="ListBullet5">
    <w:name w:val="List Bullet 5"/>
    <w:basedOn w:val="List5"/>
    <w:rsid w:val="007D6D4F"/>
    <w:pPr>
      <w:numPr>
        <w:numId w:val="4"/>
      </w:numPr>
    </w:pPr>
  </w:style>
  <w:style w:type="paragraph" w:styleId="ListContinue2">
    <w:name w:val="List Continue 2"/>
    <w:basedOn w:val="List2"/>
    <w:rsid w:val="007D6D4F"/>
    <w:pPr>
      <w:ind w:firstLine="0"/>
    </w:pPr>
  </w:style>
  <w:style w:type="paragraph" w:styleId="ListContinue3">
    <w:name w:val="List Continue 3"/>
    <w:basedOn w:val="List3"/>
    <w:rsid w:val="007D6D4F"/>
    <w:pPr>
      <w:ind w:left="1021" w:firstLine="0"/>
    </w:pPr>
  </w:style>
  <w:style w:type="paragraph" w:styleId="ListContinue4">
    <w:name w:val="List Continue 4"/>
    <w:basedOn w:val="List4"/>
    <w:rsid w:val="007D6D4F"/>
    <w:pPr>
      <w:ind w:firstLine="0"/>
    </w:pPr>
  </w:style>
  <w:style w:type="paragraph" w:styleId="ListContinue5">
    <w:name w:val="List Continue 5"/>
    <w:basedOn w:val="List5"/>
    <w:rsid w:val="007D6D4F"/>
    <w:pPr>
      <w:ind w:firstLine="0"/>
    </w:pPr>
  </w:style>
  <w:style w:type="paragraph" w:styleId="ListNumber3">
    <w:name w:val="List Number 3"/>
    <w:basedOn w:val="List3"/>
    <w:rsid w:val="007D6D4F"/>
    <w:pPr>
      <w:numPr>
        <w:numId w:val="5"/>
      </w:numPr>
    </w:pPr>
  </w:style>
  <w:style w:type="paragraph" w:styleId="ListNumber4">
    <w:name w:val="List Number 4"/>
    <w:basedOn w:val="List4"/>
    <w:rsid w:val="007D6D4F"/>
    <w:pPr>
      <w:numPr>
        <w:numId w:val="6"/>
      </w:numPr>
    </w:pPr>
  </w:style>
  <w:style w:type="paragraph" w:styleId="ListNumber5">
    <w:name w:val="List Number 5"/>
    <w:basedOn w:val="List5"/>
    <w:rsid w:val="007D6D4F"/>
    <w:pPr>
      <w:numPr>
        <w:numId w:val="7"/>
      </w:numPr>
    </w:pPr>
  </w:style>
  <w:style w:type="paragraph" w:styleId="BlockText">
    <w:name w:val="Block Text"/>
    <w:basedOn w:val="Normal"/>
    <w:rsid w:val="007D6D4F"/>
    <w:pPr>
      <w:spacing w:after="120"/>
      <w:ind w:left="1440" w:right="1440"/>
    </w:pPr>
  </w:style>
  <w:style w:type="character" w:customStyle="1" w:styleId="Subscript">
    <w:name w:val="Subscript"/>
    <w:basedOn w:val="DefaultParagraphFont"/>
    <w:rsid w:val="007D6D4F"/>
    <w:rPr>
      <w:sz w:val="16"/>
      <w:vertAlign w:val="subscript"/>
    </w:rPr>
  </w:style>
  <w:style w:type="character" w:customStyle="1" w:styleId="Superscript">
    <w:name w:val="Superscript"/>
    <w:basedOn w:val="DefaultParagraphFont"/>
    <w:rsid w:val="007D6D4F"/>
    <w:rPr>
      <w:sz w:val="16"/>
      <w:vertAlign w:val="superscript"/>
    </w:rPr>
  </w:style>
  <w:style w:type="character" w:customStyle="1" w:styleId="Symbols">
    <w:name w:val="Symbols"/>
    <w:basedOn w:val="DefaultParagraphFont"/>
    <w:rsid w:val="007D6D4F"/>
    <w:rPr>
      <w:rFonts w:ascii="Symbol" w:hAnsi="Symbol"/>
    </w:rPr>
  </w:style>
  <w:style w:type="character" w:customStyle="1" w:styleId="MenuOptions">
    <w:name w:val="Menu Options"/>
    <w:basedOn w:val="DefaultParagraphFont"/>
    <w:rsid w:val="007D6D4F"/>
    <w:rPr>
      <w:rFonts w:ascii="Arial Narrow" w:hAnsi="Arial Narrow"/>
      <w:smallCaps/>
    </w:rPr>
  </w:style>
  <w:style w:type="character" w:customStyle="1" w:styleId="Buttons">
    <w:name w:val="Buttons"/>
    <w:basedOn w:val="DefaultParagraphFont"/>
    <w:rsid w:val="007D6D4F"/>
    <w:rPr>
      <w:b/>
    </w:rPr>
  </w:style>
  <w:style w:type="character" w:customStyle="1" w:styleId="Underlined">
    <w:name w:val="Underlined"/>
    <w:basedOn w:val="DefaultParagraphFont"/>
    <w:rsid w:val="007D6D4F"/>
    <w:rPr>
      <w:u w:val="single"/>
    </w:rPr>
  </w:style>
  <w:style w:type="paragraph" w:customStyle="1" w:styleId="TableBodyTextRight">
    <w:name w:val="Table Body Text Right"/>
    <w:basedOn w:val="TableBodyText"/>
    <w:rsid w:val="007D6D4F"/>
    <w:pPr>
      <w:widowControl w:val="0"/>
      <w:autoSpaceDE w:val="0"/>
      <w:autoSpaceDN w:val="0"/>
      <w:adjustRightInd w:val="0"/>
      <w:jc w:val="right"/>
    </w:pPr>
    <w:rPr>
      <w:rFonts w:cs="Arial"/>
      <w:szCs w:val="18"/>
    </w:rPr>
  </w:style>
  <w:style w:type="paragraph" w:customStyle="1" w:styleId="CopyrightText">
    <w:name w:val="Copyright Text"/>
    <w:basedOn w:val="BodyText"/>
    <w:rsid w:val="007D6D4F"/>
    <w:rPr>
      <w:sz w:val="18"/>
    </w:rPr>
  </w:style>
  <w:style w:type="paragraph" w:customStyle="1" w:styleId="BodySmallRight">
    <w:name w:val="Body Small Right"/>
    <w:basedOn w:val="BodyTextRight"/>
    <w:rsid w:val="007D6D4F"/>
    <w:rPr>
      <w:sz w:val="18"/>
      <w:szCs w:val="18"/>
    </w:rPr>
  </w:style>
  <w:style w:type="paragraph" w:customStyle="1" w:styleId="MarginEdition">
    <w:name w:val="Margin Edition"/>
    <w:basedOn w:val="MarginNote"/>
    <w:rsid w:val="007D6D4F"/>
    <w:pPr>
      <w:spacing w:before="0" w:after="0"/>
    </w:pPr>
    <w:rPr>
      <w:rFonts w:ascii="Times New Roman" w:hAnsi="Times New Roman"/>
      <w:color w:val="999999"/>
    </w:rPr>
  </w:style>
  <w:style w:type="paragraph" w:customStyle="1" w:styleId="Spacer">
    <w:name w:val="Spacer"/>
    <w:basedOn w:val="Normal"/>
    <w:rsid w:val="007D6D4F"/>
    <w:rPr>
      <w:sz w:val="2"/>
      <w:szCs w:val="2"/>
    </w:rPr>
  </w:style>
  <w:style w:type="character" w:customStyle="1" w:styleId="Small">
    <w:name w:val="Small"/>
    <w:basedOn w:val="DefaultParagraphFont"/>
    <w:rsid w:val="007D6D4F"/>
    <w:rPr>
      <w:sz w:val="16"/>
    </w:rPr>
  </w:style>
  <w:style w:type="paragraph" w:customStyle="1" w:styleId="WideTable">
    <w:name w:val="Wide Table"/>
    <w:basedOn w:val="Normal"/>
    <w:rsid w:val="007D6D4F"/>
    <w:pPr>
      <w:ind w:left="-1418"/>
    </w:pPr>
    <w:rPr>
      <w:sz w:val="2"/>
      <w:szCs w:val="2"/>
    </w:rPr>
  </w:style>
  <w:style w:type="character" w:styleId="PageNumber">
    <w:name w:val="page number"/>
    <w:basedOn w:val="DefaultParagraphFont"/>
    <w:rsid w:val="007D6D4F"/>
  </w:style>
  <w:style w:type="paragraph" w:styleId="Quote">
    <w:name w:val="Quote"/>
    <w:basedOn w:val="Heading1"/>
    <w:link w:val="QuoteChar"/>
    <w:qFormat/>
    <w:rsid w:val="007D6D4F"/>
    <w:rPr>
      <w:b w:val="0"/>
      <w:sz w:val="72"/>
      <w:szCs w:val="72"/>
      <w:lang w:val="en-NZ"/>
    </w:rPr>
  </w:style>
  <w:style w:type="character" w:customStyle="1" w:styleId="QuoteChar">
    <w:name w:val="Quote Char"/>
    <w:basedOn w:val="DefaultParagraphFont"/>
    <w:link w:val="Quote"/>
    <w:rsid w:val="007D6D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D4F"/>
    <w:pPr>
      <w:pageBreakBefore/>
    </w:pPr>
  </w:style>
  <w:style w:type="paragraph" w:customStyle="1" w:styleId="Border">
    <w:name w:val="Border"/>
    <w:basedOn w:val="Normal"/>
    <w:qFormat/>
    <w:rsid w:val="007D6D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D4F"/>
    <w:rPr>
      <w:b/>
      <w:bCs/>
      <w:i/>
      <w:iCs/>
      <w:color w:val="auto"/>
    </w:rPr>
  </w:style>
  <w:style w:type="paragraph" w:styleId="IntenseQuote">
    <w:name w:val="Intense Quote"/>
    <w:basedOn w:val="Normal"/>
    <w:next w:val="Normal"/>
    <w:link w:val="IntenseQuoteChar"/>
    <w:uiPriority w:val="30"/>
    <w:qFormat/>
    <w:rsid w:val="007D6D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D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D4F"/>
    <w:rPr>
      <w:smallCaps/>
      <w:color w:val="auto"/>
      <w:u w:val="single"/>
    </w:rPr>
  </w:style>
  <w:style w:type="character" w:styleId="IntenseReference">
    <w:name w:val="Intense Reference"/>
    <w:basedOn w:val="DefaultParagraphFont"/>
    <w:uiPriority w:val="32"/>
    <w:qFormat/>
    <w:rsid w:val="007D6D4F"/>
    <w:rPr>
      <w:b/>
      <w:bCs/>
      <w:smallCaps/>
      <w:color w:val="auto"/>
      <w:spacing w:val="5"/>
      <w:u w:val="single"/>
    </w:rPr>
  </w:style>
  <w:style w:type="paragraph" w:customStyle="1" w:styleId="2ColumnHeading">
    <w:name w:val="2Column Heading"/>
    <w:basedOn w:val="BodyText"/>
    <w:qFormat/>
    <w:rsid w:val="007D6D4F"/>
    <w:pPr>
      <w:spacing w:after="60"/>
      <w:ind w:left="-2268"/>
    </w:pPr>
    <w:rPr>
      <w:b/>
    </w:rPr>
  </w:style>
  <w:style w:type="paragraph" w:customStyle="1" w:styleId="Heading1TOC">
    <w:name w:val="Heading1 TOC"/>
    <w:basedOn w:val="Normal"/>
    <w:qFormat/>
    <w:rsid w:val="007D6D4F"/>
    <w:pPr>
      <w:spacing w:before="240" w:after="120"/>
    </w:pPr>
    <w:rPr>
      <w:rFonts w:ascii="Times New Roman" w:hAnsi="Times New Roman"/>
      <w:b/>
      <w:sz w:val="32"/>
    </w:rPr>
  </w:style>
  <w:style w:type="paragraph" w:customStyle="1" w:styleId="Heading2TOC">
    <w:name w:val="Heading2 TOC"/>
    <w:basedOn w:val="Normal"/>
    <w:qFormat/>
    <w:rsid w:val="007D6D4F"/>
    <w:pPr>
      <w:spacing w:before="240" w:after="60"/>
    </w:pPr>
    <w:rPr>
      <w:rFonts w:ascii="Times New Roman" w:hAnsi="Times New Roman"/>
      <w:b/>
      <w:sz w:val="28"/>
    </w:rPr>
  </w:style>
  <w:style w:type="character" w:customStyle="1" w:styleId="Underline">
    <w:name w:val="Underline"/>
    <w:basedOn w:val="DefaultParagraphFont"/>
    <w:qFormat/>
    <w:rsid w:val="007D6D4F"/>
    <w:rPr>
      <w:u w:val="single"/>
    </w:rPr>
  </w:style>
  <w:style w:type="character" w:customStyle="1" w:styleId="BoldandItalics">
    <w:name w:val="Bold and Italics"/>
    <w:qFormat/>
    <w:rsid w:val="007D6D4F"/>
    <w:rPr>
      <w:b/>
      <w:i/>
      <w:u w:val="none"/>
    </w:rPr>
  </w:style>
  <w:style w:type="paragraph" w:styleId="BalloonText">
    <w:name w:val="Balloon Text"/>
    <w:basedOn w:val="Normal"/>
    <w:link w:val="BalloonTextChar"/>
    <w:rsid w:val="007D6D4F"/>
    <w:rPr>
      <w:rFonts w:ascii="Tahoma" w:hAnsi="Tahoma" w:cs="Tahoma"/>
      <w:sz w:val="16"/>
      <w:szCs w:val="16"/>
    </w:rPr>
  </w:style>
  <w:style w:type="character" w:customStyle="1" w:styleId="BalloonTextChar">
    <w:name w:val="Balloon Text Char"/>
    <w:basedOn w:val="DefaultParagraphFont"/>
    <w:link w:val="BalloonText"/>
    <w:rsid w:val="007D6D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D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D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D4F"/>
    <w:rPr>
      <w:b/>
      <w:color w:val="660033"/>
      <w:spacing w:val="0"/>
    </w:rPr>
  </w:style>
  <w:style w:type="paragraph" w:customStyle="1" w:styleId="Nameditemlist">
    <w:name w:val="Named item list"/>
    <w:basedOn w:val="BodyText"/>
    <w:qFormat/>
    <w:rsid w:val="007D6D4F"/>
    <w:pPr>
      <w:tabs>
        <w:tab w:val="left" w:pos="2835"/>
      </w:tabs>
      <w:ind w:left="2835" w:hanging="2835"/>
    </w:pPr>
  </w:style>
  <w:style w:type="paragraph" w:customStyle="1" w:styleId="BodyTextnopadding">
    <w:name w:val="Body Text no padding"/>
    <w:basedOn w:val="BodyText"/>
    <w:qFormat/>
    <w:rsid w:val="007D6D4F"/>
    <w:pPr>
      <w:spacing w:before="0" w:after="0"/>
    </w:pPr>
  </w:style>
  <w:style w:type="paragraph" w:customStyle="1" w:styleId="BodyTextBold">
    <w:name w:val="Body Text Bold"/>
    <w:basedOn w:val="BodyText"/>
    <w:qFormat/>
    <w:rsid w:val="007D6D4F"/>
    <w:rPr>
      <w:b/>
    </w:rPr>
  </w:style>
  <w:style w:type="character" w:styleId="Hyperlink">
    <w:name w:val="Hyperlink"/>
    <w:basedOn w:val="DefaultParagraphFont"/>
    <w:uiPriority w:val="99"/>
    <w:unhideWhenUsed/>
    <w:rsid w:val="006616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1751</Words>
  <Characters>10979</Characters>
  <Application>Microsoft Office Word</Application>
  <DocSecurity>0</DocSecurity>
  <Lines>378</Lines>
  <Paragraphs>212</Paragraphs>
  <ScaleCrop>false</ScaleCrop>
  <Company>Author-it Software Corporation Ltd.</Company>
  <LinksUpToDate>false</LinksUpToDate>
  <CharactersWithSpaces>12518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MEM04020 Supervise individual ferrous melting and casting operation</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2025-03-02T02:03:00Z</dcterms:created>
  <dcterms:modified xsi:type="dcterms:W3CDTF">2025-03-02T02:04:00Z</dcterms:modified>
</cp:coreProperties>
</file>