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1B5" w:rsidP="00526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MEM04019 Perform refractory installation and repair</w:t>
      </w:r>
      <w:r>
        <w:fldChar w:fldCharType="end"/>
      </w:r>
    </w:p>
    <w:p w:rsidR="005261B5" w:rsidP="005261B5">
      <w:pPr>
        <w:pStyle w:val="Version"/>
        <w:sectPr w:rsidSect="005C0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F1A" w:rsidP="005C0F1A">
      <w:pPr>
        <w:pStyle w:val="SuperHeading"/>
      </w:pPr>
      <w:r w:rsidRPr="005C0F1A">
        <w:t>MEM04019 Perform refractory installation and repair</w:t>
      </w:r>
    </w:p>
    <w:p w:rsidR="00000000" w:rsidRPr="005C0F1A" w:rsidP="005C0F1A">
      <w:pPr>
        <w:pStyle w:val="Heading1"/>
      </w:pPr>
      <w:bookmarkStart w:id="1" w:name="O_943194"/>
      <w:bookmarkEnd w:id="1"/>
      <w:r w:rsidRPr="005C0F1A">
        <w:t>Modification History</w:t>
      </w:r>
    </w:p>
    <w:p w:rsidR="00000000" w:rsidRPr="005C0F1A" w:rsidP="005261B5">
      <w:pPr>
        <w:pStyle w:val="BodyText"/>
      </w:pPr>
      <w:r w:rsidRPr="005C0F1A">
        <w:t xml:space="preserve">Release 1. Supersedes and is equivalent to MEM04019B Perform refractory installation and repair </w:t>
      </w:r>
    </w:p>
    <w:p w:rsidR="00000000" w:rsidRPr="005C0F1A" w:rsidP="005C0F1A">
      <w:pPr>
        <w:pStyle w:val="Heading1"/>
      </w:pPr>
      <w:bookmarkStart w:id="2" w:name="O_943202"/>
      <w:bookmarkEnd w:id="2"/>
      <w:r w:rsidRPr="005C0F1A">
        <w:t>Application</w:t>
      </w:r>
    </w:p>
    <w:p w:rsidR="00000000" w:rsidRPr="005C0F1A" w:rsidP="005261B5">
      <w:pPr>
        <w:pStyle w:val="BodyText"/>
      </w:pPr>
      <w:r w:rsidRPr="005C0F1A">
        <w:t>This unit of competency defines the skills and knowledge required to repair and install/replace all t</w:t>
      </w:r>
      <w:r w:rsidRPr="005C0F1A">
        <w:t>ypes of refractory, including relining furnaces, treatment vessels, ladles and launders.</w:t>
      </w:r>
    </w:p>
    <w:p w:rsidR="00000000" w:rsidRPr="005C0F1A" w:rsidP="005261B5">
      <w:pPr>
        <w:pStyle w:val="BodyText"/>
      </w:pPr>
      <w:r w:rsidRPr="005C0F1A">
        <w:t>It applies to the installation of the heat insulating material used inside molten metal vessels and includes material which can be machine rammed, hand rammed, forked</w:t>
      </w:r>
      <w:r w:rsidRPr="005C0F1A">
        <w:t xml:space="preserve"> or vibrated and includes refractory bricks and fibreboard.</w:t>
      </w:r>
    </w:p>
    <w:p w:rsidR="00000000" w:rsidRPr="005C0F1A" w:rsidP="005261B5">
      <w:pPr>
        <w:pStyle w:val="BodyText"/>
      </w:pPr>
      <w:r w:rsidRPr="005C0F1A">
        <w:t>Where routine repair/repointing of refractory during operational maintenance is required unit MEM04001 Operate melting furnaces and MEM04007 Pour molten metal, should also be selected as appropri</w:t>
      </w:r>
      <w:r w:rsidRPr="005C0F1A">
        <w:t>ate.</w:t>
      </w:r>
    </w:p>
    <w:p w:rsidR="00000000" w:rsidRPr="005C0F1A" w:rsidP="005261B5">
      <w:pPr>
        <w:pStyle w:val="BodyText"/>
      </w:pPr>
      <w:r w:rsidRPr="005C0F1A">
        <w:t>Where the interpretation of technical drawings is required unit MEM09002 Interpret technical drawing should also be selected.</w:t>
      </w:r>
    </w:p>
    <w:p w:rsidR="00000000" w:rsidRPr="005C0F1A" w:rsidP="005261B5">
      <w:pPr>
        <w:pStyle w:val="BodyText"/>
      </w:pPr>
      <w:r w:rsidRPr="005C0F1A">
        <w:t>No licensing, legislative or certification requirements apply to this unit at the time of publication.</w:t>
      </w:r>
    </w:p>
    <w:p w:rsidR="00000000" w:rsidRPr="005C0F1A" w:rsidP="005C0F1A">
      <w:pPr>
        <w:pStyle w:val="BodyText"/>
      </w:pPr>
      <w:r w:rsidRPr="005C0F1A">
        <w:rPr>
          <w:rStyle w:val="SpecialBold"/>
        </w:rPr>
        <w:t>Band:</w:t>
      </w:r>
      <w:r w:rsidRPr="005C0F1A">
        <w:rPr>
          <w:rStyle w:val="SpecialBold"/>
        </w:rPr>
        <w:tab/>
        <w:t>A</w:t>
      </w:r>
    </w:p>
    <w:p w:rsidR="00000000" w:rsidRPr="005C0F1A" w:rsidP="005C0F1A">
      <w:pPr>
        <w:pStyle w:val="BodyText"/>
      </w:pPr>
      <w:r w:rsidRPr="005C0F1A">
        <w:rPr>
          <w:rStyle w:val="SpecialBold"/>
        </w:rPr>
        <w:t>Unit Weight</w:t>
      </w:r>
      <w:r w:rsidRPr="005C0F1A">
        <w:rPr>
          <w:rStyle w:val="SpecialBold"/>
        </w:rPr>
        <w:t>:</w:t>
      </w:r>
      <w:r w:rsidRPr="005C0F1A">
        <w:rPr>
          <w:rStyle w:val="SpecialBold"/>
        </w:rPr>
        <w:tab/>
        <w:t>4</w:t>
      </w:r>
    </w:p>
    <w:p w:rsidR="00000000" w:rsidRPr="005C0F1A" w:rsidP="005C0F1A">
      <w:pPr>
        <w:pStyle w:val="AllowPageBreak"/>
      </w:pPr>
    </w:p>
    <w:p w:rsidR="00000000" w:rsidRPr="005C0F1A" w:rsidP="005C0F1A">
      <w:pPr>
        <w:pStyle w:val="Heading1"/>
      </w:pPr>
      <w:bookmarkStart w:id="3" w:name="O_943201"/>
      <w:bookmarkEnd w:id="3"/>
      <w:r w:rsidRPr="005C0F1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508"/>
      </w:tblGrid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MEM11011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Undertake manual handling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MEM12023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Perform engineering measurements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MEM12024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Perform computations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MEM13015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Work safely and effectively in manufacturing and engineering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MEM14006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Plan work activities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MEM16006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Organise and communicate information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MEM18001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Use hand tools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MEM18002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BodyText"/>
            </w:pPr>
            <w:r w:rsidRPr="005C0F1A">
              <w:t>Use power tools/hand held operations</w:t>
            </w:r>
          </w:p>
        </w:tc>
      </w:tr>
    </w:tbl>
    <w:p w:rsidR="00000000" w:rsidRPr="005C0F1A" w:rsidP="005C0F1A">
      <w:pPr>
        <w:pStyle w:val="BodyText"/>
      </w:pPr>
    </w:p>
    <w:p w:rsidR="00000000" w:rsidRPr="005C0F1A" w:rsidP="005C0F1A">
      <w:pPr>
        <w:pStyle w:val="AllowPageBreak"/>
      </w:pPr>
    </w:p>
    <w:p w:rsidR="00000000" w:rsidRPr="005C0F1A" w:rsidP="005C0F1A">
      <w:pPr>
        <w:pStyle w:val="Heading1"/>
      </w:pPr>
      <w:bookmarkStart w:id="4" w:name="O_943200"/>
      <w:bookmarkEnd w:id="4"/>
      <w:r w:rsidRPr="005C0F1A">
        <w:t>Competency Field</w:t>
      </w:r>
    </w:p>
    <w:p w:rsidR="00000000" w:rsidRPr="005C0F1A" w:rsidP="005261B5">
      <w:pPr>
        <w:pStyle w:val="BodyText"/>
      </w:pPr>
      <w:r w:rsidRPr="005C0F1A">
        <w:t>Casting and moulding</w:t>
      </w:r>
    </w:p>
    <w:p w:rsidR="00000000" w:rsidRPr="005C0F1A" w:rsidP="005C0F1A">
      <w:pPr>
        <w:pStyle w:val="Heading1"/>
      </w:pPr>
      <w:bookmarkStart w:id="5" w:name="O_943198"/>
      <w:bookmarkEnd w:id="5"/>
      <w:r w:rsidRPr="005C0F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Performance criteria describe the performance needed to demonstrate achievement of the element.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BodyText"/>
            </w:pPr>
            <w:r w:rsidRPr="005C0F1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Follow standard operating procedures (SOPs)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Comply with work health and safety (WHS) requirements at all times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Use appropriate personal protective equipment (PPE) in accordance with SOPs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Identify job requirements from specifications, sketches, job sheets or work instructions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BodyText"/>
            </w:pPr>
            <w:r w:rsidRPr="005C0F1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rPr>
                <w:rStyle w:val="SpecialBold"/>
              </w:rPr>
              <w:t>Inspect and knock out refractory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Identify specific areas of the refractory for repair or replacement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Determine sequence of operations to remove refractory to meet the job specification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Select appropriate tools and eq</w:t>
            </w:r>
            <w:r w:rsidRPr="005C0F1A">
              <w:t>uipment to safely remove damaged refractory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Remove and dispose of damaged refractory according to requirements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BodyText"/>
            </w:pPr>
            <w:r w:rsidRPr="005C0F1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rPr>
                <w:rStyle w:val="SpecialBold"/>
              </w:rPr>
              <w:t>Prepare refractory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Select appropriate refractory materials to meet specifications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Mix refractory media to requirements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BodyText"/>
            </w:pPr>
            <w:r w:rsidRPr="005C0F1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rPr>
                <w:rStyle w:val="SpecialBold"/>
              </w:rPr>
              <w:t>Install refractory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 xml:space="preserve">Determine installation of refractory sequence of operations 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 xml:space="preserve">Install refractory using appropriate tools, equipment and techniques </w:t>
            </w: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</w:p>
        </w:tc>
      </w:tr>
      <w:tr w:rsidTr="005C0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BodyText"/>
            </w:pPr>
            <w:r w:rsidRPr="005C0F1A"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rPr>
                <w:rStyle w:val="SpecialBold"/>
              </w:rPr>
              <w:t>Cure refractory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BodyText"/>
            </w:pPr>
            <w:r w:rsidRPr="005C0F1A">
              <w:t>Cure refractory to specifications using appropriate equipment, techniques and procedures</w:t>
            </w:r>
          </w:p>
        </w:tc>
      </w:tr>
    </w:tbl>
    <w:p w:rsidR="00000000" w:rsidRPr="005C0F1A" w:rsidP="005C0F1A">
      <w:pPr>
        <w:pStyle w:val="BodyText"/>
      </w:pPr>
    </w:p>
    <w:p w:rsidR="00000000" w:rsidRPr="005C0F1A" w:rsidP="005C0F1A">
      <w:pPr>
        <w:pStyle w:val="AllowPageBreak"/>
      </w:pPr>
    </w:p>
    <w:p w:rsidR="00000000" w:rsidRPr="005C0F1A" w:rsidP="005C0F1A">
      <w:pPr>
        <w:pStyle w:val="Heading1"/>
      </w:pPr>
      <w:bookmarkStart w:id="6" w:name="O_943197"/>
      <w:bookmarkEnd w:id="6"/>
      <w:r w:rsidRPr="005C0F1A">
        <w:t>Foundation Skills</w:t>
      </w:r>
    </w:p>
    <w:p w:rsidR="00000000" w:rsidRPr="005C0F1A" w:rsidP="005261B5">
      <w:pPr>
        <w:pStyle w:val="BodyText"/>
      </w:pPr>
      <w:r w:rsidRPr="005C0F1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C0F1A" w:rsidP="005261B5">
      <w:pPr>
        <w:pStyle w:val="BodyText"/>
      </w:pPr>
      <w:r w:rsidRPr="005C0F1A">
        <w:t xml:space="preserve">Foundation skills essential to performance are explicit in the performance criteria </w:t>
      </w:r>
      <w:r w:rsidRPr="005C0F1A">
        <w:t>of this unit of competency.</w:t>
      </w:r>
    </w:p>
    <w:p w:rsidR="00000000" w:rsidRPr="005C0F1A" w:rsidP="005C0F1A">
      <w:pPr>
        <w:pStyle w:val="Heading1"/>
      </w:pPr>
      <w:bookmarkStart w:id="7" w:name="O_943196"/>
      <w:bookmarkEnd w:id="7"/>
      <w:r w:rsidRPr="005C0F1A">
        <w:t>Range of Conditions</w:t>
      </w:r>
    </w:p>
    <w:tbl>
      <w:tblPr>
        <w:tblW w:w="93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99"/>
      </w:tblGrid>
      <w:tr w:rsidTr="005C0F1A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t>This field allows for different work environments and conditions that may affect performance. Essential operating conditions that may be present (depending on the work situation, needs of the</w:t>
            </w:r>
            <w:r w:rsidRPr="005C0F1A">
              <w:t xml:space="preserve"> candidate, accessibility of the item, and local industry and regional contexts) are included.</w:t>
            </w:r>
          </w:p>
        </w:tc>
      </w:tr>
      <w:tr w:rsidTr="005C0F1A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F1A">
            <w:pPr>
              <w:pStyle w:val="BodyText"/>
              <w:rPr>
                <w:lang w:val="en-NZ"/>
              </w:rPr>
            </w:pPr>
            <w:r w:rsidRPr="005C0F1A">
              <w:rPr>
                <w:rStyle w:val="SpecialBold"/>
              </w:rPr>
              <w:t>Installed includes one (1) or more of the following:</w:t>
            </w:r>
          </w:p>
        </w:tc>
        <w:tc>
          <w:tcPr>
            <w:tcW w:w="65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F1A" w:rsidP="005C0F1A">
            <w:pPr>
              <w:pStyle w:val="ListBullet"/>
            </w:pPr>
            <w:r w:rsidRPr="005C0F1A">
              <w:t>hand ramming</w:t>
            </w:r>
          </w:p>
          <w:p w:rsidR="00000000" w:rsidRPr="005C0F1A" w:rsidP="005C0F1A">
            <w:pPr>
              <w:pStyle w:val="ListBullet"/>
            </w:pPr>
            <w:r w:rsidRPr="005C0F1A">
              <w:t>machine ramming</w:t>
            </w:r>
          </w:p>
          <w:p w:rsidR="00000000" w:rsidRPr="005C0F1A" w:rsidP="005C0F1A">
            <w:pPr>
              <w:pStyle w:val="ListBullet"/>
            </w:pPr>
            <w:r w:rsidRPr="005C0F1A">
              <w:t>forked</w:t>
            </w:r>
          </w:p>
          <w:p w:rsidR="00000000" w:rsidRPr="005C0F1A" w:rsidP="005C0F1A">
            <w:pPr>
              <w:pStyle w:val="ListBullet"/>
            </w:pPr>
            <w:r w:rsidRPr="005C0F1A">
              <w:t>internal and external vibration</w:t>
            </w:r>
          </w:p>
          <w:p w:rsidR="00000000" w:rsidRPr="005C0F1A" w:rsidP="005C0F1A">
            <w:pPr>
              <w:pStyle w:val="BodyText"/>
            </w:pPr>
          </w:p>
        </w:tc>
      </w:tr>
    </w:tbl>
    <w:p w:rsidR="00000000" w:rsidRPr="005C0F1A" w:rsidP="005C0F1A">
      <w:pPr>
        <w:pStyle w:val="BodyText"/>
      </w:pPr>
    </w:p>
    <w:p w:rsidR="00000000" w:rsidRPr="005C0F1A" w:rsidP="005C0F1A">
      <w:pPr>
        <w:pStyle w:val="AllowPageBreak"/>
      </w:pPr>
    </w:p>
    <w:p w:rsidR="00000000" w:rsidRPr="005C0F1A" w:rsidP="005C0F1A">
      <w:pPr>
        <w:pStyle w:val="Heading1"/>
      </w:pPr>
      <w:bookmarkStart w:id="8" w:name="O_943195"/>
      <w:bookmarkEnd w:id="8"/>
      <w:r w:rsidRPr="005C0F1A">
        <w:t>Unit Mapping Information</w:t>
      </w:r>
    </w:p>
    <w:p w:rsidR="00000000" w:rsidRPr="005C0F1A" w:rsidP="005261B5">
      <w:pPr>
        <w:pStyle w:val="BodyText"/>
      </w:pPr>
      <w:r w:rsidRPr="005C0F1A">
        <w:t xml:space="preserve">Release 1. Supersedes and is equivalent to MEM04019B Perform refractory installation and repair </w:t>
      </w:r>
    </w:p>
    <w:p w:rsidR="00000000" w:rsidRPr="005C0F1A" w:rsidP="005C0F1A">
      <w:pPr>
        <w:pStyle w:val="Heading1"/>
      </w:pPr>
      <w:bookmarkStart w:id="9" w:name="O_943188"/>
      <w:bookmarkEnd w:id="9"/>
      <w:r w:rsidRPr="005C0F1A">
        <w:t>Links</w:t>
      </w:r>
    </w:p>
    <w:p w:rsidR="00000000" w:rsidRPr="005C0F1A" w:rsidP="005261B5">
      <w:pPr>
        <w:pStyle w:val="BodyText"/>
      </w:pPr>
      <w:r w:rsidRPr="005C0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16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C0F1A" w:rsidP="005C0F1A"/>
    <w:sectPr w:rsidSect="005C0F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1A" w:rsidRPr="005261B5" w:rsidP="00526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B5" w:rsidP="005C0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1B5" w:rsidP="005C0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61B5" w:rsidP="005C0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F1A" w:rsidRPr="005261B5" w:rsidP="00526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B5" w:rsidRPr="002D2AF8" w:rsidP="005C0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MEM04019 Perform refractory installation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261B5" w:rsidP="005C0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5CC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F8B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F1A"/>
  </w:style>
  <w:style w:type="character" w:customStyle="1" w:styleId="Heading1Char">
    <w:name w:val="Heading 1 Char"/>
    <w:basedOn w:val="DefaultParagraphFont"/>
    <w:link w:val="Heading1"/>
    <w:rsid w:val="005C0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F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F1A"/>
    <w:rPr>
      <w:b/>
      <w:spacing w:val="0"/>
    </w:rPr>
  </w:style>
  <w:style w:type="paragraph" w:customStyle="1" w:styleId="SuperHeading">
    <w:name w:val="SuperHeading"/>
    <w:basedOn w:val="Normal"/>
    <w:rsid w:val="005C0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F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F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F1A"/>
    <w:rPr>
      <w:i/>
    </w:rPr>
  </w:style>
  <w:style w:type="paragraph" w:styleId="Caption">
    <w:name w:val="caption"/>
    <w:basedOn w:val="BodyText"/>
    <w:next w:val="Normal"/>
    <w:qFormat/>
    <w:rsid w:val="005C0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F1A"/>
  </w:style>
  <w:style w:type="paragraph" w:styleId="TableofFigures">
    <w:name w:val="table of figures"/>
    <w:basedOn w:val="Normal"/>
    <w:next w:val="Normal"/>
    <w:semiHidden/>
    <w:rsid w:val="005C0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F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0F1A"/>
    <w:rPr>
      <w:rFonts w:ascii="Wingdings" w:hAnsi="Wingdings"/>
    </w:rPr>
  </w:style>
  <w:style w:type="paragraph" w:customStyle="1" w:styleId="TableHeading">
    <w:name w:val="Table Heading"/>
    <w:basedOn w:val="HeadingBase"/>
    <w:rsid w:val="005C0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F1A"/>
    <w:rPr>
      <w:color w:val="0033CC"/>
      <w:u w:val="none"/>
    </w:rPr>
  </w:style>
  <w:style w:type="paragraph" w:customStyle="1" w:styleId="BodyTextRight">
    <w:name w:val="Body Text Right"/>
    <w:basedOn w:val="BodyText"/>
    <w:rsid w:val="005C0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F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F1A"/>
    <w:rPr>
      <w:sz w:val="32"/>
    </w:rPr>
  </w:style>
  <w:style w:type="paragraph" w:customStyle="1" w:styleId="HeadingProcedure">
    <w:name w:val="Heading Procedure"/>
    <w:basedOn w:val="HeadingBase"/>
    <w:next w:val="Normal"/>
    <w:rsid w:val="005C0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F1A"/>
    <w:pPr>
      <w:spacing w:before="60" w:after="60"/>
    </w:pPr>
  </w:style>
  <w:style w:type="paragraph" w:styleId="ListContinue">
    <w:name w:val="List Continue"/>
    <w:basedOn w:val="List"/>
    <w:rsid w:val="005C0F1A"/>
    <w:pPr>
      <w:ind w:firstLine="0"/>
    </w:pPr>
  </w:style>
  <w:style w:type="paragraph" w:customStyle="1" w:styleId="ListNote">
    <w:name w:val="List Note"/>
    <w:basedOn w:val="List"/>
    <w:rsid w:val="005C0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F1A"/>
    <w:rPr>
      <w:rFonts w:ascii="Courier New" w:hAnsi="Courier New"/>
    </w:rPr>
  </w:style>
  <w:style w:type="paragraph" w:customStyle="1" w:styleId="NoteBullet">
    <w:name w:val="Note Bullet"/>
    <w:basedOn w:val="Note"/>
    <w:rsid w:val="005C0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F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F1A"/>
    <w:rPr>
      <w:b/>
      <w:smallCaps/>
    </w:rPr>
  </w:style>
  <w:style w:type="paragraph" w:customStyle="1" w:styleId="TableListNumber">
    <w:name w:val="Table List Number"/>
    <w:basedOn w:val="ListNumber"/>
    <w:rsid w:val="005C0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F1A"/>
    <w:pPr>
      <w:numPr>
        <w:numId w:val="8"/>
      </w:numPr>
    </w:pPr>
  </w:style>
  <w:style w:type="paragraph" w:customStyle="1" w:styleId="ListAlpha2">
    <w:name w:val="List Alpha 2"/>
    <w:basedOn w:val="List2"/>
    <w:rsid w:val="005C0F1A"/>
    <w:pPr>
      <w:numPr>
        <w:numId w:val="7"/>
      </w:numPr>
    </w:pPr>
  </w:style>
  <w:style w:type="paragraph" w:styleId="List2">
    <w:name w:val="List 2"/>
    <w:basedOn w:val="BodyText"/>
    <w:rsid w:val="005C0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F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F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0F1A"/>
    <w:pPr>
      <w:numPr>
        <w:numId w:val="3"/>
      </w:numPr>
    </w:pPr>
  </w:style>
  <w:style w:type="paragraph" w:styleId="ListContinue2">
    <w:name w:val="List Continue 2"/>
    <w:basedOn w:val="List2"/>
    <w:rsid w:val="005C0F1A"/>
    <w:pPr>
      <w:ind w:firstLine="0"/>
    </w:pPr>
  </w:style>
  <w:style w:type="paragraph" w:styleId="ListContinue3">
    <w:name w:val="List Continue 3"/>
    <w:basedOn w:val="List3"/>
    <w:rsid w:val="005C0F1A"/>
    <w:pPr>
      <w:ind w:left="1021" w:firstLine="0"/>
    </w:pPr>
  </w:style>
  <w:style w:type="paragraph" w:styleId="ListContinue4">
    <w:name w:val="List Continue 4"/>
    <w:basedOn w:val="List4"/>
    <w:rsid w:val="005C0F1A"/>
    <w:pPr>
      <w:ind w:firstLine="0"/>
    </w:pPr>
  </w:style>
  <w:style w:type="paragraph" w:styleId="ListContinue5">
    <w:name w:val="List Continue 5"/>
    <w:basedOn w:val="List5"/>
    <w:rsid w:val="005C0F1A"/>
    <w:pPr>
      <w:ind w:firstLine="0"/>
    </w:pPr>
  </w:style>
  <w:style w:type="paragraph" w:styleId="ListNumber3">
    <w:name w:val="List Number 3"/>
    <w:basedOn w:val="List3"/>
    <w:rsid w:val="005C0F1A"/>
    <w:pPr>
      <w:numPr>
        <w:numId w:val="4"/>
      </w:numPr>
    </w:pPr>
  </w:style>
  <w:style w:type="paragraph" w:styleId="ListNumber4">
    <w:name w:val="List Number 4"/>
    <w:basedOn w:val="List4"/>
    <w:rsid w:val="005C0F1A"/>
    <w:pPr>
      <w:numPr>
        <w:numId w:val="5"/>
      </w:numPr>
    </w:pPr>
  </w:style>
  <w:style w:type="paragraph" w:styleId="ListNumber5">
    <w:name w:val="List Number 5"/>
    <w:basedOn w:val="List5"/>
    <w:rsid w:val="005C0F1A"/>
    <w:pPr>
      <w:numPr>
        <w:numId w:val="6"/>
      </w:numPr>
    </w:pPr>
  </w:style>
  <w:style w:type="paragraph" w:styleId="BlockText">
    <w:name w:val="Block Text"/>
    <w:basedOn w:val="Normal"/>
    <w:rsid w:val="005C0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F1A"/>
    <w:rPr>
      <w:sz w:val="16"/>
      <w:vertAlign w:val="superscript"/>
    </w:rPr>
  </w:style>
  <w:style w:type="character" w:customStyle="1" w:styleId="Symbols">
    <w:name w:val="Symbols"/>
    <w:basedOn w:val="DefaultParagraphFont"/>
    <w:rsid w:val="005C0F1A"/>
    <w:rPr>
      <w:rFonts w:ascii="Symbol" w:hAnsi="Symbol"/>
    </w:rPr>
  </w:style>
  <w:style w:type="character" w:customStyle="1" w:styleId="MenuOptions">
    <w:name w:val="Menu Options"/>
    <w:basedOn w:val="DefaultParagraphFont"/>
    <w:rsid w:val="005C0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F1A"/>
    <w:rPr>
      <w:b/>
    </w:rPr>
  </w:style>
  <w:style w:type="character" w:customStyle="1" w:styleId="Underlined">
    <w:name w:val="Underlined"/>
    <w:basedOn w:val="DefaultParagraphFont"/>
    <w:rsid w:val="005C0F1A"/>
    <w:rPr>
      <w:u w:val="single"/>
    </w:rPr>
  </w:style>
  <w:style w:type="paragraph" w:customStyle="1" w:styleId="TableBodyTextRight">
    <w:name w:val="Table Body Text Right"/>
    <w:basedOn w:val="TableBodyText"/>
    <w:rsid w:val="005C0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F1A"/>
    <w:rPr>
      <w:sz w:val="18"/>
    </w:rPr>
  </w:style>
  <w:style w:type="paragraph" w:customStyle="1" w:styleId="BodySmallRight">
    <w:name w:val="Body Small Right"/>
    <w:basedOn w:val="BodyTextRight"/>
    <w:rsid w:val="005C0F1A"/>
    <w:rPr>
      <w:sz w:val="18"/>
      <w:szCs w:val="18"/>
    </w:rPr>
  </w:style>
  <w:style w:type="paragraph" w:customStyle="1" w:styleId="MarginEdition">
    <w:name w:val="Margin Edition"/>
    <w:basedOn w:val="MarginNote"/>
    <w:rsid w:val="005C0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F1A"/>
    <w:rPr>
      <w:sz w:val="2"/>
      <w:szCs w:val="2"/>
    </w:rPr>
  </w:style>
  <w:style w:type="character" w:customStyle="1" w:styleId="Small">
    <w:name w:val="Small"/>
    <w:basedOn w:val="DefaultParagraphFont"/>
    <w:rsid w:val="005C0F1A"/>
    <w:rPr>
      <w:sz w:val="16"/>
    </w:rPr>
  </w:style>
  <w:style w:type="paragraph" w:customStyle="1" w:styleId="WideTable">
    <w:name w:val="Wide Table"/>
    <w:basedOn w:val="Normal"/>
    <w:rsid w:val="005C0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F1A"/>
  </w:style>
  <w:style w:type="paragraph" w:styleId="Quote">
    <w:name w:val="Quote"/>
    <w:basedOn w:val="Heading1"/>
    <w:link w:val="QuoteChar"/>
    <w:qFormat/>
    <w:rsid w:val="005C0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F1A"/>
    <w:pPr>
      <w:pageBreakBefore/>
    </w:pPr>
  </w:style>
  <w:style w:type="paragraph" w:customStyle="1" w:styleId="Border">
    <w:name w:val="Border"/>
    <w:basedOn w:val="Normal"/>
    <w:qFormat/>
    <w:rsid w:val="005C0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F1A"/>
    <w:rPr>
      <w:u w:val="single"/>
    </w:rPr>
  </w:style>
  <w:style w:type="character" w:customStyle="1" w:styleId="BoldandItalics">
    <w:name w:val="Bold and Italics"/>
    <w:qFormat/>
    <w:rsid w:val="005C0F1A"/>
    <w:rPr>
      <w:b/>
      <w:i/>
      <w:u w:val="none"/>
    </w:rPr>
  </w:style>
  <w:style w:type="paragraph" w:styleId="BalloonText">
    <w:name w:val="Balloon Text"/>
    <w:basedOn w:val="Normal"/>
    <w:link w:val="BalloonTextChar"/>
    <w:rsid w:val="005C0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F1A"/>
    <w:pPr>
      <w:spacing w:before="0" w:after="0"/>
    </w:pPr>
  </w:style>
  <w:style w:type="paragraph" w:customStyle="1" w:styleId="BodyTextBold">
    <w:name w:val="Body Text Bold"/>
    <w:basedOn w:val="BodyText"/>
    <w:qFormat/>
    <w:rsid w:val="005C0F1A"/>
    <w:rPr>
      <w:b/>
    </w:rPr>
  </w:style>
  <w:style w:type="character" w:styleId="Hyperlink">
    <w:name w:val="Hyperlink"/>
    <w:basedOn w:val="DefaultParagraphFont"/>
    <w:uiPriority w:val="99"/>
    <w:unhideWhenUsed/>
    <w:rsid w:val="00526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3442</Characters>
  <Application>Microsoft Office Word</Application>
  <DocSecurity>0</DocSecurity>
  <Lines>172</Lines>
  <Paragraphs>101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MEM04019 Perform refractory installation and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