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6E1" w:rsidP="008236E1">
      <w:pPr>
        <w:pStyle w:val="Title"/>
      </w:pPr>
      <w:r>
        <w:fldChar w:fldCharType="begin"/>
      </w:r>
      <w:r>
        <w:instrText xml:space="preserve"> TITLE   \* MERGEFORMAT </w:instrText>
      </w:r>
      <w:r>
        <w:fldChar w:fldCharType="separate"/>
      </w:r>
      <w:r>
        <w:t>MEM04018 Perform general woodworking machine operations</w:t>
      </w:r>
      <w:r>
        <w:fldChar w:fldCharType="end"/>
      </w:r>
    </w:p>
    <w:p w:rsidR="008236E1" w:rsidP="008236E1">
      <w:pPr>
        <w:pStyle w:val="Version"/>
        <w:sectPr w:rsidSect="00232A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2AD0" w:rsidP="00232AD0">
      <w:pPr>
        <w:pStyle w:val="SuperHeading"/>
      </w:pPr>
      <w:r w:rsidRPr="00232AD0">
        <w:t>MEM04018 Perform general woodworking machine operations</w:t>
      </w:r>
    </w:p>
    <w:p w:rsidR="00000000" w:rsidRPr="00232AD0" w:rsidP="00232AD0">
      <w:pPr>
        <w:pStyle w:val="Heading1"/>
      </w:pPr>
      <w:bookmarkStart w:id="1" w:name="O_943175"/>
      <w:bookmarkEnd w:id="1"/>
      <w:r w:rsidRPr="00232AD0">
        <w:t>Modification History</w:t>
      </w:r>
    </w:p>
    <w:p w:rsidR="00000000" w:rsidRPr="00232AD0" w:rsidP="008236E1">
      <w:pPr>
        <w:pStyle w:val="BodyText"/>
      </w:pPr>
      <w:r w:rsidRPr="00232AD0">
        <w:t xml:space="preserve">Release 1. Supersedes and is equivalent to MEM04018B Perform general woodworking machine operations </w:t>
      </w:r>
    </w:p>
    <w:p w:rsidR="00000000" w:rsidRPr="00232AD0" w:rsidP="00232AD0">
      <w:pPr>
        <w:pStyle w:val="Heading1"/>
      </w:pPr>
      <w:bookmarkStart w:id="2" w:name="O_943183"/>
      <w:bookmarkEnd w:id="2"/>
      <w:r w:rsidRPr="00232AD0">
        <w:t>Application</w:t>
      </w:r>
    </w:p>
    <w:p w:rsidR="00000000" w:rsidRPr="00232AD0" w:rsidP="008236E1">
      <w:pPr>
        <w:pStyle w:val="BodyText"/>
      </w:pPr>
      <w:r w:rsidRPr="00232AD0">
        <w:t>This unit of competency defines the skills and knowledge required to set up and operate w</w:t>
      </w:r>
      <w:r w:rsidRPr="00232AD0">
        <w:t xml:space="preserve">oodworking machines used by engineering patternmakers and marine fabricators. </w:t>
      </w:r>
    </w:p>
    <w:p w:rsidR="00000000" w:rsidRPr="00232AD0" w:rsidP="008236E1">
      <w:pPr>
        <w:pStyle w:val="BodyText"/>
      </w:pPr>
      <w:r w:rsidRPr="00232AD0">
        <w:t>Where the interpretation of technical drawings is required unit MEM09002 Interpret technical drawing should also be selected.</w:t>
      </w:r>
    </w:p>
    <w:p w:rsidR="00000000" w:rsidRPr="00232AD0" w:rsidP="008236E1">
      <w:pPr>
        <w:pStyle w:val="BodyText"/>
      </w:pPr>
      <w:r w:rsidRPr="00232AD0">
        <w:t>Where the selection and use of power tools for ha</w:t>
      </w:r>
      <w:r w:rsidRPr="00232AD0">
        <w:t>nd held operations is required unit MEM18002 Use power tools/hand held operations should also be selected.</w:t>
      </w:r>
    </w:p>
    <w:p w:rsidR="00000000" w:rsidRPr="00232AD0" w:rsidP="008236E1">
      <w:pPr>
        <w:pStyle w:val="BodyText"/>
      </w:pPr>
      <w:r w:rsidRPr="00232AD0">
        <w:rPr>
          <w:rStyle w:val="SpecialBold"/>
        </w:rPr>
        <w:t>Note:</w:t>
      </w:r>
      <w:r w:rsidRPr="00232AD0">
        <w:t xml:space="preserve"> This unit does not cover the use of woodworking machines for furniture and building construction.</w:t>
      </w:r>
    </w:p>
    <w:p w:rsidR="00000000" w:rsidRPr="00232AD0" w:rsidP="008236E1">
      <w:pPr>
        <w:pStyle w:val="BodyText"/>
      </w:pPr>
      <w:r w:rsidRPr="00232AD0">
        <w:t xml:space="preserve">No licensing, legislative or certification </w:t>
      </w:r>
      <w:r w:rsidRPr="00232AD0">
        <w:t>requirements apply to this unit at the time of publication.</w:t>
      </w:r>
    </w:p>
    <w:p w:rsidR="00000000" w:rsidRPr="00232AD0" w:rsidP="00232AD0">
      <w:pPr>
        <w:pStyle w:val="BodyText"/>
      </w:pPr>
      <w:r w:rsidRPr="00232AD0">
        <w:rPr>
          <w:rStyle w:val="SpecialBold"/>
        </w:rPr>
        <w:t>Band:</w:t>
      </w:r>
      <w:r w:rsidRPr="00232AD0">
        <w:rPr>
          <w:rStyle w:val="SpecialBold"/>
        </w:rPr>
        <w:tab/>
        <w:t>A</w:t>
      </w:r>
    </w:p>
    <w:p w:rsidR="00000000" w:rsidRPr="00232AD0" w:rsidP="00232AD0">
      <w:pPr>
        <w:pStyle w:val="BodyText"/>
      </w:pPr>
      <w:r w:rsidRPr="00232AD0">
        <w:rPr>
          <w:rStyle w:val="SpecialBold"/>
        </w:rPr>
        <w:t>Unit Weight:</w:t>
      </w:r>
      <w:r w:rsidRPr="00232AD0">
        <w:rPr>
          <w:rStyle w:val="SpecialBold"/>
        </w:rPr>
        <w:tab/>
        <w:t>4</w:t>
      </w:r>
    </w:p>
    <w:p w:rsidR="00000000" w:rsidRPr="00232AD0" w:rsidP="00232AD0">
      <w:pPr>
        <w:pStyle w:val="AllowPageBreak"/>
      </w:pPr>
    </w:p>
    <w:p w:rsidR="00000000" w:rsidRPr="00232AD0" w:rsidP="00232AD0">
      <w:pPr>
        <w:pStyle w:val="Heading1"/>
      </w:pPr>
      <w:bookmarkStart w:id="3" w:name="O_943182"/>
      <w:bookmarkEnd w:id="3"/>
      <w:r w:rsidRPr="00232AD0">
        <w:t>Pre-requisite Unit</w:t>
      </w:r>
    </w:p>
    <w:tbl>
      <w:tblPr>
        <w:tblW w:w="0" w:type="auto"/>
        <w:tblLayout w:type="fixed"/>
        <w:tblCellMar>
          <w:left w:w="62" w:type="dxa"/>
          <w:right w:w="62" w:type="dxa"/>
        </w:tblCellMar>
        <w:tblLook w:val="0000"/>
      </w:tblPr>
      <w:tblGrid>
        <w:gridCol w:w="2258"/>
        <w:gridCol w:w="6508"/>
      </w:tblGrid>
      <w:tr w:rsidTr="00232AD0">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MEM11011</w:t>
            </w:r>
          </w:p>
        </w:tc>
        <w:tc>
          <w:tcPr>
            <w:tcW w:w="6508"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Undertake manual handling</w:t>
            </w:r>
          </w:p>
        </w:tc>
      </w:tr>
      <w:tr w:rsidTr="00232AD0">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MEM12023</w:t>
            </w:r>
          </w:p>
        </w:tc>
        <w:tc>
          <w:tcPr>
            <w:tcW w:w="6508"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Perform engineering measurements</w:t>
            </w:r>
          </w:p>
        </w:tc>
      </w:tr>
      <w:tr w:rsidTr="00232AD0">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MEM13015</w:t>
            </w:r>
          </w:p>
        </w:tc>
        <w:tc>
          <w:tcPr>
            <w:tcW w:w="6508"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Work safely and effectively in manufacturing and engineering</w:t>
            </w:r>
          </w:p>
        </w:tc>
      </w:tr>
      <w:tr w:rsidTr="00232AD0">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MEM16006</w:t>
            </w:r>
          </w:p>
        </w:tc>
        <w:tc>
          <w:tcPr>
            <w:tcW w:w="6508"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Organise and communicate information</w:t>
            </w:r>
          </w:p>
        </w:tc>
      </w:tr>
      <w:tr w:rsidTr="00232AD0">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MEM18001</w:t>
            </w:r>
          </w:p>
        </w:tc>
        <w:tc>
          <w:tcPr>
            <w:tcW w:w="6508" w:type="dxa"/>
            <w:tcBorders>
              <w:top w:val="nil"/>
              <w:left w:val="nil"/>
              <w:bottom w:val="nil"/>
              <w:right w:val="nil"/>
            </w:tcBorders>
            <w:tcMar>
              <w:top w:w="0" w:type="dxa"/>
              <w:left w:w="62" w:type="dxa"/>
              <w:bottom w:w="0" w:type="dxa"/>
              <w:right w:w="62" w:type="dxa"/>
            </w:tcMar>
          </w:tcPr>
          <w:p w:rsidR="00000000" w:rsidRPr="00232AD0" w:rsidP="00232AD0">
            <w:pPr>
              <w:pStyle w:val="BodyText"/>
            </w:pPr>
            <w:r w:rsidRPr="00232AD0">
              <w:t>Use hand tools</w:t>
            </w:r>
          </w:p>
        </w:tc>
      </w:tr>
    </w:tbl>
    <w:p w:rsidR="00000000" w:rsidRPr="00232AD0" w:rsidP="00232AD0">
      <w:pPr>
        <w:pStyle w:val="BodyText"/>
      </w:pPr>
    </w:p>
    <w:p w:rsidR="00000000" w:rsidRPr="00232AD0" w:rsidP="00232AD0">
      <w:pPr>
        <w:pStyle w:val="AllowPageBreak"/>
      </w:pPr>
    </w:p>
    <w:p w:rsidR="00000000" w:rsidRPr="00232AD0" w:rsidP="00232AD0">
      <w:pPr>
        <w:pStyle w:val="Heading1"/>
      </w:pPr>
      <w:bookmarkStart w:id="4" w:name="O_943181"/>
      <w:bookmarkEnd w:id="4"/>
      <w:r w:rsidRPr="00232AD0">
        <w:t>Competency Field</w:t>
      </w:r>
    </w:p>
    <w:p w:rsidR="00000000" w:rsidRPr="00232AD0" w:rsidP="008236E1">
      <w:pPr>
        <w:pStyle w:val="BodyText"/>
      </w:pPr>
      <w:r w:rsidRPr="00232AD0">
        <w:t>Casting and moulding</w:t>
      </w:r>
    </w:p>
    <w:p w:rsidR="00000000" w:rsidRPr="00232AD0" w:rsidP="00232AD0">
      <w:pPr>
        <w:pStyle w:val="Heading1"/>
      </w:pPr>
      <w:bookmarkStart w:id="5" w:name="O_943179"/>
      <w:bookmarkEnd w:id="5"/>
      <w:r w:rsidRPr="00232AD0">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232AD0">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Elements descri</w:t>
            </w:r>
            <w:r w:rsidRPr="00232AD0">
              <w:t>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Performance criteria describe the performance needed to demonstrate achievement of the element.</w:t>
            </w:r>
          </w:p>
        </w:tc>
      </w:tr>
      <w:tr w:rsidTr="00232A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32AD0" w:rsidP="00232AD0">
            <w:pPr>
              <w:pStyle w:val="BodyText"/>
            </w:pPr>
            <w:r w:rsidRPr="00232AD0">
              <w:t>1</w:t>
            </w:r>
          </w:p>
        </w:tc>
        <w:tc>
          <w:tcPr>
            <w:tcW w:w="1986" w:type="dxa"/>
            <w:vMerge w:val="restart"/>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1.1</w:t>
            </w:r>
          </w:p>
        </w:tc>
        <w:tc>
          <w:tcPr>
            <w:tcW w:w="5678"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Follow standard operating procedures (SOPs)</w:t>
            </w:r>
          </w:p>
        </w:tc>
      </w:tr>
      <w:tr w:rsidTr="00232A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1.2</w:t>
            </w:r>
          </w:p>
        </w:tc>
        <w:tc>
          <w:tcPr>
            <w:tcW w:w="5678"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Comply with work health and safety (WHS) requirements at all times</w:t>
            </w:r>
          </w:p>
        </w:tc>
      </w:tr>
      <w:tr w:rsidTr="00232A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1.3</w:t>
            </w:r>
          </w:p>
        </w:tc>
        <w:tc>
          <w:tcPr>
            <w:tcW w:w="5678"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Use appropriate personal protective equipment (PPE) in accordance with SOPs</w:t>
            </w:r>
          </w:p>
        </w:tc>
      </w:tr>
      <w:tr w:rsidTr="00232A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1.4</w:t>
            </w:r>
          </w:p>
        </w:tc>
        <w:tc>
          <w:tcPr>
            <w:tcW w:w="5678"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Identify job requirements from specifications, sketches, job sheets or work instructions</w:t>
            </w:r>
          </w:p>
        </w:tc>
      </w:tr>
      <w:tr w:rsidTr="00232AD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32AD0">
            <w:pPr>
              <w:pStyle w:val="BodyText"/>
              <w:rPr>
                <w:lang w:val="en-NZ"/>
              </w:rPr>
            </w:pPr>
          </w:p>
        </w:tc>
      </w:tr>
      <w:tr w:rsidTr="00232A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32AD0" w:rsidP="00232AD0">
            <w:pPr>
              <w:pStyle w:val="BodyText"/>
            </w:pPr>
            <w:r w:rsidRPr="00232AD0">
              <w:t>2</w:t>
            </w:r>
          </w:p>
        </w:tc>
        <w:tc>
          <w:tcPr>
            <w:tcW w:w="1986" w:type="dxa"/>
            <w:vMerge w:val="restart"/>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rPr>
                <w:rStyle w:val="SpecialBold"/>
              </w:rPr>
              <w:t>Set up woodworking machines</w:t>
            </w:r>
          </w:p>
        </w:tc>
        <w:tc>
          <w:tcPr>
            <w:tcW w:w="779"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2.1</w:t>
            </w:r>
          </w:p>
        </w:tc>
        <w:tc>
          <w:tcPr>
            <w:tcW w:w="5678"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Select appropriate woodworking machine to meet specifications</w:t>
            </w:r>
          </w:p>
        </w:tc>
      </w:tr>
      <w:tr w:rsidTr="00232A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2.2</w:t>
            </w:r>
          </w:p>
        </w:tc>
        <w:tc>
          <w:tcPr>
            <w:tcW w:w="5678"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Select tools and cutters appropriate to task requirements</w:t>
            </w:r>
          </w:p>
        </w:tc>
      </w:tr>
      <w:tr w:rsidTr="00232A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2.3</w:t>
            </w:r>
          </w:p>
        </w:tc>
        <w:tc>
          <w:tcPr>
            <w:tcW w:w="5678"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Sharpen and/or shape cutting tools as required</w:t>
            </w:r>
          </w:p>
        </w:tc>
      </w:tr>
      <w:tr w:rsidTr="00232A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2.4</w:t>
            </w:r>
          </w:p>
        </w:tc>
        <w:tc>
          <w:tcPr>
            <w:tcW w:w="5678"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Install tools and cutters in an appropriate manner according to procedures</w:t>
            </w:r>
          </w:p>
        </w:tc>
      </w:tr>
      <w:tr w:rsidTr="00232A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2.5</w:t>
            </w:r>
          </w:p>
        </w:tc>
        <w:tc>
          <w:tcPr>
            <w:tcW w:w="5678"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 xml:space="preserve">Set and adjust guards and stops </w:t>
            </w:r>
          </w:p>
        </w:tc>
      </w:tr>
      <w:tr w:rsidTr="00232AD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32AD0">
            <w:pPr>
              <w:pStyle w:val="BodyText"/>
              <w:rPr>
                <w:lang w:val="en-NZ"/>
              </w:rPr>
            </w:pPr>
          </w:p>
        </w:tc>
      </w:tr>
      <w:tr w:rsidTr="00232A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32AD0" w:rsidP="00232AD0">
            <w:pPr>
              <w:pStyle w:val="BodyText"/>
            </w:pPr>
            <w:r w:rsidRPr="00232AD0">
              <w:t>3</w:t>
            </w:r>
          </w:p>
        </w:tc>
        <w:tc>
          <w:tcPr>
            <w:tcW w:w="1986" w:type="dxa"/>
            <w:vMerge w:val="restart"/>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rPr>
                <w:rStyle w:val="SpecialBold"/>
              </w:rPr>
              <w:t>Operate woodworking machines</w:t>
            </w:r>
          </w:p>
        </w:tc>
        <w:tc>
          <w:tcPr>
            <w:tcW w:w="779"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3.1</w:t>
            </w:r>
          </w:p>
        </w:tc>
        <w:tc>
          <w:tcPr>
            <w:tcW w:w="5678"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Position and secure material to be machined</w:t>
            </w:r>
          </w:p>
        </w:tc>
      </w:tr>
      <w:tr w:rsidTr="00232A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3.2</w:t>
            </w:r>
          </w:p>
        </w:tc>
        <w:tc>
          <w:tcPr>
            <w:tcW w:w="5678"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 xml:space="preserve">Machine materials to specification </w:t>
            </w:r>
          </w:p>
        </w:tc>
      </w:tr>
      <w:tr w:rsidTr="00232A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3.3</w:t>
            </w:r>
          </w:p>
        </w:tc>
        <w:tc>
          <w:tcPr>
            <w:tcW w:w="5678"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Optimise material use and minimise waste</w:t>
            </w:r>
          </w:p>
        </w:tc>
      </w:tr>
      <w:tr w:rsidTr="00232AD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32AD0">
            <w:pPr>
              <w:pStyle w:val="BodyText"/>
              <w:rPr>
                <w:lang w:val="en-NZ"/>
              </w:rPr>
            </w:pPr>
          </w:p>
        </w:tc>
      </w:tr>
      <w:tr w:rsidTr="00232A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32AD0" w:rsidP="00232AD0">
            <w:pPr>
              <w:pStyle w:val="BodyText"/>
            </w:pPr>
            <w:r w:rsidRPr="00232AD0">
              <w:t>4</w:t>
            </w:r>
          </w:p>
        </w:tc>
        <w:tc>
          <w:tcPr>
            <w:tcW w:w="1986"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rPr>
                <w:rStyle w:val="SpecialBold"/>
              </w:rPr>
              <w:t>Check finished component</w:t>
            </w:r>
          </w:p>
        </w:tc>
        <w:tc>
          <w:tcPr>
            <w:tcW w:w="779"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4.1</w:t>
            </w:r>
          </w:p>
        </w:tc>
        <w:tc>
          <w:tcPr>
            <w:tcW w:w="5678" w:type="dxa"/>
            <w:tcBorders>
              <w:top w:val="nil"/>
              <w:left w:val="nil"/>
              <w:bottom w:val="nil"/>
              <w:right w:val="nil"/>
            </w:tcBorders>
            <w:tcMar>
              <w:top w:w="0" w:type="dxa"/>
              <w:left w:w="62" w:type="dxa"/>
              <w:bottom w:w="0" w:type="dxa"/>
              <w:right w:w="62" w:type="dxa"/>
            </w:tcMar>
          </w:tcPr>
          <w:p w:rsidR="00000000" w:rsidRPr="00232AD0" w:rsidP="00232AD0">
            <w:pPr>
              <w:pStyle w:val="BodyText"/>
            </w:pPr>
            <w:r w:rsidRPr="00232AD0">
              <w:t>Check machined component against specifications and predetermined finish</w:t>
            </w:r>
          </w:p>
        </w:tc>
      </w:tr>
    </w:tbl>
    <w:p w:rsidR="00000000" w:rsidRPr="00232AD0" w:rsidP="00232AD0">
      <w:pPr>
        <w:pStyle w:val="BodyText"/>
      </w:pPr>
    </w:p>
    <w:p w:rsidR="00000000" w:rsidRPr="00232AD0" w:rsidP="00232AD0">
      <w:pPr>
        <w:pStyle w:val="AllowPageBreak"/>
      </w:pPr>
    </w:p>
    <w:p w:rsidR="00000000" w:rsidRPr="00232AD0" w:rsidP="00232AD0">
      <w:pPr>
        <w:pStyle w:val="Heading1"/>
      </w:pPr>
      <w:bookmarkStart w:id="6" w:name="O_943178"/>
      <w:bookmarkEnd w:id="6"/>
      <w:r w:rsidRPr="00232AD0">
        <w:t>Foundation Skills</w:t>
      </w:r>
    </w:p>
    <w:p w:rsidR="00000000" w:rsidRPr="00232AD0" w:rsidP="008236E1">
      <w:pPr>
        <w:pStyle w:val="BodyText"/>
      </w:pPr>
      <w:r w:rsidRPr="00232AD0">
        <w:t>This section describes those required skills (reading, writing,</w:t>
      </w:r>
      <w:r w:rsidRPr="00232AD0">
        <w:t xml:space="preserve"> oral communication and numeracy) that are essential to workplace performance in this unit of competency.  </w:t>
      </w:r>
    </w:p>
    <w:p w:rsidR="00000000" w:rsidRPr="00232AD0" w:rsidP="008236E1">
      <w:pPr>
        <w:pStyle w:val="BodyText"/>
      </w:pPr>
      <w:r w:rsidRPr="00232AD0">
        <w:t>Foundation skills essential to performance are explicit in the performance criteria of this unit of competency.</w:t>
      </w:r>
    </w:p>
    <w:p w:rsidR="00000000" w:rsidRPr="00232AD0" w:rsidP="00232AD0">
      <w:pPr>
        <w:pStyle w:val="Heading1"/>
      </w:pPr>
      <w:bookmarkStart w:id="7" w:name="O_943177"/>
      <w:bookmarkEnd w:id="7"/>
      <w:r w:rsidRPr="00232AD0">
        <w:t>Range of Condition</w:t>
      </w:r>
      <w:r w:rsidRPr="00232AD0">
        <w:t>s</w:t>
      </w:r>
    </w:p>
    <w:tbl>
      <w:tblPr>
        <w:tblW w:w="9358" w:type="dxa"/>
        <w:tblLayout w:type="fixed"/>
        <w:tblCellMar>
          <w:left w:w="62" w:type="dxa"/>
          <w:right w:w="62" w:type="dxa"/>
        </w:tblCellMar>
        <w:tblLook w:val="0000"/>
      </w:tblPr>
      <w:tblGrid>
        <w:gridCol w:w="3289"/>
        <w:gridCol w:w="6069"/>
      </w:tblGrid>
      <w:tr w:rsidTr="00232AD0">
        <w:tblPrEx>
          <w:tblW w:w="9358" w:type="dxa"/>
          <w:tblLayout w:type="fixed"/>
          <w:tblCellMar>
            <w:left w:w="62" w:type="dxa"/>
            <w:right w:w="62" w:type="dxa"/>
          </w:tblCellMar>
          <w:tblLook w:val="0000"/>
        </w:tblPrEx>
        <w:trPr>
          <w:tblHeader/>
        </w:trPr>
        <w:tc>
          <w:tcPr>
            <w:tcW w:w="9358" w:type="dxa"/>
            <w:gridSpan w:val="2"/>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t>This field allows for different work environments and conditions that may affect performance. Essential operating conditions that may be present (depending on the work situation, needs of the candidate, accessibility of the item, and local industry and r</w:t>
            </w:r>
            <w:r w:rsidRPr="00232AD0">
              <w:t>egional contexts) are included.</w:t>
            </w:r>
          </w:p>
        </w:tc>
      </w:tr>
      <w:tr w:rsidTr="00232AD0">
        <w:tblPrEx>
          <w:tblW w:w="9358" w:type="dxa"/>
          <w:tblLayout w:type="fixed"/>
          <w:tblCellMar>
            <w:left w:w="62" w:type="dxa"/>
            <w:right w:w="62" w:type="dxa"/>
          </w:tblCellMar>
          <w:tblLook w:val="0000"/>
        </w:tblPrEx>
        <w:tc>
          <w:tcPr>
            <w:tcW w:w="3289"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rPr>
                <w:rStyle w:val="SpecialBold"/>
              </w:rPr>
              <w:t>Job requirements include one (1) or more of the following:</w:t>
            </w:r>
          </w:p>
        </w:tc>
        <w:tc>
          <w:tcPr>
            <w:tcW w:w="6069" w:type="dxa"/>
            <w:tcBorders>
              <w:top w:val="nil"/>
              <w:left w:val="nil"/>
              <w:bottom w:val="nil"/>
              <w:right w:val="nil"/>
            </w:tcBorders>
            <w:tcMar>
              <w:top w:w="0" w:type="dxa"/>
              <w:left w:w="62" w:type="dxa"/>
              <w:bottom w:w="0" w:type="dxa"/>
              <w:right w:w="62" w:type="dxa"/>
            </w:tcMar>
          </w:tcPr>
          <w:p w:rsidR="00000000" w:rsidRPr="00232AD0" w:rsidP="00232AD0">
            <w:pPr>
              <w:pStyle w:val="ListBullet"/>
            </w:pPr>
            <w:r w:rsidRPr="00232AD0">
              <w:t>sizing</w:t>
            </w:r>
          </w:p>
          <w:p w:rsidR="00000000" w:rsidRPr="00232AD0" w:rsidP="00232AD0">
            <w:pPr>
              <w:pStyle w:val="ListBullet"/>
            </w:pPr>
            <w:r w:rsidRPr="00232AD0">
              <w:t>appearance in terms of figure, grain or surface finish</w:t>
            </w:r>
          </w:p>
          <w:p w:rsidR="00000000" w:rsidRPr="00232AD0" w:rsidP="00232AD0">
            <w:pPr>
              <w:pStyle w:val="ListBullet"/>
            </w:pPr>
            <w:r w:rsidRPr="00232AD0">
              <w:t>allowance of imperfections, including:</w:t>
            </w:r>
          </w:p>
          <w:p w:rsidR="00000000" w:rsidRPr="00232AD0" w:rsidP="00232AD0">
            <w:pPr>
              <w:pStyle w:val="ListBullet2"/>
            </w:pPr>
            <w:r w:rsidRPr="00232AD0">
              <w:t>twist</w:t>
            </w:r>
          </w:p>
          <w:p w:rsidR="00000000" w:rsidRPr="00232AD0" w:rsidP="00232AD0">
            <w:pPr>
              <w:pStyle w:val="ListBullet2"/>
            </w:pPr>
            <w:r w:rsidRPr="00232AD0">
              <w:t>bow</w:t>
            </w:r>
          </w:p>
          <w:p w:rsidR="00000000" w:rsidRPr="00232AD0" w:rsidP="00232AD0">
            <w:pPr>
              <w:pStyle w:val="ListBullet2"/>
            </w:pPr>
            <w:r w:rsidRPr="00232AD0">
              <w:t>bend</w:t>
            </w:r>
          </w:p>
          <w:p w:rsidR="00000000" w:rsidRPr="00232AD0" w:rsidP="00232AD0">
            <w:pPr>
              <w:pStyle w:val="ListBullet2"/>
            </w:pPr>
            <w:r w:rsidRPr="00232AD0">
              <w:t>sloping grain</w:t>
            </w:r>
          </w:p>
          <w:p w:rsidR="00000000" w:rsidRPr="00232AD0" w:rsidP="00232AD0">
            <w:pPr>
              <w:pStyle w:val="ListBullet2"/>
            </w:pPr>
            <w:r w:rsidRPr="00232AD0">
              <w:t>knots</w:t>
            </w:r>
          </w:p>
          <w:p w:rsidR="00000000" w:rsidRPr="00232AD0" w:rsidP="00232AD0">
            <w:pPr>
              <w:pStyle w:val="ListBullet2"/>
            </w:pPr>
            <w:r w:rsidRPr="00232AD0">
              <w:t>shakes</w:t>
            </w:r>
          </w:p>
          <w:p w:rsidR="00000000" w:rsidRPr="00232AD0" w:rsidP="00232AD0">
            <w:pPr>
              <w:pStyle w:val="ListBullet2"/>
            </w:pPr>
            <w:r w:rsidRPr="00232AD0">
              <w:t xml:space="preserve">gum veins </w:t>
            </w:r>
          </w:p>
          <w:p w:rsidR="00000000" w:rsidP="00232AD0">
            <w:pPr>
              <w:pStyle w:val="BodyText"/>
              <w:rPr>
                <w:lang w:val="en-NZ"/>
              </w:rPr>
            </w:pPr>
          </w:p>
        </w:tc>
      </w:tr>
      <w:tr w:rsidTr="00232AD0">
        <w:tblPrEx>
          <w:tblW w:w="9358" w:type="dxa"/>
          <w:tblLayout w:type="fixed"/>
          <w:tblCellMar>
            <w:left w:w="62" w:type="dxa"/>
            <w:right w:w="62" w:type="dxa"/>
          </w:tblCellMar>
          <w:tblLook w:val="0000"/>
        </w:tblPrEx>
        <w:tc>
          <w:tcPr>
            <w:tcW w:w="3289"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rPr>
                <w:rStyle w:val="SpecialBold"/>
              </w:rPr>
              <w:t>Woodworking machines include one (1) or more of the following:</w:t>
            </w:r>
          </w:p>
        </w:tc>
        <w:tc>
          <w:tcPr>
            <w:tcW w:w="6069" w:type="dxa"/>
            <w:tcBorders>
              <w:top w:val="nil"/>
              <w:left w:val="nil"/>
              <w:bottom w:val="nil"/>
              <w:right w:val="nil"/>
            </w:tcBorders>
            <w:tcMar>
              <w:top w:w="0" w:type="dxa"/>
              <w:left w:w="62" w:type="dxa"/>
              <w:bottom w:w="0" w:type="dxa"/>
              <w:right w:w="62" w:type="dxa"/>
            </w:tcMar>
          </w:tcPr>
          <w:p w:rsidR="00000000" w:rsidRPr="00232AD0" w:rsidP="00232AD0">
            <w:pPr>
              <w:pStyle w:val="ListBullet"/>
            </w:pPr>
            <w:r w:rsidRPr="00232AD0">
              <w:t>band saws</w:t>
            </w:r>
          </w:p>
          <w:p w:rsidR="00000000" w:rsidRPr="00232AD0" w:rsidP="00232AD0">
            <w:pPr>
              <w:pStyle w:val="ListBullet"/>
            </w:pPr>
            <w:r w:rsidRPr="00232AD0">
              <w:t>buzzers</w:t>
            </w:r>
          </w:p>
          <w:p w:rsidR="00000000" w:rsidRPr="00232AD0" w:rsidP="00232AD0">
            <w:pPr>
              <w:pStyle w:val="ListBullet"/>
            </w:pPr>
            <w:r w:rsidRPr="00232AD0">
              <w:t>thicknesses</w:t>
            </w:r>
          </w:p>
          <w:p w:rsidR="00000000" w:rsidRPr="00232AD0" w:rsidP="00232AD0">
            <w:pPr>
              <w:pStyle w:val="ListBullet"/>
            </w:pPr>
            <w:r w:rsidRPr="00232AD0">
              <w:t>disk sander</w:t>
            </w:r>
          </w:p>
          <w:p w:rsidR="00000000" w:rsidRPr="00232AD0" w:rsidP="00232AD0">
            <w:pPr>
              <w:pStyle w:val="ListBullet"/>
            </w:pPr>
            <w:r w:rsidRPr="00232AD0">
              <w:t>bobbin sander</w:t>
            </w:r>
          </w:p>
          <w:p w:rsidR="00000000" w:rsidRPr="00232AD0" w:rsidP="00232AD0">
            <w:pPr>
              <w:pStyle w:val="ListBullet"/>
            </w:pPr>
            <w:r w:rsidRPr="00232AD0">
              <w:t>pattern mill</w:t>
            </w:r>
          </w:p>
          <w:p w:rsidR="00000000" w:rsidRPr="00232AD0" w:rsidP="00232AD0">
            <w:pPr>
              <w:pStyle w:val="ListBullet"/>
            </w:pPr>
            <w:r w:rsidRPr="00232AD0">
              <w:t>wood lathe</w:t>
            </w:r>
          </w:p>
          <w:p w:rsidR="00000000" w:rsidRPr="00232AD0" w:rsidP="00232AD0">
            <w:pPr>
              <w:pStyle w:val="ListBullet"/>
            </w:pPr>
            <w:r w:rsidRPr="00232AD0">
              <w:t>pedestal router and drill</w:t>
            </w:r>
          </w:p>
          <w:p w:rsidR="00000000" w:rsidP="00232AD0">
            <w:pPr>
              <w:pStyle w:val="BodyText"/>
              <w:rPr>
                <w:lang w:val="en-NZ"/>
              </w:rPr>
            </w:pPr>
          </w:p>
        </w:tc>
      </w:tr>
      <w:tr w:rsidTr="00232AD0">
        <w:tblPrEx>
          <w:tblW w:w="9358" w:type="dxa"/>
          <w:tblLayout w:type="fixed"/>
          <w:tblCellMar>
            <w:left w:w="62" w:type="dxa"/>
            <w:right w:w="62" w:type="dxa"/>
          </w:tblCellMar>
          <w:tblLook w:val="0000"/>
        </w:tblPrEx>
        <w:tc>
          <w:tcPr>
            <w:tcW w:w="3289"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rPr>
                <w:rStyle w:val="SpecialBold"/>
              </w:rPr>
              <w:t>Set up includes the following:</w:t>
            </w:r>
          </w:p>
        </w:tc>
        <w:tc>
          <w:tcPr>
            <w:tcW w:w="6069" w:type="dxa"/>
            <w:tcBorders>
              <w:top w:val="nil"/>
              <w:left w:val="nil"/>
              <w:bottom w:val="nil"/>
              <w:right w:val="nil"/>
            </w:tcBorders>
            <w:tcMar>
              <w:top w:w="0" w:type="dxa"/>
              <w:left w:w="62" w:type="dxa"/>
              <w:bottom w:w="0" w:type="dxa"/>
              <w:right w:w="62" w:type="dxa"/>
            </w:tcMar>
          </w:tcPr>
          <w:p w:rsidR="00000000" w:rsidRPr="00232AD0" w:rsidP="00232AD0">
            <w:pPr>
              <w:pStyle w:val="ListBullet"/>
            </w:pPr>
            <w:r w:rsidRPr="00232AD0">
              <w:t>installation of the blades and cutters</w:t>
            </w:r>
          </w:p>
          <w:p w:rsidR="00000000" w:rsidRPr="00232AD0" w:rsidP="00232AD0">
            <w:pPr>
              <w:pStyle w:val="ListBullet"/>
            </w:pPr>
            <w:r w:rsidRPr="00232AD0">
              <w:t>settings for the job including adjustments for sizing and speed</w:t>
            </w:r>
          </w:p>
          <w:p w:rsidR="00000000" w:rsidP="00232AD0">
            <w:pPr>
              <w:pStyle w:val="BodyText"/>
              <w:rPr>
                <w:lang w:val="en-NZ"/>
              </w:rPr>
            </w:pPr>
          </w:p>
        </w:tc>
      </w:tr>
      <w:tr w:rsidTr="00232AD0">
        <w:tblPrEx>
          <w:tblW w:w="9358" w:type="dxa"/>
          <w:tblLayout w:type="fixed"/>
          <w:tblCellMar>
            <w:left w:w="62" w:type="dxa"/>
            <w:right w:w="62" w:type="dxa"/>
          </w:tblCellMar>
          <w:tblLook w:val="0000"/>
        </w:tblPrEx>
        <w:tc>
          <w:tcPr>
            <w:tcW w:w="3289"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rPr>
                <w:rStyle w:val="SpecialBold"/>
              </w:rPr>
              <w:t>Cutting tools include one (1) or more of the following:</w:t>
            </w:r>
          </w:p>
        </w:tc>
        <w:tc>
          <w:tcPr>
            <w:tcW w:w="6069" w:type="dxa"/>
            <w:tcBorders>
              <w:top w:val="nil"/>
              <w:left w:val="nil"/>
              <w:bottom w:val="nil"/>
              <w:right w:val="nil"/>
            </w:tcBorders>
            <w:tcMar>
              <w:top w:w="0" w:type="dxa"/>
              <w:left w:w="62" w:type="dxa"/>
              <w:bottom w:w="0" w:type="dxa"/>
              <w:right w:w="62" w:type="dxa"/>
            </w:tcMar>
          </w:tcPr>
          <w:p w:rsidR="00000000" w:rsidRPr="00232AD0" w:rsidP="00232AD0">
            <w:pPr>
              <w:pStyle w:val="ListBullet"/>
            </w:pPr>
            <w:r w:rsidRPr="00232AD0">
              <w:t>blades</w:t>
            </w:r>
          </w:p>
          <w:p w:rsidR="00000000" w:rsidRPr="00232AD0" w:rsidP="00232AD0">
            <w:pPr>
              <w:pStyle w:val="ListBullet"/>
            </w:pPr>
            <w:r w:rsidRPr="00232AD0">
              <w:t>outer bits</w:t>
            </w:r>
          </w:p>
          <w:p w:rsidR="00000000" w:rsidP="00232AD0">
            <w:pPr>
              <w:pStyle w:val="BodyText"/>
              <w:rPr>
                <w:lang w:val="en-NZ"/>
              </w:rPr>
            </w:pPr>
          </w:p>
        </w:tc>
      </w:tr>
      <w:tr w:rsidTr="00232AD0">
        <w:tblPrEx>
          <w:tblW w:w="9358" w:type="dxa"/>
          <w:tblLayout w:type="fixed"/>
          <w:tblCellMar>
            <w:left w:w="62" w:type="dxa"/>
            <w:right w:w="62" w:type="dxa"/>
          </w:tblCellMar>
          <w:tblLook w:val="0000"/>
        </w:tblPrEx>
        <w:tc>
          <w:tcPr>
            <w:tcW w:w="3289" w:type="dxa"/>
            <w:tcBorders>
              <w:top w:val="nil"/>
              <w:left w:val="nil"/>
              <w:bottom w:val="nil"/>
              <w:right w:val="nil"/>
            </w:tcBorders>
            <w:tcMar>
              <w:top w:w="0" w:type="dxa"/>
              <w:left w:w="62" w:type="dxa"/>
              <w:bottom w:w="0" w:type="dxa"/>
              <w:right w:w="62" w:type="dxa"/>
            </w:tcMar>
          </w:tcPr>
          <w:p w:rsidR="00000000" w:rsidP="00232AD0">
            <w:pPr>
              <w:pStyle w:val="BodyText"/>
              <w:rPr>
                <w:lang w:val="en-NZ"/>
              </w:rPr>
            </w:pPr>
            <w:r w:rsidRPr="00232AD0">
              <w:rPr>
                <w:rStyle w:val="SpecialBold"/>
              </w:rPr>
              <w:t>Guards/stops include:</w:t>
            </w:r>
          </w:p>
        </w:tc>
        <w:tc>
          <w:tcPr>
            <w:tcW w:w="6069" w:type="dxa"/>
            <w:tcBorders>
              <w:top w:val="nil"/>
              <w:left w:val="nil"/>
              <w:bottom w:val="nil"/>
              <w:right w:val="nil"/>
            </w:tcBorders>
            <w:tcMar>
              <w:top w:w="0" w:type="dxa"/>
              <w:left w:w="62" w:type="dxa"/>
              <w:bottom w:w="0" w:type="dxa"/>
              <w:right w:w="62" w:type="dxa"/>
            </w:tcMar>
          </w:tcPr>
          <w:p w:rsidR="00000000" w:rsidRPr="00232AD0" w:rsidP="00232AD0">
            <w:pPr>
              <w:pStyle w:val="ListBullet"/>
            </w:pPr>
            <w:r w:rsidRPr="00232AD0">
              <w:t>fixed and variable guards and stops</w:t>
            </w:r>
          </w:p>
        </w:tc>
      </w:tr>
    </w:tbl>
    <w:p w:rsidR="00000000" w:rsidRPr="00232AD0" w:rsidP="00232AD0">
      <w:pPr>
        <w:pStyle w:val="BodyText"/>
      </w:pPr>
    </w:p>
    <w:p w:rsidR="00000000" w:rsidRPr="00232AD0" w:rsidP="00232AD0">
      <w:pPr>
        <w:pStyle w:val="AllowPageBreak"/>
      </w:pPr>
    </w:p>
    <w:p w:rsidR="00000000" w:rsidRPr="00232AD0" w:rsidP="00232AD0">
      <w:pPr>
        <w:pStyle w:val="Heading1"/>
      </w:pPr>
      <w:bookmarkStart w:id="8" w:name="O_943176"/>
      <w:bookmarkEnd w:id="8"/>
      <w:r w:rsidRPr="00232AD0">
        <w:t>Unit Mapping Information</w:t>
      </w:r>
    </w:p>
    <w:p w:rsidR="00000000" w:rsidRPr="00232AD0" w:rsidP="008236E1">
      <w:pPr>
        <w:pStyle w:val="BodyText"/>
      </w:pPr>
      <w:r w:rsidRPr="00232AD0">
        <w:t xml:space="preserve">Release 1. Supersedes and is equivalent to MEM04018B Perform general woodworking machine operations </w:t>
      </w:r>
    </w:p>
    <w:p w:rsidR="00000000" w:rsidRPr="00232AD0" w:rsidP="00232AD0">
      <w:pPr>
        <w:pStyle w:val="Heading1"/>
      </w:pPr>
      <w:bookmarkStart w:id="9" w:name="O_943169"/>
      <w:bookmarkEnd w:id="9"/>
      <w:r w:rsidRPr="00232AD0">
        <w:t>Links</w:t>
      </w:r>
    </w:p>
    <w:p w:rsidR="00000000" w:rsidRPr="00232AD0" w:rsidP="008236E1">
      <w:pPr>
        <w:pStyle w:val="BodyText"/>
      </w:pPr>
      <w:r w:rsidRPr="00232AD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C0E9F">
        <w:rPr>
          <w:rStyle w:val="Hyperlink"/>
        </w:rPr>
        <w:t>https://vetnet.gov.au/Pages/TrainingDocs.aspx?q=b7050d37-5fd0-4740-8f7d-3b7a49c10bb2</w:t>
      </w:r>
      <w:r>
        <w:fldChar w:fldCharType="end"/>
      </w:r>
    </w:p>
    <w:p w:rsidR="00000000" w:rsidRPr="00232AD0" w:rsidP="00232AD0"/>
    <w:sectPr w:rsidSect="00232A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A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AD0" w:rsidRPr="008236E1" w:rsidP="008236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A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6E1" w:rsidP="00232A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36E1" w:rsidP="00232AD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36E1" w:rsidP="00232A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A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6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2AD0" w:rsidRPr="008236E1" w:rsidP="008236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A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6E1" w:rsidRPr="002D2AF8" w:rsidP="00232AD0">
    <w:pPr>
      <w:pStyle w:val="Header"/>
      <w:framePr w:wrap="around"/>
    </w:pPr>
    <w:r>
      <w:fldChar w:fldCharType="begin"/>
    </w:r>
    <w:r>
      <w:instrText xml:space="preserve"> TITLE   \* MERGEFORMAT </w:instrText>
    </w:r>
    <w:r>
      <w:fldChar w:fldCharType="separate"/>
    </w:r>
    <w:r>
      <w:t>MEM04018 Perform general woodworking machine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236E1" w:rsidP="00232A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C8A6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C235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AA0E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A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2AD0"/>
    <w:pPr>
      <w:spacing w:before="360" w:after="60"/>
      <w:outlineLvl w:val="0"/>
    </w:pPr>
    <w:rPr>
      <w:sz w:val="32"/>
    </w:rPr>
  </w:style>
  <w:style w:type="paragraph" w:styleId="Heading2">
    <w:name w:val="heading 2"/>
    <w:basedOn w:val="HeadingBase"/>
    <w:next w:val="BodyText"/>
    <w:link w:val="Heading2Char"/>
    <w:qFormat/>
    <w:rsid w:val="00232AD0"/>
    <w:pPr>
      <w:keepLines/>
      <w:spacing w:before="240" w:after="120"/>
      <w:outlineLvl w:val="1"/>
    </w:pPr>
    <w:rPr>
      <w:sz w:val="28"/>
      <w:szCs w:val="40"/>
    </w:rPr>
  </w:style>
  <w:style w:type="paragraph" w:styleId="Heading3">
    <w:name w:val="heading 3"/>
    <w:basedOn w:val="HeadingBase"/>
    <w:next w:val="BodyText"/>
    <w:link w:val="Heading3Char"/>
    <w:qFormat/>
    <w:rsid w:val="00232AD0"/>
    <w:pPr>
      <w:spacing w:before="180" w:after="120"/>
      <w:outlineLvl w:val="2"/>
    </w:pPr>
    <w:rPr>
      <w:spacing w:val="-10"/>
      <w:kern w:val="32"/>
    </w:rPr>
  </w:style>
  <w:style w:type="paragraph" w:styleId="Heading4">
    <w:name w:val="heading 4"/>
    <w:basedOn w:val="HeadingBase"/>
    <w:next w:val="BodyText"/>
    <w:link w:val="Heading4Char"/>
    <w:qFormat/>
    <w:rsid w:val="00232AD0"/>
    <w:pPr>
      <w:spacing w:before="160" w:after="120"/>
      <w:outlineLvl w:val="3"/>
    </w:pPr>
    <w:rPr>
      <w:sz w:val="22"/>
    </w:rPr>
  </w:style>
  <w:style w:type="paragraph" w:styleId="Heading5">
    <w:name w:val="heading 5"/>
    <w:basedOn w:val="HeadingBase"/>
    <w:next w:val="Normal"/>
    <w:link w:val="Heading5Char"/>
    <w:qFormat/>
    <w:rsid w:val="00232AD0"/>
    <w:pPr>
      <w:spacing w:before="80"/>
      <w:outlineLvl w:val="4"/>
    </w:pPr>
    <w:rPr>
      <w:color w:val="918585"/>
      <w:sz w:val="20"/>
    </w:rPr>
  </w:style>
  <w:style w:type="paragraph" w:styleId="Heading6">
    <w:name w:val="heading 6"/>
    <w:basedOn w:val="HeadingBase"/>
    <w:next w:val="Normal"/>
    <w:link w:val="Heading6Char"/>
    <w:qFormat/>
    <w:rsid w:val="00232AD0"/>
    <w:pPr>
      <w:spacing w:before="60"/>
      <w:outlineLvl w:val="5"/>
    </w:pPr>
    <w:rPr>
      <w:color w:val="918585"/>
      <w:sz w:val="20"/>
    </w:rPr>
  </w:style>
  <w:style w:type="paragraph" w:styleId="Heading7">
    <w:name w:val="heading 7"/>
    <w:basedOn w:val="Normal"/>
    <w:next w:val="Normal"/>
    <w:link w:val="Heading7Char"/>
    <w:qFormat/>
    <w:rsid w:val="00232AD0"/>
    <w:pPr>
      <w:ind w:left="720"/>
      <w:outlineLvl w:val="6"/>
    </w:pPr>
    <w:rPr>
      <w:i/>
    </w:rPr>
  </w:style>
  <w:style w:type="paragraph" w:styleId="Heading8">
    <w:name w:val="heading 8"/>
    <w:basedOn w:val="Normal"/>
    <w:next w:val="Normal"/>
    <w:link w:val="Heading8Char"/>
    <w:qFormat/>
    <w:rsid w:val="00232AD0"/>
    <w:pPr>
      <w:ind w:left="720"/>
      <w:outlineLvl w:val="7"/>
    </w:pPr>
    <w:rPr>
      <w:i/>
    </w:rPr>
  </w:style>
  <w:style w:type="paragraph" w:styleId="Heading9">
    <w:name w:val="heading 9"/>
    <w:basedOn w:val="Normal"/>
    <w:next w:val="Normal"/>
    <w:link w:val="Heading9Char"/>
    <w:qFormat/>
    <w:rsid w:val="00232AD0"/>
    <w:pPr>
      <w:ind w:left="720"/>
      <w:outlineLvl w:val="8"/>
    </w:pPr>
    <w:rPr>
      <w:i/>
    </w:rPr>
  </w:style>
  <w:style w:type="character" w:default="1" w:styleId="DefaultParagraphFont">
    <w:name w:val="Default Paragraph Font"/>
    <w:uiPriority w:val="1"/>
    <w:unhideWhenUsed/>
    <w:rsid w:val="00232A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2AD0"/>
  </w:style>
  <w:style w:type="character" w:customStyle="1" w:styleId="Heading1Char">
    <w:name w:val="Heading 1 Char"/>
    <w:basedOn w:val="DefaultParagraphFont"/>
    <w:link w:val="Heading1"/>
    <w:rsid w:val="00232AD0"/>
    <w:rPr>
      <w:rFonts w:ascii="Times New Roman" w:eastAsia="Times New Roman" w:hAnsi="Times New Roman" w:cs="Times New Roman"/>
      <w:b/>
      <w:sz w:val="32"/>
      <w:szCs w:val="20"/>
      <w:lang w:eastAsia="en-US"/>
    </w:rPr>
  </w:style>
  <w:style w:type="paragraph" w:styleId="BodyText">
    <w:name w:val="Body Text"/>
    <w:basedOn w:val="Normal"/>
    <w:link w:val="BodyTextChar"/>
    <w:rsid w:val="00232A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2AD0"/>
    <w:rPr>
      <w:rFonts w:ascii="Times New Roman" w:eastAsia="Times New Roman" w:hAnsi="Times New Roman" w:cs="Times New Roman"/>
      <w:sz w:val="24"/>
      <w:lang w:eastAsia="en-US"/>
    </w:rPr>
  </w:style>
  <w:style w:type="paragraph" w:styleId="ListBullet">
    <w:name w:val="List Bullet"/>
    <w:basedOn w:val="List"/>
    <w:rsid w:val="00232AD0"/>
    <w:pPr>
      <w:numPr>
        <w:numId w:val="12"/>
      </w:numPr>
      <w:tabs>
        <w:tab w:val="clear" w:pos="340"/>
      </w:tabs>
      <w:spacing w:before="40" w:after="40"/>
    </w:pPr>
  </w:style>
  <w:style w:type="character" w:customStyle="1" w:styleId="SpecialBold">
    <w:name w:val="Special Bold"/>
    <w:basedOn w:val="DefaultParagraphFont"/>
    <w:rsid w:val="00232AD0"/>
    <w:rPr>
      <w:b/>
      <w:spacing w:val="0"/>
    </w:rPr>
  </w:style>
  <w:style w:type="paragraph" w:styleId="ListBullet2">
    <w:name w:val="List Bullet 2"/>
    <w:basedOn w:val="List2"/>
    <w:rsid w:val="00232AD0"/>
    <w:pPr>
      <w:numPr>
        <w:numId w:val="13"/>
      </w:numPr>
      <w:tabs>
        <w:tab w:val="clear" w:pos="680"/>
      </w:tabs>
    </w:pPr>
  </w:style>
  <w:style w:type="paragraph" w:customStyle="1" w:styleId="SuperHeading">
    <w:name w:val="SuperHeading"/>
    <w:basedOn w:val="Normal"/>
    <w:rsid w:val="00232AD0"/>
    <w:pPr>
      <w:spacing w:before="240" w:after="120"/>
      <w:outlineLvl w:val="0"/>
    </w:pPr>
    <w:rPr>
      <w:rFonts w:ascii="Times New Roman" w:hAnsi="Times New Roman"/>
      <w:b/>
      <w:sz w:val="32"/>
    </w:rPr>
  </w:style>
  <w:style w:type="paragraph" w:customStyle="1" w:styleId="AllowPageBreak">
    <w:name w:val="AllowPageBreak"/>
    <w:rsid w:val="00232A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2A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2A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2A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2A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2A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2A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2A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2AD0"/>
    <w:rPr>
      <w:rFonts w:ascii="Courier New" w:eastAsia="Times New Roman" w:hAnsi="Courier New" w:cs="Times New Roman"/>
      <w:i/>
      <w:szCs w:val="20"/>
      <w:lang w:eastAsia="en-US"/>
    </w:rPr>
  </w:style>
  <w:style w:type="paragraph" w:customStyle="1" w:styleId="HeadingBase">
    <w:name w:val="Heading Base"/>
    <w:rsid w:val="00232A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2AD0"/>
    <w:pPr>
      <w:tabs>
        <w:tab w:val="right" w:leader="dot" w:pos="9072"/>
      </w:tabs>
      <w:ind w:left="567"/>
    </w:pPr>
    <w:rPr>
      <w:szCs w:val="22"/>
    </w:rPr>
  </w:style>
  <w:style w:type="paragraph" w:customStyle="1" w:styleId="TOCBase">
    <w:name w:val="TOC Base"/>
    <w:rsid w:val="00232A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2AD0"/>
    <w:pPr>
      <w:tabs>
        <w:tab w:val="right" w:leader="dot" w:pos="9072"/>
      </w:tabs>
      <w:spacing w:before="40" w:after="40"/>
      <w:ind w:left="284"/>
    </w:pPr>
    <w:rPr>
      <w:rFonts w:ascii="Times New Roman" w:hAnsi="Times New Roman"/>
    </w:rPr>
  </w:style>
  <w:style w:type="paragraph" w:styleId="TOC1">
    <w:name w:val="toc 1"/>
    <w:basedOn w:val="TOCBase"/>
    <w:next w:val="Normal"/>
    <w:rsid w:val="00232A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2A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2AD0"/>
    <w:rPr>
      <w:rFonts w:ascii="Times New Roman" w:eastAsia="Times New Roman" w:hAnsi="Times New Roman" w:cs="Times New Roman"/>
      <w:sz w:val="16"/>
      <w:lang w:eastAsia="en-US"/>
    </w:rPr>
  </w:style>
  <w:style w:type="paragraph" w:styleId="Title">
    <w:name w:val="Title"/>
    <w:basedOn w:val="HeadingBase"/>
    <w:link w:val="TitleChar"/>
    <w:qFormat/>
    <w:rsid w:val="00232AD0"/>
    <w:pPr>
      <w:spacing w:before="5040"/>
      <w:jc w:val="center"/>
    </w:pPr>
    <w:rPr>
      <w:sz w:val="48"/>
      <w:szCs w:val="72"/>
      <w:lang w:val="en-US"/>
    </w:rPr>
  </w:style>
  <w:style w:type="character" w:customStyle="1" w:styleId="TitleChar">
    <w:name w:val="Title Char"/>
    <w:basedOn w:val="DefaultParagraphFont"/>
    <w:link w:val="Title"/>
    <w:rsid w:val="00232A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2AD0"/>
    <w:pPr>
      <w:tabs>
        <w:tab w:val="left" w:pos="3600"/>
        <w:tab w:val="left" w:pos="3958"/>
      </w:tabs>
    </w:pPr>
  </w:style>
  <w:style w:type="paragraph" w:styleId="List">
    <w:name w:val="List"/>
    <w:basedOn w:val="BodyText"/>
    <w:next w:val="BodyText"/>
    <w:rsid w:val="00232AD0"/>
    <w:pPr>
      <w:tabs>
        <w:tab w:val="left" w:pos="340"/>
      </w:tabs>
      <w:spacing w:before="60" w:after="60"/>
      <w:ind w:left="340" w:hanging="340"/>
    </w:pPr>
  </w:style>
  <w:style w:type="paragraph" w:customStyle="1" w:styleId="Note">
    <w:name w:val="Note"/>
    <w:basedOn w:val="BodyText"/>
    <w:rsid w:val="00232A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2AD0"/>
    <w:pPr>
      <w:framePr w:wrap="auto" w:hAnchor="text" w:y="6049"/>
    </w:pPr>
    <w:rPr>
      <w:color w:val="000000"/>
      <w:sz w:val="40"/>
    </w:rPr>
  </w:style>
  <w:style w:type="paragraph" w:customStyle="1" w:styleId="TOCTitle">
    <w:name w:val="TOCTitle"/>
    <w:basedOn w:val="Heading1"/>
    <w:rsid w:val="00232AD0"/>
    <w:pPr>
      <w:spacing w:after="240"/>
      <w:jc w:val="center"/>
      <w:outlineLvl w:val="9"/>
    </w:pPr>
    <w:rPr>
      <w:caps/>
    </w:rPr>
  </w:style>
  <w:style w:type="paragraph" w:customStyle="1" w:styleId="Version">
    <w:name w:val="Version"/>
    <w:rsid w:val="00232A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2AD0"/>
    <w:pPr>
      <w:keepNext w:val="0"/>
      <w:tabs>
        <w:tab w:val="right" w:pos="4176"/>
      </w:tabs>
      <w:ind w:left="198" w:hanging="198"/>
    </w:pPr>
    <w:rPr>
      <w:rFonts w:ascii="Garamond" w:hAnsi="Garamond"/>
    </w:rPr>
  </w:style>
  <w:style w:type="paragraph" w:styleId="IndexHeading">
    <w:name w:val="index heading"/>
    <w:basedOn w:val="Normal"/>
    <w:next w:val="Index1"/>
    <w:semiHidden/>
    <w:rsid w:val="00232AD0"/>
    <w:pPr>
      <w:spacing w:before="120" w:after="120"/>
    </w:pPr>
    <w:rPr>
      <w:rFonts w:ascii="Arial" w:hAnsi="Arial"/>
      <w:b/>
      <w:color w:val="918585"/>
      <w:sz w:val="24"/>
    </w:rPr>
  </w:style>
  <w:style w:type="paragraph" w:styleId="Header">
    <w:name w:val="header"/>
    <w:basedOn w:val="Normal"/>
    <w:link w:val="HeaderChar"/>
    <w:rsid w:val="00232A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2AD0"/>
    <w:rPr>
      <w:rFonts w:ascii="Times New Roman" w:eastAsia="Times New Roman" w:hAnsi="Times New Roman" w:cs="Times New Roman"/>
      <w:sz w:val="16"/>
      <w:szCs w:val="20"/>
      <w:lang w:val="en-GB" w:eastAsia="en-US"/>
    </w:rPr>
  </w:style>
  <w:style w:type="paragraph" w:customStyle="1" w:styleId="Chapter">
    <w:name w:val="Chapter"/>
    <w:basedOn w:val="Normal"/>
    <w:rsid w:val="00232AD0"/>
    <w:pPr>
      <w:spacing w:before="240"/>
    </w:pPr>
    <w:rPr>
      <w:rFonts w:ascii="Times New Roman" w:hAnsi="Times New Roman"/>
      <w:smallCaps/>
      <w:spacing w:val="80"/>
      <w:sz w:val="28"/>
    </w:rPr>
  </w:style>
  <w:style w:type="paragraph" w:customStyle="1" w:styleId="InChapter">
    <w:name w:val="InChapter"/>
    <w:basedOn w:val="Heading3"/>
    <w:rsid w:val="00232AD0"/>
    <w:pPr>
      <w:spacing w:after="240"/>
      <w:outlineLvl w:val="9"/>
    </w:pPr>
    <w:rPr>
      <w:noProof/>
    </w:rPr>
  </w:style>
  <w:style w:type="paragraph" w:styleId="Index2">
    <w:name w:val="index 2"/>
    <w:basedOn w:val="Normal"/>
    <w:next w:val="Normal"/>
    <w:semiHidden/>
    <w:rsid w:val="00232AD0"/>
    <w:pPr>
      <w:tabs>
        <w:tab w:val="right" w:pos="4176"/>
      </w:tabs>
      <w:ind w:left="568" w:hanging="284"/>
    </w:pPr>
    <w:rPr>
      <w:rFonts w:ascii="Garamond" w:hAnsi="Garamond"/>
    </w:rPr>
  </w:style>
  <w:style w:type="paragraph" w:customStyle="1" w:styleId="Byline">
    <w:name w:val="Byline"/>
    <w:rsid w:val="00232A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2AD0"/>
    <w:pPr>
      <w:tabs>
        <w:tab w:val="clear" w:pos="3600"/>
        <w:tab w:val="clear" w:pos="3958"/>
      </w:tabs>
      <w:jc w:val="right"/>
    </w:pPr>
  </w:style>
  <w:style w:type="character" w:styleId="Emphasis">
    <w:name w:val="Emphasis"/>
    <w:basedOn w:val="DefaultParagraphFont"/>
    <w:qFormat/>
    <w:rsid w:val="00232AD0"/>
    <w:rPr>
      <w:i/>
    </w:rPr>
  </w:style>
  <w:style w:type="paragraph" w:styleId="Caption">
    <w:name w:val="caption"/>
    <w:basedOn w:val="BodyText"/>
    <w:next w:val="Normal"/>
    <w:qFormat/>
    <w:rsid w:val="00232AD0"/>
    <w:pPr>
      <w:framePr w:w="2268" w:hSpace="181" w:vSpace="181" w:wrap="around" w:vAnchor="text" w:hAnchor="page" w:x="1135" w:y="285" w:anchorLock="1"/>
    </w:pPr>
    <w:rPr>
      <w:i/>
    </w:rPr>
  </w:style>
  <w:style w:type="paragraph" w:customStyle="1" w:styleId="MiniTOCTitle">
    <w:name w:val="MiniTOCTitle"/>
    <w:basedOn w:val="Heading4"/>
    <w:rsid w:val="00232AD0"/>
    <w:pPr>
      <w:spacing w:before="240"/>
      <w:outlineLvl w:val="9"/>
    </w:pPr>
    <w:rPr>
      <w:noProof/>
      <w:sz w:val="24"/>
    </w:rPr>
  </w:style>
  <w:style w:type="paragraph" w:customStyle="1" w:styleId="MiniTOCItem">
    <w:name w:val="MiniTOCItem"/>
    <w:basedOn w:val="ListBullet"/>
    <w:rsid w:val="00232AD0"/>
    <w:pPr>
      <w:numPr>
        <w:numId w:val="0"/>
      </w:numPr>
      <w:tabs>
        <w:tab w:val="right" w:leader="dot" w:pos="6521"/>
      </w:tabs>
      <w:spacing w:before="0" w:after="0"/>
    </w:pPr>
  </w:style>
  <w:style w:type="paragraph" w:customStyle="1" w:styleId="TOFTitle">
    <w:name w:val="TOFTitle"/>
    <w:basedOn w:val="TOCTitle"/>
    <w:rsid w:val="00232AD0"/>
  </w:style>
  <w:style w:type="paragraph" w:styleId="TableofFigures">
    <w:name w:val="table of figures"/>
    <w:basedOn w:val="Normal"/>
    <w:next w:val="Normal"/>
    <w:semiHidden/>
    <w:rsid w:val="00232AD0"/>
    <w:pPr>
      <w:tabs>
        <w:tab w:val="right" w:leader="dot" w:pos="9072"/>
      </w:tabs>
      <w:ind w:left="970" w:hanging="403"/>
    </w:pPr>
    <w:rPr>
      <w:rFonts w:ascii="Times New Roman" w:hAnsi="Times New Roman"/>
      <w:b/>
    </w:rPr>
  </w:style>
  <w:style w:type="paragraph" w:styleId="ListNumber">
    <w:name w:val="List Number"/>
    <w:basedOn w:val="List"/>
    <w:rsid w:val="00232AD0"/>
    <w:pPr>
      <w:numPr>
        <w:numId w:val="15"/>
      </w:numPr>
      <w:tabs>
        <w:tab w:val="clear" w:pos="340"/>
      </w:tabs>
    </w:pPr>
  </w:style>
  <w:style w:type="character" w:customStyle="1" w:styleId="WingdingSymbols">
    <w:name w:val="Wingding Symbols"/>
    <w:rsid w:val="00232AD0"/>
    <w:rPr>
      <w:rFonts w:ascii="Wingdings" w:hAnsi="Wingdings"/>
    </w:rPr>
  </w:style>
  <w:style w:type="paragraph" w:customStyle="1" w:styleId="TableHeading">
    <w:name w:val="Table Heading"/>
    <w:basedOn w:val="HeadingBase"/>
    <w:rsid w:val="00232AD0"/>
    <w:pPr>
      <w:keepLines/>
      <w:pBdr>
        <w:bottom w:val="single" w:sz="6" w:space="1" w:color="918585"/>
      </w:pBdr>
      <w:spacing w:before="240"/>
    </w:pPr>
  </w:style>
  <w:style w:type="character" w:customStyle="1" w:styleId="HotSpot">
    <w:name w:val="HotSpot"/>
    <w:rsid w:val="00232AD0"/>
    <w:rPr>
      <w:color w:val="0033CC"/>
      <w:u w:val="none"/>
    </w:rPr>
  </w:style>
  <w:style w:type="paragraph" w:customStyle="1" w:styleId="BodyTextRight">
    <w:name w:val="Body Text Right"/>
    <w:basedOn w:val="BodyText"/>
    <w:rsid w:val="00232AD0"/>
    <w:pPr>
      <w:spacing w:before="0" w:after="0"/>
      <w:jc w:val="right"/>
    </w:pPr>
  </w:style>
  <w:style w:type="paragraph" w:styleId="Index3">
    <w:name w:val="index 3"/>
    <w:basedOn w:val="ListNumber2"/>
    <w:next w:val="Normal"/>
    <w:semiHidden/>
    <w:rsid w:val="00232AD0"/>
    <w:pPr>
      <w:numPr>
        <w:numId w:val="0"/>
      </w:numPr>
      <w:tabs>
        <w:tab w:val="right" w:leader="dot" w:pos="4176"/>
      </w:tabs>
    </w:pPr>
  </w:style>
  <w:style w:type="paragraph" w:styleId="ListNumber2">
    <w:name w:val="List Number 2"/>
    <w:basedOn w:val="List2"/>
    <w:rsid w:val="00232AD0"/>
    <w:pPr>
      <w:numPr>
        <w:numId w:val="10"/>
      </w:numPr>
      <w:tabs>
        <w:tab w:val="clear" w:pos="1060"/>
      </w:tabs>
    </w:pPr>
  </w:style>
  <w:style w:type="paragraph" w:customStyle="1" w:styleId="MarginNote">
    <w:name w:val="Margin Note"/>
    <w:basedOn w:val="BodyText"/>
    <w:rsid w:val="00232A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2A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2A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2AD0"/>
    <w:rPr>
      <w:sz w:val="32"/>
    </w:rPr>
  </w:style>
  <w:style w:type="paragraph" w:customStyle="1" w:styleId="HeadingProcedure">
    <w:name w:val="Heading Procedure"/>
    <w:basedOn w:val="HeadingBase"/>
    <w:next w:val="Normal"/>
    <w:rsid w:val="00232AD0"/>
    <w:pPr>
      <w:tabs>
        <w:tab w:val="left" w:pos="0"/>
      </w:tabs>
      <w:spacing w:before="120" w:after="60"/>
    </w:pPr>
    <w:rPr>
      <w:i/>
      <w:color w:val="918585"/>
      <w:sz w:val="22"/>
    </w:rPr>
  </w:style>
  <w:style w:type="paragraph" w:customStyle="1" w:styleId="TableBodyText">
    <w:name w:val="Table Body Text"/>
    <w:basedOn w:val="BodyText"/>
    <w:rsid w:val="00232AD0"/>
    <w:pPr>
      <w:spacing w:before="60" w:after="60"/>
    </w:pPr>
  </w:style>
  <w:style w:type="paragraph" w:styleId="ListContinue">
    <w:name w:val="List Continue"/>
    <w:basedOn w:val="List"/>
    <w:rsid w:val="00232AD0"/>
    <w:pPr>
      <w:ind w:firstLine="0"/>
    </w:pPr>
  </w:style>
  <w:style w:type="paragraph" w:customStyle="1" w:styleId="ListNote">
    <w:name w:val="List Note"/>
    <w:basedOn w:val="List"/>
    <w:rsid w:val="00232AD0"/>
    <w:pPr>
      <w:pBdr>
        <w:top w:val="single" w:sz="6" w:space="2" w:color="918585"/>
        <w:bottom w:val="single" w:sz="6" w:space="2" w:color="918585"/>
      </w:pBdr>
      <w:tabs>
        <w:tab w:val="left" w:pos="1021"/>
      </w:tabs>
      <w:ind w:firstLine="0"/>
    </w:pPr>
  </w:style>
  <w:style w:type="paragraph" w:customStyle="1" w:styleId="Warning">
    <w:name w:val="Warning"/>
    <w:basedOn w:val="BodyText"/>
    <w:rsid w:val="00232AD0"/>
    <w:pPr>
      <w:shd w:val="clear" w:color="auto" w:fill="D9D9D9"/>
      <w:tabs>
        <w:tab w:val="left" w:pos="992"/>
      </w:tabs>
      <w:ind w:left="119" w:right="119"/>
    </w:pPr>
    <w:rPr>
      <w:sz w:val="20"/>
    </w:rPr>
  </w:style>
  <w:style w:type="paragraph" w:customStyle="1" w:styleId="MarginIcons">
    <w:name w:val="Margin Icons"/>
    <w:basedOn w:val="BodyText"/>
    <w:rsid w:val="00232A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2AD0"/>
    <w:rPr>
      <w:rFonts w:ascii="Courier New" w:hAnsi="Courier New"/>
    </w:rPr>
  </w:style>
  <w:style w:type="paragraph" w:customStyle="1" w:styleId="NoteBullet">
    <w:name w:val="Note Bullet"/>
    <w:basedOn w:val="Note"/>
    <w:rsid w:val="00232AD0"/>
    <w:pPr>
      <w:tabs>
        <w:tab w:val="clear" w:pos="680"/>
      </w:tabs>
      <w:spacing w:before="60" w:after="60"/>
    </w:pPr>
  </w:style>
  <w:style w:type="paragraph" w:customStyle="1" w:styleId="SubHeading2">
    <w:name w:val="SubHeading2"/>
    <w:basedOn w:val="HeadingBase"/>
    <w:rsid w:val="00232AD0"/>
    <w:pPr>
      <w:spacing w:before="240" w:after="60"/>
    </w:pPr>
    <w:rPr>
      <w:sz w:val="20"/>
    </w:rPr>
  </w:style>
  <w:style w:type="paragraph" w:customStyle="1" w:styleId="SubHeading1">
    <w:name w:val="SubHeading1"/>
    <w:basedOn w:val="HeadingBase"/>
    <w:rsid w:val="00232AD0"/>
    <w:pPr>
      <w:spacing w:before="240" w:after="60"/>
    </w:pPr>
    <w:rPr>
      <w:color w:val="918585"/>
      <w:sz w:val="22"/>
    </w:rPr>
  </w:style>
  <w:style w:type="paragraph" w:customStyle="1" w:styleId="SideHeading">
    <w:name w:val="Side Heading"/>
    <w:basedOn w:val="HeadingBase"/>
    <w:rsid w:val="00232A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2AD0"/>
    <w:pPr>
      <w:tabs>
        <w:tab w:val="num" w:pos="360"/>
      </w:tabs>
    </w:pPr>
  </w:style>
  <w:style w:type="paragraph" w:styleId="PlainText">
    <w:name w:val="Plain Text"/>
    <w:basedOn w:val="Normal"/>
    <w:link w:val="PlainTextChar"/>
    <w:rsid w:val="00232AD0"/>
    <w:rPr>
      <w:sz w:val="20"/>
    </w:rPr>
  </w:style>
  <w:style w:type="character" w:customStyle="1" w:styleId="PlainTextChar">
    <w:name w:val="Plain Text Char"/>
    <w:basedOn w:val="DefaultParagraphFont"/>
    <w:link w:val="PlainText"/>
    <w:rsid w:val="00232AD0"/>
    <w:rPr>
      <w:rFonts w:ascii="Courier New" w:eastAsia="Times New Roman" w:hAnsi="Courier New" w:cs="Times New Roman"/>
      <w:sz w:val="20"/>
      <w:szCs w:val="20"/>
      <w:lang w:eastAsia="en-US"/>
    </w:rPr>
  </w:style>
  <w:style w:type="character" w:customStyle="1" w:styleId="MenuOption">
    <w:name w:val="Menu Option"/>
    <w:basedOn w:val="DefaultParagraphFont"/>
    <w:rsid w:val="00232AD0"/>
    <w:rPr>
      <w:b/>
      <w:smallCaps/>
    </w:rPr>
  </w:style>
  <w:style w:type="paragraph" w:customStyle="1" w:styleId="TableListNumber">
    <w:name w:val="Table List Number"/>
    <w:basedOn w:val="ListNumber"/>
    <w:rsid w:val="00232AD0"/>
    <w:pPr>
      <w:numPr>
        <w:numId w:val="0"/>
      </w:numPr>
    </w:pPr>
  </w:style>
  <w:style w:type="paragraph" w:styleId="TOC4">
    <w:name w:val="toc 4"/>
    <w:basedOn w:val="TOCBase"/>
    <w:next w:val="Normal"/>
    <w:semiHidden/>
    <w:rsid w:val="00232AD0"/>
    <w:pPr>
      <w:tabs>
        <w:tab w:val="right" w:leader="dot" w:pos="9071"/>
      </w:tabs>
      <w:ind w:left="1701"/>
    </w:pPr>
  </w:style>
  <w:style w:type="paragraph" w:customStyle="1" w:styleId="ListAlpha">
    <w:name w:val="List Alpha"/>
    <w:basedOn w:val="List"/>
    <w:rsid w:val="00232AD0"/>
    <w:pPr>
      <w:numPr>
        <w:numId w:val="9"/>
      </w:numPr>
    </w:pPr>
  </w:style>
  <w:style w:type="paragraph" w:customStyle="1" w:styleId="ListAlpha2">
    <w:name w:val="List Alpha 2"/>
    <w:basedOn w:val="List2"/>
    <w:rsid w:val="00232AD0"/>
    <w:pPr>
      <w:numPr>
        <w:numId w:val="8"/>
      </w:numPr>
    </w:pPr>
  </w:style>
  <w:style w:type="paragraph" w:styleId="List2">
    <w:name w:val="List 2"/>
    <w:basedOn w:val="BodyText"/>
    <w:rsid w:val="00232AD0"/>
    <w:pPr>
      <w:tabs>
        <w:tab w:val="left" w:pos="680"/>
      </w:tabs>
      <w:spacing w:before="60" w:after="60"/>
      <w:ind w:left="680" w:hanging="340"/>
    </w:pPr>
  </w:style>
  <w:style w:type="paragraph" w:styleId="List3">
    <w:name w:val="List 3"/>
    <w:basedOn w:val="BodyText"/>
    <w:rsid w:val="00232AD0"/>
    <w:pPr>
      <w:tabs>
        <w:tab w:val="left" w:pos="1021"/>
      </w:tabs>
      <w:spacing w:before="60" w:after="60"/>
      <w:ind w:left="1020" w:hanging="340"/>
    </w:pPr>
  </w:style>
  <w:style w:type="paragraph" w:styleId="List4">
    <w:name w:val="List 4"/>
    <w:basedOn w:val="BodyText"/>
    <w:rsid w:val="00232AD0"/>
    <w:pPr>
      <w:tabs>
        <w:tab w:val="left" w:pos="1361"/>
      </w:tabs>
      <w:spacing w:before="60" w:after="60"/>
      <w:ind w:left="1361" w:hanging="340"/>
    </w:pPr>
  </w:style>
  <w:style w:type="paragraph" w:styleId="List5">
    <w:name w:val="List 5"/>
    <w:basedOn w:val="BodyText"/>
    <w:rsid w:val="00232AD0"/>
    <w:pPr>
      <w:tabs>
        <w:tab w:val="left" w:pos="1701"/>
      </w:tabs>
      <w:spacing w:before="60" w:after="60"/>
      <w:ind w:left="1701" w:hanging="340"/>
    </w:pPr>
  </w:style>
  <w:style w:type="paragraph" w:styleId="ListBullet3">
    <w:name w:val="List Bullet 3"/>
    <w:basedOn w:val="List3"/>
    <w:rsid w:val="00232AD0"/>
    <w:pPr>
      <w:numPr>
        <w:numId w:val="14"/>
      </w:numPr>
      <w:tabs>
        <w:tab w:val="clear" w:pos="1021"/>
      </w:tabs>
      <w:ind w:left="1037" w:hanging="357"/>
    </w:pPr>
  </w:style>
  <w:style w:type="paragraph" w:styleId="ListBullet4">
    <w:name w:val="List Bullet 4"/>
    <w:basedOn w:val="List4"/>
    <w:rsid w:val="00232AD0"/>
    <w:pPr>
      <w:numPr>
        <w:numId w:val="3"/>
      </w:numPr>
      <w:tabs>
        <w:tab w:val="clear" w:pos="1361"/>
      </w:tabs>
    </w:pPr>
  </w:style>
  <w:style w:type="paragraph" w:styleId="ListBullet5">
    <w:name w:val="List Bullet 5"/>
    <w:basedOn w:val="List5"/>
    <w:rsid w:val="00232AD0"/>
    <w:pPr>
      <w:numPr>
        <w:numId w:val="4"/>
      </w:numPr>
    </w:pPr>
  </w:style>
  <w:style w:type="paragraph" w:styleId="ListContinue2">
    <w:name w:val="List Continue 2"/>
    <w:basedOn w:val="List2"/>
    <w:rsid w:val="00232AD0"/>
    <w:pPr>
      <w:ind w:firstLine="0"/>
    </w:pPr>
  </w:style>
  <w:style w:type="paragraph" w:styleId="ListContinue3">
    <w:name w:val="List Continue 3"/>
    <w:basedOn w:val="List3"/>
    <w:rsid w:val="00232AD0"/>
    <w:pPr>
      <w:ind w:left="1021" w:firstLine="0"/>
    </w:pPr>
  </w:style>
  <w:style w:type="paragraph" w:styleId="ListContinue4">
    <w:name w:val="List Continue 4"/>
    <w:basedOn w:val="List4"/>
    <w:rsid w:val="00232AD0"/>
    <w:pPr>
      <w:ind w:firstLine="0"/>
    </w:pPr>
  </w:style>
  <w:style w:type="paragraph" w:styleId="ListContinue5">
    <w:name w:val="List Continue 5"/>
    <w:basedOn w:val="List5"/>
    <w:rsid w:val="00232AD0"/>
    <w:pPr>
      <w:ind w:firstLine="0"/>
    </w:pPr>
  </w:style>
  <w:style w:type="paragraph" w:styleId="ListNumber3">
    <w:name w:val="List Number 3"/>
    <w:basedOn w:val="List3"/>
    <w:rsid w:val="00232AD0"/>
    <w:pPr>
      <w:numPr>
        <w:numId w:val="5"/>
      </w:numPr>
    </w:pPr>
  </w:style>
  <w:style w:type="paragraph" w:styleId="ListNumber4">
    <w:name w:val="List Number 4"/>
    <w:basedOn w:val="List4"/>
    <w:rsid w:val="00232AD0"/>
    <w:pPr>
      <w:numPr>
        <w:numId w:val="6"/>
      </w:numPr>
    </w:pPr>
  </w:style>
  <w:style w:type="paragraph" w:styleId="ListNumber5">
    <w:name w:val="List Number 5"/>
    <w:basedOn w:val="List5"/>
    <w:rsid w:val="00232AD0"/>
    <w:pPr>
      <w:numPr>
        <w:numId w:val="7"/>
      </w:numPr>
    </w:pPr>
  </w:style>
  <w:style w:type="paragraph" w:styleId="BlockText">
    <w:name w:val="Block Text"/>
    <w:basedOn w:val="Normal"/>
    <w:rsid w:val="00232AD0"/>
    <w:pPr>
      <w:spacing w:after="120"/>
      <w:ind w:left="1440" w:right="1440"/>
    </w:pPr>
  </w:style>
  <w:style w:type="character" w:customStyle="1" w:styleId="Subscript">
    <w:name w:val="Subscript"/>
    <w:basedOn w:val="DefaultParagraphFont"/>
    <w:rsid w:val="00232AD0"/>
    <w:rPr>
      <w:sz w:val="16"/>
      <w:vertAlign w:val="subscript"/>
    </w:rPr>
  </w:style>
  <w:style w:type="character" w:customStyle="1" w:styleId="Superscript">
    <w:name w:val="Superscript"/>
    <w:basedOn w:val="DefaultParagraphFont"/>
    <w:rsid w:val="00232AD0"/>
    <w:rPr>
      <w:sz w:val="16"/>
      <w:vertAlign w:val="superscript"/>
    </w:rPr>
  </w:style>
  <w:style w:type="character" w:customStyle="1" w:styleId="Symbols">
    <w:name w:val="Symbols"/>
    <w:basedOn w:val="DefaultParagraphFont"/>
    <w:rsid w:val="00232AD0"/>
    <w:rPr>
      <w:rFonts w:ascii="Symbol" w:hAnsi="Symbol"/>
    </w:rPr>
  </w:style>
  <w:style w:type="character" w:customStyle="1" w:styleId="MenuOptions">
    <w:name w:val="Menu Options"/>
    <w:basedOn w:val="DefaultParagraphFont"/>
    <w:rsid w:val="00232AD0"/>
    <w:rPr>
      <w:rFonts w:ascii="Arial Narrow" w:hAnsi="Arial Narrow"/>
      <w:smallCaps/>
    </w:rPr>
  </w:style>
  <w:style w:type="character" w:customStyle="1" w:styleId="Buttons">
    <w:name w:val="Buttons"/>
    <w:basedOn w:val="DefaultParagraphFont"/>
    <w:rsid w:val="00232AD0"/>
    <w:rPr>
      <w:b/>
    </w:rPr>
  </w:style>
  <w:style w:type="character" w:customStyle="1" w:styleId="Underlined">
    <w:name w:val="Underlined"/>
    <w:basedOn w:val="DefaultParagraphFont"/>
    <w:rsid w:val="00232AD0"/>
    <w:rPr>
      <w:u w:val="single"/>
    </w:rPr>
  </w:style>
  <w:style w:type="paragraph" w:customStyle="1" w:styleId="TableBodyTextRight">
    <w:name w:val="Table Body Text Right"/>
    <w:basedOn w:val="TableBodyText"/>
    <w:rsid w:val="00232AD0"/>
    <w:pPr>
      <w:widowControl w:val="0"/>
      <w:autoSpaceDE w:val="0"/>
      <w:autoSpaceDN w:val="0"/>
      <w:adjustRightInd w:val="0"/>
      <w:jc w:val="right"/>
    </w:pPr>
    <w:rPr>
      <w:rFonts w:cs="Arial"/>
      <w:szCs w:val="18"/>
    </w:rPr>
  </w:style>
  <w:style w:type="paragraph" w:customStyle="1" w:styleId="CopyrightText">
    <w:name w:val="Copyright Text"/>
    <w:basedOn w:val="BodyText"/>
    <w:rsid w:val="00232AD0"/>
    <w:rPr>
      <w:sz w:val="18"/>
    </w:rPr>
  </w:style>
  <w:style w:type="paragraph" w:customStyle="1" w:styleId="BodySmallRight">
    <w:name w:val="Body Small Right"/>
    <w:basedOn w:val="BodyTextRight"/>
    <w:rsid w:val="00232AD0"/>
    <w:rPr>
      <w:sz w:val="18"/>
      <w:szCs w:val="18"/>
    </w:rPr>
  </w:style>
  <w:style w:type="paragraph" w:customStyle="1" w:styleId="MarginEdition">
    <w:name w:val="Margin Edition"/>
    <w:basedOn w:val="MarginNote"/>
    <w:rsid w:val="00232AD0"/>
    <w:pPr>
      <w:spacing w:before="0" w:after="0"/>
    </w:pPr>
    <w:rPr>
      <w:rFonts w:ascii="Times New Roman" w:hAnsi="Times New Roman"/>
      <w:color w:val="999999"/>
    </w:rPr>
  </w:style>
  <w:style w:type="paragraph" w:customStyle="1" w:styleId="Spacer">
    <w:name w:val="Spacer"/>
    <w:basedOn w:val="Normal"/>
    <w:rsid w:val="00232AD0"/>
    <w:rPr>
      <w:sz w:val="2"/>
      <w:szCs w:val="2"/>
    </w:rPr>
  </w:style>
  <w:style w:type="character" w:customStyle="1" w:styleId="Small">
    <w:name w:val="Small"/>
    <w:basedOn w:val="DefaultParagraphFont"/>
    <w:rsid w:val="00232AD0"/>
    <w:rPr>
      <w:sz w:val="16"/>
    </w:rPr>
  </w:style>
  <w:style w:type="paragraph" w:customStyle="1" w:styleId="WideTable">
    <w:name w:val="Wide Table"/>
    <w:basedOn w:val="Normal"/>
    <w:rsid w:val="00232AD0"/>
    <w:pPr>
      <w:ind w:left="-1418"/>
    </w:pPr>
    <w:rPr>
      <w:sz w:val="2"/>
      <w:szCs w:val="2"/>
    </w:rPr>
  </w:style>
  <w:style w:type="character" w:styleId="PageNumber">
    <w:name w:val="page number"/>
    <w:basedOn w:val="DefaultParagraphFont"/>
    <w:rsid w:val="00232AD0"/>
  </w:style>
  <w:style w:type="paragraph" w:styleId="Quote">
    <w:name w:val="Quote"/>
    <w:basedOn w:val="Heading1"/>
    <w:link w:val="QuoteChar"/>
    <w:qFormat/>
    <w:rsid w:val="00232AD0"/>
    <w:rPr>
      <w:b w:val="0"/>
      <w:sz w:val="72"/>
      <w:szCs w:val="72"/>
      <w:lang w:val="en-NZ"/>
    </w:rPr>
  </w:style>
  <w:style w:type="character" w:customStyle="1" w:styleId="QuoteChar">
    <w:name w:val="Quote Char"/>
    <w:basedOn w:val="DefaultParagraphFont"/>
    <w:link w:val="Quote"/>
    <w:rsid w:val="00232A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2AD0"/>
    <w:pPr>
      <w:pageBreakBefore/>
    </w:pPr>
  </w:style>
  <w:style w:type="paragraph" w:customStyle="1" w:styleId="Border">
    <w:name w:val="Border"/>
    <w:basedOn w:val="Normal"/>
    <w:qFormat/>
    <w:rsid w:val="00232A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2AD0"/>
    <w:rPr>
      <w:b/>
      <w:bCs/>
      <w:i/>
      <w:iCs/>
      <w:color w:val="auto"/>
    </w:rPr>
  </w:style>
  <w:style w:type="paragraph" w:styleId="IntenseQuote">
    <w:name w:val="Intense Quote"/>
    <w:basedOn w:val="Normal"/>
    <w:next w:val="Normal"/>
    <w:link w:val="IntenseQuoteChar"/>
    <w:uiPriority w:val="30"/>
    <w:qFormat/>
    <w:rsid w:val="00232A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2A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2AD0"/>
    <w:rPr>
      <w:smallCaps/>
      <w:color w:val="auto"/>
      <w:u w:val="single"/>
    </w:rPr>
  </w:style>
  <w:style w:type="character" w:styleId="IntenseReference">
    <w:name w:val="Intense Reference"/>
    <w:basedOn w:val="DefaultParagraphFont"/>
    <w:uiPriority w:val="32"/>
    <w:qFormat/>
    <w:rsid w:val="00232AD0"/>
    <w:rPr>
      <w:b/>
      <w:bCs/>
      <w:smallCaps/>
      <w:color w:val="auto"/>
      <w:spacing w:val="5"/>
      <w:u w:val="single"/>
    </w:rPr>
  </w:style>
  <w:style w:type="paragraph" w:customStyle="1" w:styleId="2ColumnHeading">
    <w:name w:val="2Column Heading"/>
    <w:basedOn w:val="BodyText"/>
    <w:qFormat/>
    <w:rsid w:val="00232AD0"/>
    <w:pPr>
      <w:spacing w:after="60"/>
      <w:ind w:left="-2268"/>
    </w:pPr>
    <w:rPr>
      <w:b/>
    </w:rPr>
  </w:style>
  <w:style w:type="paragraph" w:customStyle="1" w:styleId="Heading1TOC">
    <w:name w:val="Heading1 TOC"/>
    <w:basedOn w:val="Normal"/>
    <w:qFormat/>
    <w:rsid w:val="00232AD0"/>
    <w:pPr>
      <w:spacing w:before="240" w:after="120"/>
    </w:pPr>
    <w:rPr>
      <w:rFonts w:ascii="Times New Roman" w:hAnsi="Times New Roman"/>
      <w:b/>
      <w:sz w:val="32"/>
    </w:rPr>
  </w:style>
  <w:style w:type="paragraph" w:customStyle="1" w:styleId="Heading2TOC">
    <w:name w:val="Heading2 TOC"/>
    <w:basedOn w:val="Normal"/>
    <w:qFormat/>
    <w:rsid w:val="00232AD0"/>
    <w:pPr>
      <w:spacing w:before="240" w:after="60"/>
    </w:pPr>
    <w:rPr>
      <w:rFonts w:ascii="Times New Roman" w:hAnsi="Times New Roman"/>
      <w:b/>
      <w:sz w:val="28"/>
    </w:rPr>
  </w:style>
  <w:style w:type="character" w:customStyle="1" w:styleId="Underline">
    <w:name w:val="Underline"/>
    <w:basedOn w:val="DefaultParagraphFont"/>
    <w:qFormat/>
    <w:rsid w:val="00232AD0"/>
    <w:rPr>
      <w:u w:val="single"/>
    </w:rPr>
  </w:style>
  <w:style w:type="character" w:customStyle="1" w:styleId="BoldandItalics">
    <w:name w:val="Bold and Italics"/>
    <w:qFormat/>
    <w:rsid w:val="00232AD0"/>
    <w:rPr>
      <w:b/>
      <w:i/>
      <w:u w:val="none"/>
    </w:rPr>
  </w:style>
  <w:style w:type="paragraph" w:styleId="BalloonText">
    <w:name w:val="Balloon Text"/>
    <w:basedOn w:val="Normal"/>
    <w:link w:val="BalloonTextChar"/>
    <w:rsid w:val="00232AD0"/>
    <w:rPr>
      <w:rFonts w:ascii="Tahoma" w:hAnsi="Tahoma" w:cs="Tahoma"/>
      <w:sz w:val="16"/>
      <w:szCs w:val="16"/>
    </w:rPr>
  </w:style>
  <w:style w:type="character" w:customStyle="1" w:styleId="BalloonTextChar">
    <w:name w:val="Balloon Text Char"/>
    <w:basedOn w:val="DefaultParagraphFont"/>
    <w:link w:val="BalloonText"/>
    <w:rsid w:val="00232A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2A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2A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2AD0"/>
    <w:rPr>
      <w:b/>
      <w:color w:val="660033"/>
      <w:spacing w:val="0"/>
    </w:rPr>
  </w:style>
  <w:style w:type="paragraph" w:customStyle="1" w:styleId="Nameditemlist">
    <w:name w:val="Named item list"/>
    <w:basedOn w:val="BodyText"/>
    <w:qFormat/>
    <w:rsid w:val="00232AD0"/>
    <w:pPr>
      <w:tabs>
        <w:tab w:val="left" w:pos="2835"/>
      </w:tabs>
      <w:ind w:left="2835" w:hanging="2835"/>
    </w:pPr>
  </w:style>
  <w:style w:type="paragraph" w:customStyle="1" w:styleId="BodyTextnopadding">
    <w:name w:val="Body Text no padding"/>
    <w:basedOn w:val="BodyText"/>
    <w:qFormat/>
    <w:rsid w:val="00232AD0"/>
    <w:pPr>
      <w:spacing w:before="0" w:after="0"/>
    </w:pPr>
  </w:style>
  <w:style w:type="paragraph" w:customStyle="1" w:styleId="BodyTextBold">
    <w:name w:val="Body Text Bold"/>
    <w:basedOn w:val="BodyText"/>
    <w:qFormat/>
    <w:rsid w:val="00232AD0"/>
    <w:rPr>
      <w:b/>
    </w:rPr>
  </w:style>
  <w:style w:type="character" w:styleId="Hyperlink">
    <w:name w:val="Hyperlink"/>
    <w:basedOn w:val="DefaultParagraphFont"/>
    <w:uiPriority w:val="99"/>
    <w:unhideWhenUsed/>
    <w:rsid w:val="008236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560</Words>
  <Characters>3501</Characters>
  <Application>Microsoft Office Word</Application>
  <DocSecurity>0</DocSecurity>
  <Lines>194</Lines>
  <Paragraphs>119</Paragraphs>
  <ScaleCrop>false</ScaleCrop>
  <Company>Author-it Software Corporation Ltd.</Company>
  <LinksUpToDate>false</LinksUpToDate>
  <CharactersWithSpaces>3942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MEM04018 Perform general woodworking machine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2023-02-03T07:29:00Z</dcterms:created>
  <dcterms:modified xsi:type="dcterms:W3CDTF">2023-02-03T07:29:00Z</dcterms:modified>
</cp:coreProperties>
</file>