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99C" w:rsidP="0030399C">
      <w:pPr>
        <w:pStyle w:val="Title"/>
      </w:pPr>
      <w:r>
        <w:fldChar w:fldCharType="begin"/>
      </w:r>
      <w:r>
        <w:instrText xml:space="preserve"> TITLE   \* MERGEFORMAT </w:instrText>
      </w:r>
      <w:r>
        <w:fldChar w:fldCharType="separate"/>
      </w:r>
      <w:r>
        <w:t>MEM04016 Develop and manufacture precision models</w:t>
      </w:r>
      <w:r>
        <w:fldChar w:fldCharType="end"/>
      </w:r>
    </w:p>
    <w:p w:rsidR="0030399C" w:rsidP="0030399C">
      <w:pPr>
        <w:pStyle w:val="Version"/>
        <w:sectPr w:rsidSect="00B675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75F2" w:rsidP="00B675F2">
      <w:pPr>
        <w:pStyle w:val="SuperHeading"/>
      </w:pPr>
      <w:r w:rsidRPr="00B675F2">
        <w:t>MEM04016 Develop and manufacture precision models</w:t>
      </w:r>
    </w:p>
    <w:p w:rsidR="00000000" w:rsidRPr="00B675F2" w:rsidP="00B675F2">
      <w:pPr>
        <w:pStyle w:val="Heading1"/>
      </w:pPr>
      <w:bookmarkStart w:id="1" w:name="O_1084801"/>
      <w:bookmarkEnd w:id="1"/>
      <w:r w:rsidRPr="00B675F2">
        <w:t>Modification History</w:t>
      </w:r>
    </w:p>
    <w:p w:rsidR="00000000" w:rsidRPr="00B675F2" w:rsidP="0030399C">
      <w:pPr>
        <w:pStyle w:val="BodyText"/>
      </w:pPr>
      <w:r w:rsidRPr="00B675F2">
        <w:t>Release 2. Quantum of hours of workplace practice removed. Supersedes and is equivalent to MEM04016 Develop and manufacture precision models (Release 1).</w:t>
      </w:r>
    </w:p>
    <w:p w:rsidR="00000000" w:rsidRPr="00B675F2" w:rsidP="0030399C">
      <w:pPr>
        <w:pStyle w:val="BodyText"/>
      </w:pPr>
      <w:r w:rsidRPr="00B675F2">
        <w:t>Release 1. Supersedes and is equivalent to MEM04016C Develop and manufac</w:t>
      </w:r>
      <w:r w:rsidRPr="00B675F2">
        <w:t>ture precision models.</w:t>
      </w:r>
    </w:p>
    <w:p w:rsidR="00000000" w:rsidRPr="00B675F2" w:rsidP="00B675F2">
      <w:pPr>
        <w:pStyle w:val="Heading1"/>
      </w:pPr>
      <w:bookmarkStart w:id="2" w:name="O_1084800"/>
      <w:bookmarkEnd w:id="2"/>
      <w:r w:rsidRPr="00B675F2">
        <w:t>Application</w:t>
      </w:r>
    </w:p>
    <w:p w:rsidR="00000000" w:rsidRPr="00B675F2" w:rsidP="0030399C">
      <w:pPr>
        <w:pStyle w:val="BodyText"/>
      </w:pPr>
      <w:r w:rsidRPr="00B675F2">
        <w:t>This unit of competency defines the skills and knowledge required to develop and manufacture precision models where accurate and complicated models are required to assist in the development and manufact</w:t>
      </w:r>
      <w:r w:rsidRPr="00B675F2">
        <w:t>ure of production of tooling for a wide variety of processes.</w:t>
      </w:r>
    </w:p>
    <w:p w:rsidR="00000000" w:rsidRPr="00B675F2" w:rsidP="0030399C">
      <w:pPr>
        <w:pStyle w:val="BodyText"/>
      </w:pPr>
      <w:r w:rsidRPr="00B675F2">
        <w:t>This unit can also apply to the inspection/completion of items made in the stereo lithography process.</w:t>
      </w:r>
    </w:p>
    <w:p w:rsidR="00000000" w:rsidRPr="00B675F2" w:rsidP="0030399C">
      <w:pPr>
        <w:pStyle w:val="BodyText"/>
      </w:pPr>
      <w:r w:rsidRPr="00B675F2">
        <w:t>When the programming of coordinate measurement machines and/or NC/CNC machines is require</w:t>
      </w:r>
      <w:r w:rsidRPr="00B675F2">
        <w:t>d appropriate machine programming units should also be selected.</w:t>
      </w:r>
    </w:p>
    <w:p w:rsidR="00000000" w:rsidRPr="00B675F2" w:rsidP="0030399C">
      <w:pPr>
        <w:pStyle w:val="BodyText"/>
      </w:pPr>
      <w:r w:rsidRPr="00B675F2">
        <w:t>No licensing, legislative or certification requirements apply to this unit at the time of publication.</w:t>
      </w:r>
    </w:p>
    <w:p w:rsidR="00000000" w:rsidRPr="00B675F2" w:rsidP="00B675F2">
      <w:pPr>
        <w:pStyle w:val="BodyText"/>
      </w:pPr>
      <w:r w:rsidRPr="00B675F2">
        <w:rPr>
          <w:rStyle w:val="SpecialBold"/>
        </w:rPr>
        <w:t>Band:</w:t>
      </w:r>
      <w:r w:rsidRPr="00B675F2">
        <w:rPr>
          <w:rStyle w:val="SpecialBold"/>
        </w:rPr>
        <w:tab/>
        <w:t>A</w:t>
      </w:r>
    </w:p>
    <w:p w:rsidR="00000000" w:rsidRPr="00B675F2" w:rsidP="00B675F2">
      <w:pPr>
        <w:pStyle w:val="BodyText"/>
      </w:pPr>
      <w:r w:rsidRPr="00B675F2">
        <w:rPr>
          <w:rStyle w:val="SpecialBold"/>
        </w:rPr>
        <w:t>Unit Weight:</w:t>
      </w:r>
      <w:r w:rsidRPr="00B675F2">
        <w:rPr>
          <w:rStyle w:val="SpecialBold"/>
        </w:rPr>
        <w:tab/>
        <w:t>6</w:t>
      </w:r>
    </w:p>
    <w:p w:rsidR="00000000" w:rsidRPr="00B675F2" w:rsidP="00B675F2">
      <w:pPr>
        <w:pStyle w:val="AllowPageBreak"/>
      </w:pPr>
    </w:p>
    <w:p w:rsidR="00000000" w:rsidRPr="00B675F2" w:rsidP="00B675F2">
      <w:pPr>
        <w:pStyle w:val="Heading1"/>
      </w:pPr>
      <w:bookmarkStart w:id="3" w:name="O_1084799"/>
      <w:bookmarkEnd w:id="3"/>
      <w:r w:rsidRPr="00B675F2">
        <w:t>Pre-requisite Unit</w:t>
      </w:r>
    </w:p>
    <w:tbl>
      <w:tblPr>
        <w:tblW w:w="0" w:type="auto"/>
        <w:tblLayout w:type="fixed"/>
        <w:tblCellMar>
          <w:left w:w="62" w:type="dxa"/>
          <w:right w:w="62" w:type="dxa"/>
        </w:tblCellMar>
        <w:tblLook w:val="0000"/>
      </w:tblPr>
      <w:tblGrid>
        <w:gridCol w:w="2218"/>
        <w:gridCol w:w="6398"/>
      </w:tblGrid>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MEM04010</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Develop and manu</w:t>
            </w:r>
            <w:r w:rsidRPr="00B675F2">
              <w:t>facture wood patterns</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MEM04011</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Produce polymer patterns</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MEM04012</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Assemble plated patterns</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MEM04013</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Develop and manufacture polystyrene patterns</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MEM04014</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Develop and manufacture production patterns</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MEM04015</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Develop and manufacture vacuum forming moulds and associated equipment</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MEM04018</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Perform general woodworking machine operations</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MEM07005</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Perform general machining</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MEM09002</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Interpret technical drawing</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MEM11011</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Undertake manual handling</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MEM12003</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Perform precision mechanical measurement</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MEM12006</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Mark off/out (general engineering)</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MEM12023</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Perform engineering measurements</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MEM12024</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Perform computations</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MEM12026</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Perform advanced trade calculations in a manufacturing, engineering or related environ</w:t>
            </w:r>
            <w:r w:rsidRPr="00B675F2">
              <w:t>ment</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MEM13003</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Work safely with industrial chemicals and materials</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MEM13015</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Work safely and effectively in manufacturing and engineering</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MEM14006</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Plan work activities</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MEM16006</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Organise and communicate information</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MEM18001</w:t>
            </w:r>
          </w:p>
        </w:tc>
        <w:tc>
          <w:tcPr>
            <w:tcW w:w="639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Use hand tools</w:t>
            </w:r>
          </w:p>
        </w:tc>
      </w:tr>
      <w:tr w:rsidTr="00B675F2">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MEM18002</w:t>
            </w:r>
          </w:p>
        </w:tc>
        <w:tc>
          <w:tcPr>
            <w:tcW w:w="6398" w:type="dxa"/>
            <w:tcBorders>
              <w:top w:val="nil"/>
              <w:left w:val="nil"/>
              <w:bottom w:val="nil"/>
              <w:right w:val="nil"/>
            </w:tcBorders>
            <w:tcMar>
              <w:top w:w="0" w:type="dxa"/>
              <w:left w:w="62" w:type="dxa"/>
              <w:bottom w:w="0" w:type="dxa"/>
              <w:right w:w="62" w:type="dxa"/>
            </w:tcMar>
          </w:tcPr>
          <w:p w:rsidR="00000000" w:rsidRPr="00B675F2" w:rsidP="00B675F2">
            <w:pPr>
              <w:pStyle w:val="BodyText"/>
            </w:pPr>
            <w:r w:rsidRPr="00B675F2">
              <w:t>Use power tools/hand held operations</w:t>
            </w:r>
          </w:p>
        </w:tc>
      </w:tr>
    </w:tbl>
    <w:p w:rsidR="00000000" w:rsidRPr="00B675F2" w:rsidP="00B675F2">
      <w:pPr>
        <w:pStyle w:val="BodyText"/>
      </w:pPr>
    </w:p>
    <w:p w:rsidR="00000000" w:rsidRPr="00B675F2" w:rsidP="00B675F2">
      <w:pPr>
        <w:pStyle w:val="AllowPageBreak"/>
      </w:pPr>
    </w:p>
    <w:p w:rsidR="00000000" w:rsidRPr="00B675F2" w:rsidP="00B675F2">
      <w:pPr>
        <w:pStyle w:val="Heading1"/>
      </w:pPr>
      <w:bookmarkStart w:id="4" w:name="O_1084798"/>
      <w:bookmarkEnd w:id="4"/>
      <w:r w:rsidRPr="00B675F2">
        <w:t>Competency Field</w:t>
      </w:r>
    </w:p>
    <w:p w:rsidR="00000000" w:rsidRPr="00B675F2" w:rsidP="0030399C">
      <w:pPr>
        <w:pStyle w:val="BodyText"/>
      </w:pPr>
      <w:r w:rsidRPr="00B675F2">
        <w:t>Casting and moulding</w:t>
      </w:r>
    </w:p>
    <w:p w:rsidR="00000000" w:rsidRPr="00B675F2" w:rsidP="00B675F2">
      <w:pPr>
        <w:pStyle w:val="Heading1"/>
      </w:pPr>
      <w:bookmarkStart w:id="5" w:name="O_1084797"/>
      <w:bookmarkEnd w:id="5"/>
      <w:r w:rsidRPr="00B675F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675F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Performance criteria describe the performance needed to demonstr</w:t>
            </w:r>
            <w:r w:rsidRPr="00B675F2">
              <w:t>ate achievement of the element.</w:t>
            </w:r>
          </w:p>
        </w:tc>
      </w:tr>
      <w:tr w:rsidTr="00B675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675F2" w:rsidP="00B675F2">
            <w:pPr>
              <w:pStyle w:val="BodyText"/>
            </w:pPr>
            <w:r w:rsidRPr="00B675F2">
              <w:t>1</w:t>
            </w:r>
          </w:p>
        </w:tc>
        <w:tc>
          <w:tcPr>
            <w:tcW w:w="1986" w:type="dxa"/>
            <w:vMerge w:val="restart"/>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1.1</w:t>
            </w:r>
          </w:p>
        </w:tc>
        <w:tc>
          <w:tcPr>
            <w:tcW w:w="567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Follow standard operating procedures (SOPs)</w:t>
            </w:r>
          </w:p>
        </w:tc>
      </w:tr>
      <w:tr w:rsidTr="00B675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1.2</w:t>
            </w:r>
          </w:p>
        </w:tc>
        <w:tc>
          <w:tcPr>
            <w:tcW w:w="567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Comply with work health and safety (WHS) requirements at all times</w:t>
            </w:r>
          </w:p>
        </w:tc>
      </w:tr>
      <w:tr w:rsidTr="00B675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1.3</w:t>
            </w:r>
          </w:p>
        </w:tc>
        <w:tc>
          <w:tcPr>
            <w:tcW w:w="567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 xml:space="preserve">Use appropriate personal protective equipment (PPE) in </w:t>
            </w:r>
            <w:r w:rsidRPr="00B675F2">
              <w:t>accordance with SOPs</w:t>
            </w:r>
          </w:p>
        </w:tc>
      </w:tr>
      <w:tr w:rsidTr="00B675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1.4</w:t>
            </w:r>
          </w:p>
        </w:tc>
        <w:tc>
          <w:tcPr>
            <w:tcW w:w="567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Identify job requirements from specifications, drawings, job sheets or work instructions</w:t>
            </w:r>
          </w:p>
        </w:tc>
      </w:tr>
      <w:tr w:rsidTr="00B675F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675F2">
            <w:pPr>
              <w:pStyle w:val="BodyText"/>
              <w:rPr>
                <w:lang w:val="en-NZ"/>
              </w:rPr>
            </w:pPr>
          </w:p>
        </w:tc>
      </w:tr>
      <w:tr w:rsidTr="00B675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675F2" w:rsidP="00B675F2">
            <w:pPr>
              <w:pStyle w:val="BodyText"/>
            </w:pPr>
            <w:r w:rsidRPr="00B675F2">
              <w:t>2</w:t>
            </w:r>
          </w:p>
        </w:tc>
        <w:tc>
          <w:tcPr>
            <w:tcW w:w="1986" w:type="dxa"/>
            <w:vMerge w:val="restart"/>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rPr>
                <w:rStyle w:val="SpecialBold"/>
              </w:rPr>
              <w:t>Lay out model</w:t>
            </w:r>
          </w:p>
        </w:tc>
        <w:tc>
          <w:tcPr>
            <w:tcW w:w="779"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2.1</w:t>
            </w:r>
          </w:p>
        </w:tc>
        <w:tc>
          <w:tcPr>
            <w:tcW w:w="567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Select appropriate material to meet specifications</w:t>
            </w:r>
          </w:p>
        </w:tc>
      </w:tr>
      <w:tr w:rsidTr="00B675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2.2</w:t>
            </w:r>
          </w:p>
        </w:tc>
        <w:tc>
          <w:tcPr>
            <w:tcW w:w="567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Develop and plan finished model design with reference to customer</w:t>
            </w:r>
            <w:r>
              <w:t>’</w:t>
            </w:r>
            <w:r w:rsidRPr="00B675F2">
              <w:t>s specifications (written or verbal) for finish, quality and form, using applicable processes</w:t>
            </w:r>
          </w:p>
        </w:tc>
      </w:tr>
      <w:tr w:rsidTr="00B675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2.3</w:t>
            </w:r>
          </w:p>
        </w:tc>
        <w:tc>
          <w:tcPr>
            <w:tcW w:w="567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Calculate contractions allowances, clearances and tapers to establish model parameters</w:t>
            </w:r>
          </w:p>
        </w:tc>
      </w:tr>
      <w:tr w:rsidTr="00B675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2.4</w:t>
            </w:r>
          </w:p>
        </w:tc>
        <w:tc>
          <w:tcPr>
            <w:tcW w:w="567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Design and manufacture datum boards, jigs and fixtures as required</w:t>
            </w:r>
          </w:p>
        </w:tc>
      </w:tr>
      <w:tr w:rsidTr="00B675F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675F2">
            <w:pPr>
              <w:pStyle w:val="BodyText"/>
              <w:rPr>
                <w:lang w:val="en-NZ"/>
              </w:rPr>
            </w:pPr>
          </w:p>
        </w:tc>
      </w:tr>
      <w:tr w:rsidTr="00B675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675F2" w:rsidP="00B675F2">
            <w:pPr>
              <w:pStyle w:val="BodyText"/>
            </w:pPr>
            <w:r w:rsidRPr="00B675F2">
              <w:t>3</w:t>
            </w:r>
          </w:p>
        </w:tc>
        <w:tc>
          <w:tcPr>
            <w:tcW w:w="1986" w:type="dxa"/>
            <w:vMerge w:val="restart"/>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rPr>
                <w:rStyle w:val="SpecialBold"/>
              </w:rPr>
              <w:t>Manufacture model</w:t>
            </w:r>
          </w:p>
        </w:tc>
        <w:tc>
          <w:tcPr>
            <w:tcW w:w="779"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3.1</w:t>
            </w:r>
          </w:p>
        </w:tc>
        <w:tc>
          <w:tcPr>
            <w:tcW w:w="567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Determine sequence of manufacture, including build-up on datum board, and establishing datum</w:t>
            </w:r>
            <w:r>
              <w:t>’</w:t>
            </w:r>
            <w:r w:rsidRPr="00B675F2">
              <w:t>s mark out of model and areas to be NC/CNC machined</w:t>
            </w:r>
          </w:p>
        </w:tc>
      </w:tr>
      <w:tr w:rsidTr="00B675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3.2</w:t>
            </w:r>
          </w:p>
        </w:tc>
        <w:tc>
          <w:tcPr>
            <w:tcW w:w="567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Select and use appropriate machines and machining processes to shape/produce model to specifications</w:t>
            </w:r>
          </w:p>
        </w:tc>
      </w:tr>
      <w:tr w:rsidTr="00B675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3.3</w:t>
            </w:r>
          </w:p>
        </w:tc>
        <w:tc>
          <w:tcPr>
            <w:tcW w:w="567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Select and use a range of hand and hand held power tools to fashion and manufacture model to fine tolerances according to specifications, ensuring t</w:t>
            </w:r>
            <w:r w:rsidRPr="00B675F2">
              <w:t>hat surface finish is appropriate to the type of model</w:t>
            </w:r>
          </w:p>
        </w:tc>
      </w:tr>
      <w:tr w:rsidTr="00B675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3.4</w:t>
            </w:r>
          </w:p>
        </w:tc>
        <w:tc>
          <w:tcPr>
            <w:tcW w:w="5678"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Undertake appropriate measurement/calculations to check specifications, including coordinate measuring and machine checking as required</w:t>
            </w:r>
          </w:p>
        </w:tc>
      </w:tr>
      <w:tr w:rsidTr="00B675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3.5</w:t>
            </w:r>
          </w:p>
        </w:tc>
        <w:tc>
          <w:tcPr>
            <w:tcW w:w="5678" w:type="dxa"/>
            <w:tcBorders>
              <w:top w:val="nil"/>
              <w:left w:val="nil"/>
              <w:bottom w:val="nil"/>
              <w:right w:val="nil"/>
            </w:tcBorders>
            <w:tcMar>
              <w:top w:w="0" w:type="dxa"/>
              <w:left w:w="62" w:type="dxa"/>
              <w:bottom w:w="0" w:type="dxa"/>
              <w:right w:w="62" w:type="dxa"/>
            </w:tcMar>
          </w:tcPr>
          <w:p w:rsidR="00000000" w:rsidRPr="00B675F2" w:rsidP="00B675F2">
            <w:pPr>
              <w:pStyle w:val="BodyText"/>
            </w:pPr>
            <w:r w:rsidRPr="00B675F2">
              <w:t>Record and report all deviations or modifications to original tooling design, prints or plans, consistent with procedures</w:t>
            </w:r>
          </w:p>
        </w:tc>
      </w:tr>
    </w:tbl>
    <w:p w:rsidR="00000000" w:rsidRPr="00B675F2" w:rsidP="00B675F2">
      <w:pPr>
        <w:pStyle w:val="BodyText"/>
      </w:pPr>
    </w:p>
    <w:p w:rsidR="00000000" w:rsidRPr="00B675F2" w:rsidP="00B675F2">
      <w:pPr>
        <w:pStyle w:val="AllowPageBreak"/>
      </w:pPr>
    </w:p>
    <w:p w:rsidR="00000000" w:rsidRPr="00B675F2" w:rsidP="00B675F2">
      <w:pPr>
        <w:pStyle w:val="Heading1"/>
      </w:pPr>
      <w:bookmarkStart w:id="6" w:name="O_1084796"/>
      <w:bookmarkEnd w:id="6"/>
      <w:r w:rsidRPr="00B675F2">
        <w:t>Foundation Skills</w:t>
      </w:r>
    </w:p>
    <w:p w:rsidR="00000000" w:rsidRPr="00B675F2" w:rsidP="0030399C">
      <w:pPr>
        <w:pStyle w:val="BodyText"/>
      </w:pPr>
      <w:r w:rsidRPr="00B675F2">
        <w:t>This section describes those required skills (reading, writing, oral communication and numeracy</w:t>
      </w:r>
      <w:r w:rsidRPr="00B675F2">
        <w:t xml:space="preserve">) that are essential to workplace performance in this unit of competency.  </w:t>
      </w:r>
    </w:p>
    <w:p w:rsidR="00000000" w:rsidRPr="00B675F2" w:rsidP="0030399C">
      <w:pPr>
        <w:pStyle w:val="BodyText"/>
      </w:pPr>
      <w:r w:rsidRPr="00B675F2">
        <w:t>Foundation skills essential to performance are explicit in the performance criteria of this unit of competency.</w:t>
      </w:r>
    </w:p>
    <w:p w:rsidR="00000000" w:rsidRPr="00B675F2" w:rsidP="00B675F2">
      <w:pPr>
        <w:pStyle w:val="Heading1"/>
      </w:pPr>
      <w:bookmarkStart w:id="7" w:name="O_1084795"/>
      <w:bookmarkEnd w:id="7"/>
      <w:r w:rsidRPr="00B675F2">
        <w:t>Range of Conditions</w:t>
      </w:r>
    </w:p>
    <w:tbl>
      <w:tblPr>
        <w:tblW w:w="9198" w:type="dxa"/>
        <w:tblLayout w:type="fixed"/>
        <w:tblCellMar>
          <w:left w:w="62" w:type="dxa"/>
          <w:right w:w="62" w:type="dxa"/>
        </w:tblCellMar>
        <w:tblLook w:val="0000"/>
      </w:tblPr>
      <w:tblGrid>
        <w:gridCol w:w="3311"/>
        <w:gridCol w:w="5831"/>
        <w:gridCol w:w="56"/>
      </w:tblGrid>
      <w:tr w:rsidTr="00B675F2">
        <w:tblPrEx>
          <w:tblW w:w="9198" w:type="dxa"/>
          <w:tblLayout w:type="fixed"/>
          <w:tblCellMar>
            <w:left w:w="62" w:type="dxa"/>
            <w:right w:w="62" w:type="dxa"/>
          </w:tblCellMar>
          <w:tblLook w:val="0000"/>
        </w:tblPrEx>
        <w:trPr>
          <w:gridAfter w:val="1"/>
          <w:wAfter w:w="56" w:type="dxa"/>
          <w:tblHeader/>
        </w:trPr>
        <w:tc>
          <w:tcPr>
            <w:tcW w:w="9142" w:type="dxa"/>
            <w:gridSpan w:val="2"/>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t>This field allows for differ</w:t>
            </w:r>
            <w:r w:rsidRPr="00B675F2">
              <w:t>ent work environments and conditions that may affect performance. Essential operating conditions that may be present (depending on the work situation, needs of the candidate, accessibility of the item, and local industry and regional contexts) are included</w:t>
            </w:r>
            <w:r w:rsidRPr="00B675F2">
              <w:t>.</w:t>
            </w:r>
          </w:p>
        </w:tc>
      </w:tr>
      <w:tr w:rsidTr="00B675F2">
        <w:tblPrEx>
          <w:tblW w:w="9198" w:type="dxa"/>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rPr>
                <w:rStyle w:val="SpecialBold"/>
              </w:rPr>
              <w:t>Models include one (1) or more of the following:</w:t>
            </w:r>
          </w:p>
        </w:tc>
        <w:tc>
          <w:tcPr>
            <w:tcW w:w="5887" w:type="dxa"/>
            <w:gridSpan w:val="2"/>
            <w:tcBorders>
              <w:top w:val="nil"/>
              <w:left w:val="nil"/>
              <w:bottom w:val="nil"/>
              <w:right w:val="nil"/>
            </w:tcBorders>
            <w:tcMar>
              <w:top w:w="0" w:type="dxa"/>
              <w:left w:w="62" w:type="dxa"/>
              <w:bottom w:w="0" w:type="dxa"/>
              <w:right w:w="62" w:type="dxa"/>
            </w:tcMar>
          </w:tcPr>
          <w:p w:rsidR="00000000" w:rsidRPr="00B675F2" w:rsidP="00B675F2">
            <w:pPr>
              <w:pStyle w:val="ListBullet"/>
            </w:pPr>
            <w:r w:rsidRPr="00B675F2">
              <w:t>flow</w:t>
            </w:r>
          </w:p>
          <w:p w:rsidR="00000000" w:rsidRPr="00B675F2" w:rsidP="00B675F2">
            <w:pPr>
              <w:pStyle w:val="ListBullet"/>
            </w:pPr>
            <w:r w:rsidRPr="00B675F2">
              <w:t>viewing</w:t>
            </w:r>
          </w:p>
          <w:p w:rsidR="00000000" w:rsidRPr="00B675F2" w:rsidP="00B675F2">
            <w:pPr>
              <w:pStyle w:val="ListBullet"/>
            </w:pPr>
            <w:r w:rsidRPr="00B675F2">
              <w:t>prototype</w:t>
            </w:r>
          </w:p>
          <w:p w:rsidR="00000000" w:rsidRPr="00B675F2" w:rsidP="00B675F2">
            <w:pPr>
              <w:pStyle w:val="ListBullet"/>
            </w:pPr>
            <w:r w:rsidRPr="00B675F2">
              <w:t>development</w:t>
            </w:r>
          </w:p>
          <w:p w:rsidR="00000000" w:rsidP="00B675F2">
            <w:pPr>
              <w:pStyle w:val="BodyText"/>
              <w:rPr>
                <w:lang w:val="en-NZ"/>
              </w:rPr>
            </w:pPr>
          </w:p>
        </w:tc>
      </w:tr>
      <w:tr w:rsidTr="00B675F2">
        <w:tblPrEx>
          <w:tblW w:w="9198" w:type="dxa"/>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rPr>
                <w:rStyle w:val="SpecialBold"/>
              </w:rPr>
              <w:t>Material includes one (1) or more of the following:</w:t>
            </w:r>
          </w:p>
        </w:tc>
        <w:tc>
          <w:tcPr>
            <w:tcW w:w="5887" w:type="dxa"/>
            <w:gridSpan w:val="2"/>
            <w:tcBorders>
              <w:top w:val="nil"/>
              <w:left w:val="nil"/>
              <w:bottom w:val="nil"/>
              <w:right w:val="nil"/>
            </w:tcBorders>
            <w:tcMar>
              <w:top w:w="0" w:type="dxa"/>
              <w:left w:w="62" w:type="dxa"/>
              <w:bottom w:w="0" w:type="dxa"/>
              <w:right w:w="62" w:type="dxa"/>
            </w:tcMar>
          </w:tcPr>
          <w:p w:rsidR="00000000" w:rsidRPr="00B675F2" w:rsidP="00B675F2">
            <w:pPr>
              <w:pStyle w:val="ListBullet"/>
            </w:pPr>
            <w:r w:rsidRPr="00B675F2">
              <w:t>timber</w:t>
            </w:r>
          </w:p>
          <w:p w:rsidR="00000000" w:rsidRPr="00B675F2" w:rsidP="00B675F2">
            <w:pPr>
              <w:pStyle w:val="ListBullet"/>
            </w:pPr>
            <w:r w:rsidRPr="00B675F2">
              <w:t>metal</w:t>
            </w:r>
          </w:p>
          <w:p w:rsidR="00000000" w:rsidRPr="00B675F2" w:rsidP="00B675F2">
            <w:pPr>
              <w:pStyle w:val="ListBullet"/>
            </w:pPr>
            <w:r w:rsidRPr="00B675F2">
              <w:t>plastic</w:t>
            </w:r>
          </w:p>
          <w:p w:rsidR="00000000" w:rsidRPr="00B675F2" w:rsidP="00B675F2">
            <w:pPr>
              <w:pStyle w:val="ListBullet"/>
            </w:pPr>
            <w:r w:rsidRPr="00B675F2">
              <w:t>fibreglass</w:t>
            </w:r>
          </w:p>
          <w:p w:rsidR="00000000" w:rsidRPr="00B675F2" w:rsidP="00B675F2">
            <w:pPr>
              <w:pStyle w:val="ListBullet"/>
            </w:pPr>
            <w:r w:rsidRPr="00B675F2">
              <w:t>composites</w:t>
            </w:r>
          </w:p>
          <w:p w:rsidR="00000000" w:rsidP="00B675F2">
            <w:pPr>
              <w:pStyle w:val="BodyText"/>
              <w:rPr>
                <w:lang w:val="en-NZ"/>
              </w:rPr>
            </w:pPr>
          </w:p>
        </w:tc>
      </w:tr>
      <w:tr w:rsidTr="00B675F2">
        <w:tblPrEx>
          <w:tblW w:w="9198" w:type="dxa"/>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rPr>
                <w:rStyle w:val="SpecialBold"/>
              </w:rPr>
              <w:t>Processes include one (1) or more of the following:</w:t>
            </w:r>
          </w:p>
        </w:tc>
        <w:tc>
          <w:tcPr>
            <w:tcW w:w="5887" w:type="dxa"/>
            <w:gridSpan w:val="2"/>
            <w:tcBorders>
              <w:top w:val="nil"/>
              <w:left w:val="nil"/>
              <w:bottom w:val="nil"/>
              <w:right w:val="nil"/>
            </w:tcBorders>
            <w:tcMar>
              <w:top w:w="0" w:type="dxa"/>
              <w:left w:w="62" w:type="dxa"/>
              <w:bottom w:w="0" w:type="dxa"/>
              <w:right w:w="62" w:type="dxa"/>
            </w:tcMar>
          </w:tcPr>
          <w:p w:rsidR="00000000" w:rsidRPr="00B675F2" w:rsidP="00B675F2">
            <w:pPr>
              <w:pStyle w:val="ListBullet"/>
            </w:pPr>
            <w:r w:rsidRPr="00B675F2">
              <w:t>high volume foundry tooling</w:t>
            </w:r>
          </w:p>
          <w:p w:rsidR="00000000" w:rsidRPr="00B675F2" w:rsidP="00B675F2">
            <w:pPr>
              <w:pStyle w:val="ListBullet"/>
            </w:pPr>
            <w:r w:rsidRPr="00B675F2">
              <w:t>blow moulding</w:t>
            </w:r>
          </w:p>
          <w:p w:rsidR="00000000" w:rsidRPr="00B675F2" w:rsidP="00B675F2">
            <w:pPr>
              <w:pStyle w:val="ListBullet"/>
            </w:pPr>
            <w:r w:rsidRPr="00B675F2">
              <w:t>metal forming</w:t>
            </w:r>
          </w:p>
          <w:p w:rsidR="00000000" w:rsidRPr="00B675F2" w:rsidP="00B675F2">
            <w:pPr>
              <w:pStyle w:val="ListBullet"/>
            </w:pPr>
            <w:r w:rsidRPr="00B675F2">
              <w:t>vacuum forming</w:t>
            </w:r>
          </w:p>
          <w:p w:rsidR="00000000" w:rsidRPr="00B675F2" w:rsidP="00B675F2">
            <w:pPr>
              <w:pStyle w:val="ListBullet"/>
            </w:pPr>
            <w:r w:rsidRPr="00B675F2">
              <w:t>rotational moulding</w:t>
            </w:r>
          </w:p>
          <w:p w:rsidR="00000000" w:rsidRPr="00B675F2" w:rsidP="00B675F2">
            <w:pPr>
              <w:pStyle w:val="ListBullet"/>
            </w:pPr>
            <w:r w:rsidRPr="00B675F2">
              <w:t>gravity die casting</w:t>
            </w:r>
          </w:p>
          <w:p w:rsidR="00000000" w:rsidRPr="00B675F2" w:rsidP="00B675F2">
            <w:pPr>
              <w:pStyle w:val="ListBullet"/>
            </w:pPr>
            <w:r w:rsidRPr="00B675F2">
              <w:t>pressure die casting</w:t>
            </w:r>
          </w:p>
          <w:p w:rsidR="00000000" w:rsidRPr="00B675F2" w:rsidP="00B675F2">
            <w:pPr>
              <w:pStyle w:val="ListBullet"/>
            </w:pPr>
            <w:r w:rsidRPr="00B675F2">
              <w:t>low pressure die casting</w:t>
            </w:r>
          </w:p>
          <w:p w:rsidR="00000000" w:rsidRPr="00B675F2" w:rsidP="00B675F2">
            <w:pPr>
              <w:pStyle w:val="ListBullet"/>
            </w:pPr>
            <w:r w:rsidRPr="00B675F2">
              <w:t xml:space="preserve">complex ferrous and non-ferrous castings </w:t>
            </w:r>
          </w:p>
          <w:p w:rsidR="00000000" w:rsidRPr="00B675F2" w:rsidP="00B675F2">
            <w:pPr>
              <w:pStyle w:val="ListBullet"/>
            </w:pPr>
            <w:r w:rsidRPr="00B675F2">
              <w:t>plastic injection moulding</w:t>
            </w:r>
          </w:p>
          <w:p w:rsidR="00000000" w:rsidP="00B675F2">
            <w:pPr>
              <w:pStyle w:val="BodyText"/>
              <w:rPr>
                <w:lang w:val="en-NZ"/>
              </w:rPr>
            </w:pPr>
          </w:p>
        </w:tc>
      </w:tr>
      <w:tr w:rsidTr="00B675F2">
        <w:tblPrEx>
          <w:tblW w:w="9198" w:type="dxa"/>
          <w:tblLayout w:type="fixed"/>
          <w:tblCellMar>
            <w:left w:w="62" w:type="dxa"/>
            <w:right w:w="62" w:type="dxa"/>
          </w:tblCellMar>
          <w:tblLook w:val="0000"/>
        </w:tblPrEx>
        <w:tc>
          <w:tcPr>
            <w:tcW w:w="3311" w:type="dxa"/>
            <w:tcBorders>
              <w:top w:val="nil"/>
              <w:left w:val="nil"/>
              <w:bottom w:val="nil"/>
              <w:right w:val="nil"/>
            </w:tcBorders>
            <w:tcMar>
              <w:top w:w="0" w:type="dxa"/>
              <w:left w:w="62" w:type="dxa"/>
              <w:bottom w:w="0" w:type="dxa"/>
              <w:right w:w="62" w:type="dxa"/>
            </w:tcMar>
          </w:tcPr>
          <w:p w:rsidR="00000000" w:rsidP="00B675F2">
            <w:pPr>
              <w:pStyle w:val="BodyText"/>
              <w:rPr>
                <w:lang w:val="en-NZ"/>
              </w:rPr>
            </w:pPr>
            <w:r w:rsidRPr="00B675F2">
              <w:rPr>
                <w:rStyle w:val="SpecialBold"/>
              </w:rPr>
              <w:t>Specifications include one (1) or more of the following:</w:t>
            </w:r>
          </w:p>
        </w:tc>
        <w:tc>
          <w:tcPr>
            <w:tcW w:w="5887" w:type="dxa"/>
            <w:gridSpan w:val="2"/>
            <w:tcBorders>
              <w:top w:val="nil"/>
              <w:left w:val="nil"/>
              <w:bottom w:val="nil"/>
              <w:right w:val="nil"/>
            </w:tcBorders>
            <w:tcMar>
              <w:top w:w="0" w:type="dxa"/>
              <w:left w:w="62" w:type="dxa"/>
              <w:bottom w:w="0" w:type="dxa"/>
              <w:right w:w="62" w:type="dxa"/>
            </w:tcMar>
          </w:tcPr>
          <w:p w:rsidR="00000000" w:rsidRPr="00B675F2" w:rsidP="00B675F2">
            <w:pPr>
              <w:pStyle w:val="ListBullet"/>
            </w:pPr>
            <w:r w:rsidRPr="00B675F2">
              <w:t xml:space="preserve">complex drawings </w:t>
            </w:r>
          </w:p>
          <w:p w:rsidR="00000000" w:rsidRPr="00B675F2" w:rsidP="00B675F2">
            <w:pPr>
              <w:pStyle w:val="ListBullet"/>
            </w:pPr>
            <w:r w:rsidRPr="00B675F2">
              <w:t>Mylar drawings</w:t>
            </w:r>
          </w:p>
          <w:p w:rsidR="00000000" w:rsidRPr="00B675F2" w:rsidP="00B675F2">
            <w:pPr>
              <w:pStyle w:val="ListBullet"/>
            </w:pPr>
            <w:r w:rsidRPr="00B675F2">
              <w:t xml:space="preserve">technical sketches </w:t>
            </w:r>
          </w:p>
          <w:p w:rsidR="00000000" w:rsidRPr="00B675F2" w:rsidP="00B675F2">
            <w:pPr>
              <w:pStyle w:val="ListBullet"/>
            </w:pPr>
            <w:r w:rsidRPr="00B675F2">
              <w:t>customer requirements</w:t>
            </w:r>
          </w:p>
        </w:tc>
      </w:tr>
    </w:tbl>
    <w:p w:rsidR="00000000" w:rsidRPr="00B675F2" w:rsidP="00B675F2">
      <w:pPr>
        <w:pStyle w:val="BodyText"/>
      </w:pPr>
    </w:p>
    <w:p w:rsidR="00000000" w:rsidRPr="00B675F2" w:rsidP="00B675F2">
      <w:pPr>
        <w:pStyle w:val="AllowPageBreak"/>
      </w:pPr>
    </w:p>
    <w:p w:rsidR="00000000" w:rsidRPr="00B675F2" w:rsidP="00B675F2">
      <w:pPr>
        <w:pStyle w:val="Heading1"/>
      </w:pPr>
      <w:bookmarkStart w:id="8" w:name="O_1084794"/>
      <w:bookmarkEnd w:id="8"/>
      <w:r w:rsidRPr="00B675F2">
        <w:t>Unit Mapping Information</w:t>
      </w:r>
    </w:p>
    <w:p w:rsidR="00000000" w:rsidRPr="00B675F2" w:rsidP="0030399C">
      <w:pPr>
        <w:pStyle w:val="BodyText"/>
      </w:pPr>
      <w:r w:rsidRPr="00B675F2">
        <w:t>Release 2. Supersedes and is equivalent to MEM04016 Develop and manufacture p</w:t>
      </w:r>
      <w:r w:rsidRPr="00B675F2">
        <w:t>recision models (Release 1).</w:t>
      </w:r>
    </w:p>
    <w:p w:rsidR="00000000" w:rsidRPr="00B675F2" w:rsidP="0030399C">
      <w:pPr>
        <w:pStyle w:val="BodyText"/>
      </w:pPr>
      <w:r w:rsidRPr="00B675F2">
        <w:t>Release 1. Supersedes and is equivalent to MEM04016C Develop and manufacture precision models.</w:t>
      </w:r>
    </w:p>
    <w:p w:rsidR="00000000" w:rsidRPr="00B675F2" w:rsidP="00B675F2">
      <w:pPr>
        <w:pStyle w:val="Heading1"/>
      </w:pPr>
      <w:bookmarkStart w:id="9" w:name="O_1084802"/>
      <w:bookmarkEnd w:id="9"/>
      <w:r w:rsidRPr="00B675F2">
        <w:t>Links</w:t>
      </w:r>
    </w:p>
    <w:p w:rsidR="00000000" w:rsidRPr="00B675F2" w:rsidP="0030399C">
      <w:pPr>
        <w:pStyle w:val="BodyText"/>
      </w:pPr>
      <w:r w:rsidRPr="00B675F2">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DB145F">
        <w:rPr>
          <w:rStyle w:val="Hyperlink"/>
        </w:rPr>
        <w:t>https://vetnet.gov.au/Pages/TrainingDocs.aspx?q=b7050d37-5fd0-4740-8f7d-3b7a49c10bb2</w:t>
      </w:r>
      <w:r>
        <w:fldChar w:fldCharType="end"/>
      </w:r>
    </w:p>
    <w:p w:rsidR="00000000" w:rsidRPr="00B675F2" w:rsidP="00B675F2"/>
    <w:sectPr w:rsidSect="00B675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F2" w:rsidRPr="0030399C" w:rsidP="003039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9C" w:rsidP="00B67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399C" w:rsidP="00B675F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399C" w:rsidP="00B675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5F2" w:rsidRPr="0030399C" w:rsidP="003039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99C" w:rsidRPr="002D2AF8" w:rsidP="00B675F2">
    <w:pPr>
      <w:pStyle w:val="Header"/>
      <w:framePr w:wrap="around"/>
    </w:pPr>
    <w:r>
      <w:fldChar w:fldCharType="begin"/>
    </w:r>
    <w:r>
      <w:instrText xml:space="preserve"> TITLE   \* MERGEFORMAT </w:instrText>
    </w:r>
    <w:r>
      <w:fldChar w:fldCharType="separate"/>
    </w:r>
    <w:r>
      <w:t>MEM04016 Develop and manufacture precision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30399C" w:rsidP="00B675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78D5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AC5E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5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5F2"/>
    <w:pPr>
      <w:spacing w:before="360" w:after="60"/>
      <w:outlineLvl w:val="0"/>
    </w:pPr>
    <w:rPr>
      <w:sz w:val="32"/>
    </w:rPr>
  </w:style>
  <w:style w:type="paragraph" w:styleId="Heading2">
    <w:name w:val="heading 2"/>
    <w:basedOn w:val="HeadingBase"/>
    <w:next w:val="BodyText"/>
    <w:link w:val="Heading2Char"/>
    <w:qFormat/>
    <w:rsid w:val="00B675F2"/>
    <w:pPr>
      <w:keepLines/>
      <w:spacing w:before="240" w:after="120"/>
      <w:outlineLvl w:val="1"/>
    </w:pPr>
    <w:rPr>
      <w:sz w:val="28"/>
      <w:szCs w:val="40"/>
    </w:rPr>
  </w:style>
  <w:style w:type="paragraph" w:styleId="Heading3">
    <w:name w:val="heading 3"/>
    <w:basedOn w:val="HeadingBase"/>
    <w:next w:val="BodyText"/>
    <w:link w:val="Heading3Char"/>
    <w:qFormat/>
    <w:rsid w:val="00B675F2"/>
    <w:pPr>
      <w:spacing w:before="180" w:after="120"/>
      <w:outlineLvl w:val="2"/>
    </w:pPr>
    <w:rPr>
      <w:spacing w:val="-10"/>
      <w:kern w:val="32"/>
    </w:rPr>
  </w:style>
  <w:style w:type="paragraph" w:styleId="Heading4">
    <w:name w:val="heading 4"/>
    <w:basedOn w:val="HeadingBase"/>
    <w:next w:val="BodyText"/>
    <w:link w:val="Heading4Char"/>
    <w:qFormat/>
    <w:rsid w:val="00B675F2"/>
    <w:pPr>
      <w:spacing w:before="160" w:after="120"/>
      <w:outlineLvl w:val="3"/>
    </w:pPr>
    <w:rPr>
      <w:sz w:val="22"/>
    </w:rPr>
  </w:style>
  <w:style w:type="paragraph" w:styleId="Heading5">
    <w:name w:val="heading 5"/>
    <w:basedOn w:val="HeadingBase"/>
    <w:next w:val="Normal"/>
    <w:link w:val="Heading5Char"/>
    <w:qFormat/>
    <w:rsid w:val="00B675F2"/>
    <w:pPr>
      <w:spacing w:before="80"/>
      <w:outlineLvl w:val="4"/>
    </w:pPr>
    <w:rPr>
      <w:color w:val="918585"/>
      <w:sz w:val="20"/>
    </w:rPr>
  </w:style>
  <w:style w:type="paragraph" w:styleId="Heading6">
    <w:name w:val="heading 6"/>
    <w:basedOn w:val="HeadingBase"/>
    <w:next w:val="Normal"/>
    <w:link w:val="Heading6Char"/>
    <w:qFormat/>
    <w:rsid w:val="00B675F2"/>
    <w:pPr>
      <w:spacing w:before="60"/>
      <w:outlineLvl w:val="5"/>
    </w:pPr>
    <w:rPr>
      <w:color w:val="918585"/>
      <w:sz w:val="20"/>
    </w:rPr>
  </w:style>
  <w:style w:type="paragraph" w:styleId="Heading7">
    <w:name w:val="heading 7"/>
    <w:basedOn w:val="Normal"/>
    <w:next w:val="Normal"/>
    <w:link w:val="Heading7Char"/>
    <w:qFormat/>
    <w:rsid w:val="00B675F2"/>
    <w:pPr>
      <w:ind w:left="720"/>
      <w:outlineLvl w:val="6"/>
    </w:pPr>
    <w:rPr>
      <w:i/>
    </w:rPr>
  </w:style>
  <w:style w:type="paragraph" w:styleId="Heading8">
    <w:name w:val="heading 8"/>
    <w:basedOn w:val="Normal"/>
    <w:next w:val="Normal"/>
    <w:link w:val="Heading8Char"/>
    <w:qFormat/>
    <w:rsid w:val="00B675F2"/>
    <w:pPr>
      <w:ind w:left="720"/>
      <w:outlineLvl w:val="7"/>
    </w:pPr>
    <w:rPr>
      <w:i/>
    </w:rPr>
  </w:style>
  <w:style w:type="paragraph" w:styleId="Heading9">
    <w:name w:val="heading 9"/>
    <w:basedOn w:val="Normal"/>
    <w:next w:val="Normal"/>
    <w:link w:val="Heading9Char"/>
    <w:qFormat/>
    <w:rsid w:val="00B675F2"/>
    <w:pPr>
      <w:ind w:left="720"/>
      <w:outlineLvl w:val="8"/>
    </w:pPr>
    <w:rPr>
      <w:i/>
    </w:rPr>
  </w:style>
  <w:style w:type="character" w:default="1" w:styleId="DefaultParagraphFont">
    <w:name w:val="Default Paragraph Font"/>
    <w:uiPriority w:val="1"/>
    <w:unhideWhenUsed/>
    <w:rsid w:val="00B67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5F2"/>
  </w:style>
  <w:style w:type="character" w:customStyle="1" w:styleId="Heading1Char">
    <w:name w:val="Heading 1 Char"/>
    <w:basedOn w:val="DefaultParagraphFont"/>
    <w:link w:val="Heading1"/>
    <w:rsid w:val="00B675F2"/>
    <w:rPr>
      <w:rFonts w:ascii="Times New Roman" w:eastAsia="Times New Roman" w:hAnsi="Times New Roman" w:cs="Times New Roman"/>
      <w:b/>
      <w:sz w:val="32"/>
      <w:szCs w:val="20"/>
      <w:lang w:eastAsia="en-US"/>
    </w:rPr>
  </w:style>
  <w:style w:type="paragraph" w:styleId="BodyText">
    <w:name w:val="Body Text"/>
    <w:basedOn w:val="Normal"/>
    <w:link w:val="BodyTextChar"/>
    <w:rsid w:val="00B675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5F2"/>
    <w:rPr>
      <w:rFonts w:ascii="Times New Roman" w:eastAsia="Times New Roman" w:hAnsi="Times New Roman" w:cs="Times New Roman"/>
      <w:sz w:val="24"/>
      <w:lang w:eastAsia="en-US"/>
    </w:rPr>
  </w:style>
  <w:style w:type="paragraph" w:styleId="ListBullet">
    <w:name w:val="List Bullet"/>
    <w:basedOn w:val="List"/>
    <w:rsid w:val="00B675F2"/>
    <w:pPr>
      <w:numPr>
        <w:numId w:val="11"/>
      </w:numPr>
      <w:tabs>
        <w:tab w:val="clear" w:pos="340"/>
      </w:tabs>
      <w:spacing w:before="40" w:after="40"/>
    </w:pPr>
  </w:style>
  <w:style w:type="character" w:customStyle="1" w:styleId="SpecialBold">
    <w:name w:val="Special Bold"/>
    <w:basedOn w:val="DefaultParagraphFont"/>
    <w:rsid w:val="00B675F2"/>
    <w:rPr>
      <w:b/>
      <w:spacing w:val="0"/>
    </w:rPr>
  </w:style>
  <w:style w:type="paragraph" w:customStyle="1" w:styleId="SuperHeading">
    <w:name w:val="SuperHeading"/>
    <w:basedOn w:val="Normal"/>
    <w:rsid w:val="00B675F2"/>
    <w:pPr>
      <w:spacing w:before="240" w:after="120"/>
      <w:outlineLvl w:val="0"/>
    </w:pPr>
    <w:rPr>
      <w:rFonts w:ascii="Times New Roman" w:hAnsi="Times New Roman"/>
      <w:b/>
      <w:sz w:val="32"/>
    </w:rPr>
  </w:style>
  <w:style w:type="paragraph" w:customStyle="1" w:styleId="AllowPageBreak">
    <w:name w:val="AllowPageBreak"/>
    <w:rsid w:val="00B675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7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5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5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5F2"/>
    <w:rPr>
      <w:rFonts w:ascii="Courier New" w:eastAsia="Times New Roman" w:hAnsi="Courier New" w:cs="Times New Roman"/>
      <w:i/>
      <w:szCs w:val="20"/>
      <w:lang w:eastAsia="en-US"/>
    </w:rPr>
  </w:style>
  <w:style w:type="paragraph" w:customStyle="1" w:styleId="HeadingBase">
    <w:name w:val="Heading Base"/>
    <w:rsid w:val="00B67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5F2"/>
    <w:pPr>
      <w:tabs>
        <w:tab w:val="right" w:leader="dot" w:pos="9072"/>
      </w:tabs>
      <w:ind w:left="567"/>
    </w:pPr>
    <w:rPr>
      <w:szCs w:val="22"/>
    </w:rPr>
  </w:style>
  <w:style w:type="paragraph" w:customStyle="1" w:styleId="TOCBase">
    <w:name w:val="TOC Base"/>
    <w:rsid w:val="00B67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5F2"/>
    <w:pPr>
      <w:tabs>
        <w:tab w:val="right" w:leader="dot" w:pos="9072"/>
      </w:tabs>
      <w:spacing w:before="40" w:after="40"/>
      <w:ind w:left="284"/>
    </w:pPr>
    <w:rPr>
      <w:rFonts w:ascii="Times New Roman" w:hAnsi="Times New Roman"/>
    </w:rPr>
  </w:style>
  <w:style w:type="paragraph" w:styleId="TOC1">
    <w:name w:val="toc 1"/>
    <w:basedOn w:val="TOCBase"/>
    <w:next w:val="Normal"/>
    <w:rsid w:val="00B675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5F2"/>
    <w:rPr>
      <w:rFonts w:ascii="Times New Roman" w:eastAsia="Times New Roman" w:hAnsi="Times New Roman" w:cs="Times New Roman"/>
      <w:sz w:val="16"/>
      <w:lang w:eastAsia="en-US"/>
    </w:rPr>
  </w:style>
  <w:style w:type="paragraph" w:styleId="Title">
    <w:name w:val="Title"/>
    <w:basedOn w:val="HeadingBase"/>
    <w:link w:val="TitleChar"/>
    <w:qFormat/>
    <w:rsid w:val="00B675F2"/>
    <w:pPr>
      <w:spacing w:before="5040"/>
      <w:jc w:val="center"/>
    </w:pPr>
    <w:rPr>
      <w:sz w:val="48"/>
      <w:szCs w:val="72"/>
      <w:lang w:val="en-US"/>
    </w:rPr>
  </w:style>
  <w:style w:type="character" w:customStyle="1" w:styleId="TitleChar">
    <w:name w:val="Title Char"/>
    <w:basedOn w:val="DefaultParagraphFont"/>
    <w:link w:val="Title"/>
    <w:rsid w:val="00B67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5F2"/>
    <w:pPr>
      <w:tabs>
        <w:tab w:val="left" w:pos="3600"/>
        <w:tab w:val="left" w:pos="3958"/>
      </w:tabs>
    </w:pPr>
  </w:style>
  <w:style w:type="paragraph" w:styleId="List">
    <w:name w:val="List"/>
    <w:basedOn w:val="BodyText"/>
    <w:next w:val="BodyText"/>
    <w:rsid w:val="00B675F2"/>
    <w:pPr>
      <w:tabs>
        <w:tab w:val="left" w:pos="340"/>
      </w:tabs>
      <w:spacing w:before="60" w:after="60"/>
      <w:ind w:left="340" w:hanging="340"/>
    </w:pPr>
  </w:style>
  <w:style w:type="paragraph" w:customStyle="1" w:styleId="Note">
    <w:name w:val="Note"/>
    <w:basedOn w:val="BodyText"/>
    <w:rsid w:val="00B67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75F2"/>
    <w:pPr>
      <w:framePr w:wrap="auto" w:hAnchor="text" w:y="6049"/>
    </w:pPr>
    <w:rPr>
      <w:color w:val="000000"/>
      <w:sz w:val="40"/>
    </w:rPr>
  </w:style>
  <w:style w:type="paragraph" w:customStyle="1" w:styleId="TOCTitle">
    <w:name w:val="TOCTitle"/>
    <w:basedOn w:val="Heading1"/>
    <w:rsid w:val="00B675F2"/>
    <w:pPr>
      <w:spacing w:after="240"/>
      <w:jc w:val="center"/>
      <w:outlineLvl w:val="9"/>
    </w:pPr>
    <w:rPr>
      <w:caps/>
    </w:rPr>
  </w:style>
  <w:style w:type="paragraph" w:customStyle="1" w:styleId="Version">
    <w:name w:val="Version"/>
    <w:rsid w:val="00B675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75F2"/>
    <w:pPr>
      <w:numPr>
        <w:numId w:val="12"/>
      </w:numPr>
      <w:tabs>
        <w:tab w:val="clear" w:pos="680"/>
      </w:tabs>
    </w:pPr>
  </w:style>
  <w:style w:type="paragraph" w:styleId="Index1">
    <w:name w:val="index 1"/>
    <w:basedOn w:val="Normal"/>
    <w:next w:val="Normal"/>
    <w:semiHidden/>
    <w:rsid w:val="00B675F2"/>
    <w:pPr>
      <w:keepNext w:val="0"/>
      <w:tabs>
        <w:tab w:val="right" w:pos="4176"/>
      </w:tabs>
      <w:ind w:left="198" w:hanging="198"/>
    </w:pPr>
    <w:rPr>
      <w:rFonts w:ascii="Garamond" w:hAnsi="Garamond"/>
    </w:rPr>
  </w:style>
  <w:style w:type="paragraph" w:styleId="IndexHeading">
    <w:name w:val="index heading"/>
    <w:basedOn w:val="Normal"/>
    <w:next w:val="Index1"/>
    <w:semiHidden/>
    <w:rsid w:val="00B675F2"/>
    <w:pPr>
      <w:spacing w:before="120" w:after="120"/>
    </w:pPr>
    <w:rPr>
      <w:rFonts w:ascii="Arial" w:hAnsi="Arial"/>
      <w:b/>
      <w:color w:val="918585"/>
      <w:sz w:val="24"/>
    </w:rPr>
  </w:style>
  <w:style w:type="paragraph" w:styleId="Header">
    <w:name w:val="header"/>
    <w:basedOn w:val="Normal"/>
    <w:link w:val="HeaderChar"/>
    <w:rsid w:val="00B67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5F2"/>
    <w:rPr>
      <w:rFonts w:ascii="Times New Roman" w:eastAsia="Times New Roman" w:hAnsi="Times New Roman" w:cs="Times New Roman"/>
      <w:sz w:val="16"/>
      <w:szCs w:val="20"/>
      <w:lang w:val="en-GB" w:eastAsia="en-US"/>
    </w:rPr>
  </w:style>
  <w:style w:type="paragraph" w:customStyle="1" w:styleId="Chapter">
    <w:name w:val="Chapter"/>
    <w:basedOn w:val="Normal"/>
    <w:rsid w:val="00B675F2"/>
    <w:pPr>
      <w:spacing w:before="240"/>
    </w:pPr>
    <w:rPr>
      <w:rFonts w:ascii="Times New Roman" w:hAnsi="Times New Roman"/>
      <w:smallCaps/>
      <w:spacing w:val="80"/>
      <w:sz w:val="28"/>
    </w:rPr>
  </w:style>
  <w:style w:type="paragraph" w:customStyle="1" w:styleId="InChapter">
    <w:name w:val="InChapter"/>
    <w:basedOn w:val="Heading3"/>
    <w:rsid w:val="00B675F2"/>
    <w:pPr>
      <w:spacing w:after="240"/>
      <w:outlineLvl w:val="9"/>
    </w:pPr>
    <w:rPr>
      <w:noProof/>
    </w:rPr>
  </w:style>
  <w:style w:type="paragraph" w:styleId="Index2">
    <w:name w:val="index 2"/>
    <w:basedOn w:val="Normal"/>
    <w:next w:val="Normal"/>
    <w:semiHidden/>
    <w:rsid w:val="00B675F2"/>
    <w:pPr>
      <w:tabs>
        <w:tab w:val="right" w:pos="4176"/>
      </w:tabs>
      <w:ind w:left="568" w:hanging="284"/>
    </w:pPr>
    <w:rPr>
      <w:rFonts w:ascii="Garamond" w:hAnsi="Garamond"/>
    </w:rPr>
  </w:style>
  <w:style w:type="paragraph" w:customStyle="1" w:styleId="Byline">
    <w:name w:val="Byline"/>
    <w:rsid w:val="00B67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5F2"/>
    <w:pPr>
      <w:tabs>
        <w:tab w:val="clear" w:pos="3600"/>
        <w:tab w:val="clear" w:pos="3958"/>
      </w:tabs>
      <w:jc w:val="right"/>
    </w:pPr>
  </w:style>
  <w:style w:type="character" w:styleId="Emphasis">
    <w:name w:val="Emphasis"/>
    <w:basedOn w:val="DefaultParagraphFont"/>
    <w:qFormat/>
    <w:rsid w:val="00B675F2"/>
    <w:rPr>
      <w:i/>
    </w:rPr>
  </w:style>
  <w:style w:type="paragraph" w:styleId="Caption">
    <w:name w:val="caption"/>
    <w:basedOn w:val="BodyText"/>
    <w:next w:val="Normal"/>
    <w:qFormat/>
    <w:rsid w:val="00B675F2"/>
    <w:pPr>
      <w:framePr w:w="2268" w:hSpace="181" w:vSpace="181" w:wrap="around" w:vAnchor="text" w:hAnchor="page" w:x="1135" w:y="285" w:anchorLock="1"/>
    </w:pPr>
    <w:rPr>
      <w:i/>
    </w:rPr>
  </w:style>
  <w:style w:type="paragraph" w:customStyle="1" w:styleId="MiniTOCTitle">
    <w:name w:val="MiniTOCTitle"/>
    <w:basedOn w:val="Heading4"/>
    <w:rsid w:val="00B675F2"/>
    <w:pPr>
      <w:spacing w:before="240"/>
      <w:outlineLvl w:val="9"/>
    </w:pPr>
    <w:rPr>
      <w:noProof/>
      <w:sz w:val="24"/>
    </w:rPr>
  </w:style>
  <w:style w:type="paragraph" w:customStyle="1" w:styleId="MiniTOCItem">
    <w:name w:val="MiniTOCItem"/>
    <w:basedOn w:val="ListBullet"/>
    <w:rsid w:val="00B675F2"/>
    <w:pPr>
      <w:numPr>
        <w:numId w:val="0"/>
      </w:numPr>
      <w:tabs>
        <w:tab w:val="right" w:leader="dot" w:pos="6521"/>
      </w:tabs>
      <w:spacing w:before="0" w:after="0"/>
    </w:pPr>
  </w:style>
  <w:style w:type="paragraph" w:customStyle="1" w:styleId="TOFTitle">
    <w:name w:val="TOFTitle"/>
    <w:basedOn w:val="TOCTitle"/>
    <w:rsid w:val="00B675F2"/>
  </w:style>
  <w:style w:type="paragraph" w:styleId="TableofFigures">
    <w:name w:val="table of figures"/>
    <w:basedOn w:val="Normal"/>
    <w:next w:val="Normal"/>
    <w:semiHidden/>
    <w:rsid w:val="00B675F2"/>
    <w:pPr>
      <w:tabs>
        <w:tab w:val="right" w:leader="dot" w:pos="9072"/>
      </w:tabs>
      <w:ind w:left="970" w:hanging="403"/>
    </w:pPr>
    <w:rPr>
      <w:rFonts w:ascii="Times New Roman" w:hAnsi="Times New Roman"/>
      <w:b/>
    </w:rPr>
  </w:style>
  <w:style w:type="paragraph" w:styleId="ListNumber">
    <w:name w:val="List Number"/>
    <w:basedOn w:val="List"/>
    <w:rsid w:val="00B675F2"/>
    <w:pPr>
      <w:numPr>
        <w:numId w:val="14"/>
      </w:numPr>
      <w:tabs>
        <w:tab w:val="clear" w:pos="340"/>
      </w:tabs>
    </w:pPr>
  </w:style>
  <w:style w:type="character" w:customStyle="1" w:styleId="WingdingSymbols">
    <w:name w:val="Wingding Symbols"/>
    <w:rsid w:val="00B675F2"/>
    <w:rPr>
      <w:rFonts w:ascii="Wingdings" w:hAnsi="Wingdings"/>
    </w:rPr>
  </w:style>
  <w:style w:type="paragraph" w:customStyle="1" w:styleId="TableHeading">
    <w:name w:val="Table Heading"/>
    <w:basedOn w:val="HeadingBase"/>
    <w:rsid w:val="00B675F2"/>
    <w:pPr>
      <w:keepLines/>
      <w:pBdr>
        <w:bottom w:val="single" w:sz="6" w:space="1" w:color="918585"/>
      </w:pBdr>
      <w:spacing w:before="240"/>
    </w:pPr>
  </w:style>
  <w:style w:type="character" w:customStyle="1" w:styleId="HotSpot">
    <w:name w:val="HotSpot"/>
    <w:rsid w:val="00B675F2"/>
    <w:rPr>
      <w:color w:val="0033CC"/>
      <w:u w:val="none"/>
    </w:rPr>
  </w:style>
  <w:style w:type="paragraph" w:customStyle="1" w:styleId="BodyTextRight">
    <w:name w:val="Body Text Right"/>
    <w:basedOn w:val="BodyText"/>
    <w:rsid w:val="00B675F2"/>
    <w:pPr>
      <w:spacing w:before="0" w:after="0"/>
      <w:jc w:val="right"/>
    </w:pPr>
  </w:style>
  <w:style w:type="paragraph" w:styleId="Index3">
    <w:name w:val="index 3"/>
    <w:basedOn w:val="ListNumber2"/>
    <w:next w:val="Normal"/>
    <w:semiHidden/>
    <w:rsid w:val="00B675F2"/>
    <w:pPr>
      <w:numPr>
        <w:numId w:val="0"/>
      </w:numPr>
      <w:tabs>
        <w:tab w:val="right" w:leader="dot" w:pos="4176"/>
      </w:tabs>
    </w:pPr>
  </w:style>
  <w:style w:type="paragraph" w:styleId="ListNumber2">
    <w:name w:val="List Number 2"/>
    <w:basedOn w:val="List2"/>
    <w:rsid w:val="00B675F2"/>
    <w:pPr>
      <w:numPr>
        <w:numId w:val="9"/>
      </w:numPr>
      <w:tabs>
        <w:tab w:val="clear" w:pos="1060"/>
      </w:tabs>
    </w:pPr>
  </w:style>
  <w:style w:type="paragraph" w:customStyle="1" w:styleId="MarginNote">
    <w:name w:val="Margin Note"/>
    <w:basedOn w:val="BodyText"/>
    <w:rsid w:val="00B67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5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5F2"/>
    <w:rPr>
      <w:sz w:val="32"/>
    </w:rPr>
  </w:style>
  <w:style w:type="paragraph" w:customStyle="1" w:styleId="HeadingProcedure">
    <w:name w:val="Heading Procedure"/>
    <w:basedOn w:val="HeadingBase"/>
    <w:next w:val="Normal"/>
    <w:rsid w:val="00B675F2"/>
    <w:pPr>
      <w:tabs>
        <w:tab w:val="left" w:pos="0"/>
      </w:tabs>
      <w:spacing w:before="120" w:after="60"/>
    </w:pPr>
    <w:rPr>
      <w:i/>
      <w:color w:val="918585"/>
      <w:sz w:val="22"/>
    </w:rPr>
  </w:style>
  <w:style w:type="paragraph" w:customStyle="1" w:styleId="TableBodyText">
    <w:name w:val="Table Body Text"/>
    <w:basedOn w:val="BodyText"/>
    <w:rsid w:val="00B675F2"/>
    <w:pPr>
      <w:spacing w:before="60" w:after="60"/>
    </w:pPr>
  </w:style>
  <w:style w:type="paragraph" w:styleId="ListContinue">
    <w:name w:val="List Continue"/>
    <w:basedOn w:val="List"/>
    <w:rsid w:val="00B675F2"/>
    <w:pPr>
      <w:ind w:firstLine="0"/>
    </w:pPr>
  </w:style>
  <w:style w:type="paragraph" w:customStyle="1" w:styleId="ListNote">
    <w:name w:val="List Note"/>
    <w:basedOn w:val="List"/>
    <w:rsid w:val="00B675F2"/>
    <w:pPr>
      <w:pBdr>
        <w:top w:val="single" w:sz="6" w:space="2" w:color="918585"/>
        <w:bottom w:val="single" w:sz="6" w:space="2" w:color="918585"/>
      </w:pBdr>
      <w:tabs>
        <w:tab w:val="left" w:pos="1021"/>
      </w:tabs>
      <w:ind w:firstLine="0"/>
    </w:pPr>
  </w:style>
  <w:style w:type="paragraph" w:customStyle="1" w:styleId="Warning">
    <w:name w:val="Warning"/>
    <w:basedOn w:val="BodyText"/>
    <w:rsid w:val="00B675F2"/>
    <w:pPr>
      <w:shd w:val="clear" w:color="auto" w:fill="D9D9D9"/>
      <w:tabs>
        <w:tab w:val="left" w:pos="992"/>
      </w:tabs>
      <w:ind w:left="119" w:right="119"/>
    </w:pPr>
    <w:rPr>
      <w:sz w:val="20"/>
    </w:rPr>
  </w:style>
  <w:style w:type="paragraph" w:customStyle="1" w:styleId="MarginIcons">
    <w:name w:val="Margin Icons"/>
    <w:basedOn w:val="BodyText"/>
    <w:rsid w:val="00B67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5F2"/>
    <w:rPr>
      <w:rFonts w:ascii="Courier New" w:hAnsi="Courier New"/>
    </w:rPr>
  </w:style>
  <w:style w:type="paragraph" w:customStyle="1" w:styleId="NoteBullet">
    <w:name w:val="Note Bullet"/>
    <w:basedOn w:val="Note"/>
    <w:rsid w:val="00B675F2"/>
    <w:pPr>
      <w:tabs>
        <w:tab w:val="clear" w:pos="680"/>
      </w:tabs>
      <w:spacing w:before="60" w:after="60"/>
    </w:pPr>
  </w:style>
  <w:style w:type="paragraph" w:customStyle="1" w:styleId="SubHeading2">
    <w:name w:val="SubHeading2"/>
    <w:basedOn w:val="HeadingBase"/>
    <w:rsid w:val="00B675F2"/>
    <w:pPr>
      <w:spacing w:before="240" w:after="60"/>
    </w:pPr>
    <w:rPr>
      <w:sz w:val="20"/>
    </w:rPr>
  </w:style>
  <w:style w:type="paragraph" w:customStyle="1" w:styleId="SubHeading1">
    <w:name w:val="SubHeading1"/>
    <w:basedOn w:val="HeadingBase"/>
    <w:rsid w:val="00B675F2"/>
    <w:pPr>
      <w:spacing w:before="240" w:after="60"/>
    </w:pPr>
    <w:rPr>
      <w:color w:val="918585"/>
      <w:sz w:val="22"/>
    </w:rPr>
  </w:style>
  <w:style w:type="paragraph" w:customStyle="1" w:styleId="SideHeading">
    <w:name w:val="Side Heading"/>
    <w:basedOn w:val="HeadingBase"/>
    <w:rsid w:val="00B67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5F2"/>
    <w:pPr>
      <w:numPr>
        <w:numId w:val="10"/>
      </w:numPr>
    </w:pPr>
  </w:style>
  <w:style w:type="paragraph" w:styleId="PlainText">
    <w:name w:val="Plain Text"/>
    <w:basedOn w:val="Normal"/>
    <w:link w:val="PlainTextChar"/>
    <w:rsid w:val="00B675F2"/>
    <w:rPr>
      <w:sz w:val="20"/>
    </w:rPr>
  </w:style>
  <w:style w:type="character" w:customStyle="1" w:styleId="PlainTextChar">
    <w:name w:val="Plain Text Char"/>
    <w:basedOn w:val="DefaultParagraphFont"/>
    <w:link w:val="PlainText"/>
    <w:rsid w:val="00B675F2"/>
    <w:rPr>
      <w:rFonts w:ascii="Courier New" w:eastAsia="Times New Roman" w:hAnsi="Courier New" w:cs="Times New Roman"/>
      <w:sz w:val="20"/>
      <w:szCs w:val="20"/>
      <w:lang w:eastAsia="en-US"/>
    </w:rPr>
  </w:style>
  <w:style w:type="character" w:customStyle="1" w:styleId="MenuOption">
    <w:name w:val="Menu Option"/>
    <w:basedOn w:val="DefaultParagraphFont"/>
    <w:rsid w:val="00B675F2"/>
    <w:rPr>
      <w:b/>
      <w:smallCaps/>
    </w:rPr>
  </w:style>
  <w:style w:type="paragraph" w:customStyle="1" w:styleId="TableListNumber">
    <w:name w:val="Table List Number"/>
    <w:basedOn w:val="ListNumber"/>
    <w:rsid w:val="00B675F2"/>
    <w:pPr>
      <w:numPr>
        <w:numId w:val="0"/>
      </w:numPr>
    </w:pPr>
  </w:style>
  <w:style w:type="paragraph" w:styleId="TOC4">
    <w:name w:val="toc 4"/>
    <w:basedOn w:val="TOCBase"/>
    <w:next w:val="Normal"/>
    <w:semiHidden/>
    <w:rsid w:val="00B675F2"/>
    <w:pPr>
      <w:tabs>
        <w:tab w:val="right" w:leader="dot" w:pos="9071"/>
      </w:tabs>
      <w:ind w:left="1701"/>
    </w:pPr>
  </w:style>
  <w:style w:type="paragraph" w:customStyle="1" w:styleId="ListAlpha">
    <w:name w:val="List Alpha"/>
    <w:basedOn w:val="List"/>
    <w:rsid w:val="00B675F2"/>
    <w:pPr>
      <w:numPr>
        <w:numId w:val="8"/>
      </w:numPr>
    </w:pPr>
  </w:style>
  <w:style w:type="paragraph" w:customStyle="1" w:styleId="ListAlpha2">
    <w:name w:val="List Alpha 2"/>
    <w:basedOn w:val="List2"/>
    <w:rsid w:val="00B675F2"/>
    <w:pPr>
      <w:numPr>
        <w:numId w:val="7"/>
      </w:numPr>
    </w:pPr>
  </w:style>
  <w:style w:type="paragraph" w:styleId="List2">
    <w:name w:val="List 2"/>
    <w:basedOn w:val="BodyText"/>
    <w:rsid w:val="00B675F2"/>
    <w:pPr>
      <w:tabs>
        <w:tab w:val="left" w:pos="680"/>
      </w:tabs>
      <w:spacing w:before="60" w:after="60"/>
      <w:ind w:left="680" w:hanging="340"/>
    </w:pPr>
  </w:style>
  <w:style w:type="paragraph" w:styleId="List3">
    <w:name w:val="List 3"/>
    <w:basedOn w:val="BodyText"/>
    <w:rsid w:val="00B675F2"/>
    <w:pPr>
      <w:tabs>
        <w:tab w:val="left" w:pos="1021"/>
      </w:tabs>
      <w:spacing w:before="60" w:after="60"/>
      <w:ind w:left="1020" w:hanging="340"/>
    </w:pPr>
  </w:style>
  <w:style w:type="paragraph" w:styleId="List4">
    <w:name w:val="List 4"/>
    <w:basedOn w:val="BodyText"/>
    <w:rsid w:val="00B675F2"/>
    <w:pPr>
      <w:tabs>
        <w:tab w:val="left" w:pos="1361"/>
      </w:tabs>
      <w:spacing w:before="60" w:after="60"/>
      <w:ind w:left="1361" w:hanging="340"/>
    </w:pPr>
  </w:style>
  <w:style w:type="paragraph" w:styleId="List5">
    <w:name w:val="List 5"/>
    <w:basedOn w:val="BodyText"/>
    <w:rsid w:val="00B675F2"/>
    <w:pPr>
      <w:tabs>
        <w:tab w:val="left" w:pos="1701"/>
      </w:tabs>
      <w:spacing w:before="60" w:after="60"/>
      <w:ind w:left="1701" w:hanging="340"/>
    </w:pPr>
  </w:style>
  <w:style w:type="paragraph" w:styleId="ListBullet3">
    <w:name w:val="List Bullet 3"/>
    <w:basedOn w:val="List3"/>
    <w:rsid w:val="00B675F2"/>
    <w:pPr>
      <w:numPr>
        <w:numId w:val="13"/>
      </w:numPr>
      <w:tabs>
        <w:tab w:val="clear" w:pos="1021"/>
      </w:tabs>
      <w:ind w:left="1037" w:hanging="357"/>
    </w:pPr>
  </w:style>
  <w:style w:type="paragraph" w:styleId="ListBullet4">
    <w:name w:val="List Bullet 4"/>
    <w:basedOn w:val="List4"/>
    <w:rsid w:val="00B675F2"/>
    <w:pPr>
      <w:numPr>
        <w:numId w:val="2"/>
      </w:numPr>
      <w:tabs>
        <w:tab w:val="clear" w:pos="1361"/>
      </w:tabs>
    </w:pPr>
  </w:style>
  <w:style w:type="paragraph" w:styleId="ListBullet5">
    <w:name w:val="List Bullet 5"/>
    <w:basedOn w:val="List5"/>
    <w:rsid w:val="00B675F2"/>
    <w:pPr>
      <w:numPr>
        <w:numId w:val="3"/>
      </w:numPr>
    </w:pPr>
  </w:style>
  <w:style w:type="paragraph" w:styleId="ListContinue2">
    <w:name w:val="List Continue 2"/>
    <w:basedOn w:val="List2"/>
    <w:rsid w:val="00B675F2"/>
    <w:pPr>
      <w:ind w:firstLine="0"/>
    </w:pPr>
  </w:style>
  <w:style w:type="paragraph" w:styleId="ListContinue3">
    <w:name w:val="List Continue 3"/>
    <w:basedOn w:val="List3"/>
    <w:rsid w:val="00B675F2"/>
    <w:pPr>
      <w:ind w:left="1021" w:firstLine="0"/>
    </w:pPr>
  </w:style>
  <w:style w:type="paragraph" w:styleId="ListContinue4">
    <w:name w:val="List Continue 4"/>
    <w:basedOn w:val="List4"/>
    <w:rsid w:val="00B675F2"/>
    <w:pPr>
      <w:ind w:firstLine="0"/>
    </w:pPr>
  </w:style>
  <w:style w:type="paragraph" w:styleId="ListContinue5">
    <w:name w:val="List Continue 5"/>
    <w:basedOn w:val="List5"/>
    <w:rsid w:val="00B675F2"/>
    <w:pPr>
      <w:ind w:firstLine="0"/>
    </w:pPr>
  </w:style>
  <w:style w:type="paragraph" w:styleId="ListNumber3">
    <w:name w:val="List Number 3"/>
    <w:basedOn w:val="List3"/>
    <w:rsid w:val="00B675F2"/>
    <w:pPr>
      <w:numPr>
        <w:numId w:val="4"/>
      </w:numPr>
    </w:pPr>
  </w:style>
  <w:style w:type="paragraph" w:styleId="ListNumber4">
    <w:name w:val="List Number 4"/>
    <w:basedOn w:val="List4"/>
    <w:rsid w:val="00B675F2"/>
    <w:pPr>
      <w:numPr>
        <w:numId w:val="5"/>
      </w:numPr>
    </w:pPr>
  </w:style>
  <w:style w:type="paragraph" w:styleId="ListNumber5">
    <w:name w:val="List Number 5"/>
    <w:basedOn w:val="List5"/>
    <w:rsid w:val="00B675F2"/>
    <w:pPr>
      <w:numPr>
        <w:numId w:val="6"/>
      </w:numPr>
    </w:pPr>
  </w:style>
  <w:style w:type="paragraph" w:styleId="BlockText">
    <w:name w:val="Block Text"/>
    <w:basedOn w:val="Normal"/>
    <w:rsid w:val="00B675F2"/>
    <w:pPr>
      <w:spacing w:after="120"/>
      <w:ind w:left="1440" w:right="1440"/>
    </w:pPr>
  </w:style>
  <w:style w:type="character" w:customStyle="1" w:styleId="Subscript">
    <w:name w:val="Subscript"/>
    <w:basedOn w:val="DefaultParagraphFont"/>
    <w:rsid w:val="00B675F2"/>
    <w:rPr>
      <w:sz w:val="16"/>
      <w:vertAlign w:val="subscript"/>
    </w:rPr>
  </w:style>
  <w:style w:type="character" w:customStyle="1" w:styleId="Superscript">
    <w:name w:val="Superscript"/>
    <w:basedOn w:val="DefaultParagraphFont"/>
    <w:rsid w:val="00B675F2"/>
    <w:rPr>
      <w:sz w:val="16"/>
      <w:vertAlign w:val="superscript"/>
    </w:rPr>
  </w:style>
  <w:style w:type="character" w:customStyle="1" w:styleId="Symbols">
    <w:name w:val="Symbols"/>
    <w:basedOn w:val="DefaultParagraphFont"/>
    <w:rsid w:val="00B675F2"/>
    <w:rPr>
      <w:rFonts w:ascii="Symbol" w:hAnsi="Symbol"/>
    </w:rPr>
  </w:style>
  <w:style w:type="character" w:customStyle="1" w:styleId="MenuOptions">
    <w:name w:val="Menu Options"/>
    <w:basedOn w:val="DefaultParagraphFont"/>
    <w:rsid w:val="00B675F2"/>
    <w:rPr>
      <w:rFonts w:ascii="Arial Narrow" w:hAnsi="Arial Narrow"/>
      <w:smallCaps/>
    </w:rPr>
  </w:style>
  <w:style w:type="character" w:customStyle="1" w:styleId="Buttons">
    <w:name w:val="Buttons"/>
    <w:basedOn w:val="DefaultParagraphFont"/>
    <w:rsid w:val="00B675F2"/>
    <w:rPr>
      <w:b/>
    </w:rPr>
  </w:style>
  <w:style w:type="character" w:customStyle="1" w:styleId="Underlined">
    <w:name w:val="Underlined"/>
    <w:basedOn w:val="DefaultParagraphFont"/>
    <w:rsid w:val="00B675F2"/>
    <w:rPr>
      <w:u w:val="single"/>
    </w:rPr>
  </w:style>
  <w:style w:type="paragraph" w:customStyle="1" w:styleId="TableBodyTextRight">
    <w:name w:val="Table Body Text Right"/>
    <w:basedOn w:val="TableBodyText"/>
    <w:rsid w:val="00B675F2"/>
    <w:pPr>
      <w:widowControl w:val="0"/>
      <w:autoSpaceDE w:val="0"/>
      <w:autoSpaceDN w:val="0"/>
      <w:adjustRightInd w:val="0"/>
      <w:jc w:val="right"/>
    </w:pPr>
    <w:rPr>
      <w:rFonts w:cs="Arial"/>
      <w:szCs w:val="18"/>
    </w:rPr>
  </w:style>
  <w:style w:type="paragraph" w:customStyle="1" w:styleId="CopyrightText">
    <w:name w:val="Copyright Text"/>
    <w:basedOn w:val="BodyText"/>
    <w:rsid w:val="00B675F2"/>
    <w:rPr>
      <w:sz w:val="18"/>
    </w:rPr>
  </w:style>
  <w:style w:type="paragraph" w:customStyle="1" w:styleId="BodySmallRight">
    <w:name w:val="Body Small Right"/>
    <w:basedOn w:val="BodyTextRight"/>
    <w:rsid w:val="00B675F2"/>
    <w:rPr>
      <w:sz w:val="18"/>
      <w:szCs w:val="18"/>
    </w:rPr>
  </w:style>
  <w:style w:type="paragraph" w:customStyle="1" w:styleId="MarginEdition">
    <w:name w:val="Margin Edition"/>
    <w:basedOn w:val="MarginNote"/>
    <w:rsid w:val="00B675F2"/>
    <w:pPr>
      <w:spacing w:before="0" w:after="0"/>
    </w:pPr>
    <w:rPr>
      <w:rFonts w:ascii="Times New Roman" w:hAnsi="Times New Roman"/>
      <w:color w:val="999999"/>
    </w:rPr>
  </w:style>
  <w:style w:type="paragraph" w:customStyle="1" w:styleId="Spacer">
    <w:name w:val="Spacer"/>
    <w:basedOn w:val="Normal"/>
    <w:rsid w:val="00B675F2"/>
    <w:rPr>
      <w:sz w:val="2"/>
      <w:szCs w:val="2"/>
    </w:rPr>
  </w:style>
  <w:style w:type="character" w:customStyle="1" w:styleId="Small">
    <w:name w:val="Small"/>
    <w:basedOn w:val="DefaultParagraphFont"/>
    <w:rsid w:val="00B675F2"/>
    <w:rPr>
      <w:sz w:val="16"/>
    </w:rPr>
  </w:style>
  <w:style w:type="paragraph" w:customStyle="1" w:styleId="WideTable">
    <w:name w:val="Wide Table"/>
    <w:basedOn w:val="Normal"/>
    <w:rsid w:val="00B675F2"/>
    <w:pPr>
      <w:ind w:left="-1418"/>
    </w:pPr>
    <w:rPr>
      <w:sz w:val="2"/>
      <w:szCs w:val="2"/>
    </w:rPr>
  </w:style>
  <w:style w:type="character" w:styleId="PageNumber">
    <w:name w:val="page number"/>
    <w:basedOn w:val="DefaultParagraphFont"/>
    <w:rsid w:val="00B675F2"/>
  </w:style>
  <w:style w:type="paragraph" w:styleId="Quote">
    <w:name w:val="Quote"/>
    <w:basedOn w:val="Heading1"/>
    <w:link w:val="QuoteChar"/>
    <w:qFormat/>
    <w:rsid w:val="00B675F2"/>
    <w:rPr>
      <w:b w:val="0"/>
      <w:sz w:val="72"/>
      <w:szCs w:val="72"/>
      <w:lang w:val="en-NZ"/>
    </w:rPr>
  </w:style>
  <w:style w:type="character" w:customStyle="1" w:styleId="QuoteChar">
    <w:name w:val="Quote Char"/>
    <w:basedOn w:val="DefaultParagraphFont"/>
    <w:link w:val="Quote"/>
    <w:rsid w:val="00B67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5F2"/>
    <w:pPr>
      <w:pageBreakBefore/>
    </w:pPr>
  </w:style>
  <w:style w:type="paragraph" w:customStyle="1" w:styleId="Border">
    <w:name w:val="Border"/>
    <w:basedOn w:val="Normal"/>
    <w:qFormat/>
    <w:rsid w:val="00B67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5F2"/>
    <w:rPr>
      <w:b/>
      <w:bCs/>
      <w:i/>
      <w:iCs/>
      <w:color w:val="auto"/>
    </w:rPr>
  </w:style>
  <w:style w:type="paragraph" w:styleId="IntenseQuote">
    <w:name w:val="Intense Quote"/>
    <w:basedOn w:val="Normal"/>
    <w:next w:val="Normal"/>
    <w:link w:val="IntenseQuoteChar"/>
    <w:uiPriority w:val="30"/>
    <w:qFormat/>
    <w:rsid w:val="00B67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5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5F2"/>
    <w:rPr>
      <w:smallCaps/>
      <w:color w:val="auto"/>
      <w:u w:val="single"/>
    </w:rPr>
  </w:style>
  <w:style w:type="character" w:styleId="IntenseReference">
    <w:name w:val="Intense Reference"/>
    <w:basedOn w:val="DefaultParagraphFont"/>
    <w:uiPriority w:val="32"/>
    <w:qFormat/>
    <w:rsid w:val="00B675F2"/>
    <w:rPr>
      <w:b/>
      <w:bCs/>
      <w:smallCaps/>
      <w:color w:val="auto"/>
      <w:spacing w:val="5"/>
      <w:u w:val="single"/>
    </w:rPr>
  </w:style>
  <w:style w:type="paragraph" w:customStyle="1" w:styleId="2ColumnHeading">
    <w:name w:val="2Column Heading"/>
    <w:basedOn w:val="BodyText"/>
    <w:qFormat/>
    <w:rsid w:val="00B675F2"/>
    <w:pPr>
      <w:spacing w:after="60"/>
      <w:ind w:left="-2268"/>
    </w:pPr>
    <w:rPr>
      <w:b/>
    </w:rPr>
  </w:style>
  <w:style w:type="paragraph" w:customStyle="1" w:styleId="Heading1TOC">
    <w:name w:val="Heading1 TOC"/>
    <w:basedOn w:val="Normal"/>
    <w:qFormat/>
    <w:rsid w:val="00B675F2"/>
    <w:pPr>
      <w:spacing w:before="240" w:after="120"/>
    </w:pPr>
    <w:rPr>
      <w:rFonts w:ascii="Times New Roman" w:hAnsi="Times New Roman"/>
      <w:b/>
      <w:sz w:val="32"/>
    </w:rPr>
  </w:style>
  <w:style w:type="paragraph" w:customStyle="1" w:styleId="Heading2TOC">
    <w:name w:val="Heading2 TOC"/>
    <w:basedOn w:val="Normal"/>
    <w:qFormat/>
    <w:rsid w:val="00B675F2"/>
    <w:pPr>
      <w:spacing w:before="240" w:after="60"/>
    </w:pPr>
    <w:rPr>
      <w:rFonts w:ascii="Times New Roman" w:hAnsi="Times New Roman"/>
      <w:b/>
      <w:sz w:val="28"/>
    </w:rPr>
  </w:style>
  <w:style w:type="character" w:customStyle="1" w:styleId="Underline">
    <w:name w:val="Underline"/>
    <w:basedOn w:val="DefaultParagraphFont"/>
    <w:qFormat/>
    <w:rsid w:val="00B675F2"/>
    <w:rPr>
      <w:u w:val="single"/>
    </w:rPr>
  </w:style>
  <w:style w:type="character" w:customStyle="1" w:styleId="BoldandItalics">
    <w:name w:val="Bold and Italics"/>
    <w:qFormat/>
    <w:rsid w:val="00B675F2"/>
    <w:rPr>
      <w:b/>
      <w:i/>
      <w:u w:val="none"/>
    </w:rPr>
  </w:style>
  <w:style w:type="paragraph" w:styleId="BalloonText">
    <w:name w:val="Balloon Text"/>
    <w:basedOn w:val="Normal"/>
    <w:link w:val="BalloonTextChar"/>
    <w:rsid w:val="00B675F2"/>
    <w:rPr>
      <w:rFonts w:ascii="Tahoma" w:hAnsi="Tahoma" w:cs="Tahoma"/>
      <w:sz w:val="16"/>
      <w:szCs w:val="16"/>
    </w:rPr>
  </w:style>
  <w:style w:type="character" w:customStyle="1" w:styleId="BalloonTextChar">
    <w:name w:val="Balloon Text Char"/>
    <w:basedOn w:val="DefaultParagraphFont"/>
    <w:link w:val="BalloonText"/>
    <w:rsid w:val="00B675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5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5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5F2"/>
    <w:rPr>
      <w:b/>
      <w:color w:val="660033"/>
      <w:spacing w:val="0"/>
    </w:rPr>
  </w:style>
  <w:style w:type="paragraph" w:customStyle="1" w:styleId="Nameditemlist">
    <w:name w:val="Named item list"/>
    <w:basedOn w:val="BodyText"/>
    <w:qFormat/>
    <w:rsid w:val="00B675F2"/>
    <w:pPr>
      <w:tabs>
        <w:tab w:val="left" w:pos="2835"/>
      </w:tabs>
      <w:ind w:left="2835" w:hanging="2835"/>
    </w:pPr>
  </w:style>
  <w:style w:type="paragraph" w:customStyle="1" w:styleId="BodyTextnopadding">
    <w:name w:val="Body Text no padding"/>
    <w:basedOn w:val="BodyText"/>
    <w:qFormat/>
    <w:rsid w:val="00B675F2"/>
    <w:pPr>
      <w:spacing w:before="0" w:after="0"/>
    </w:pPr>
  </w:style>
  <w:style w:type="paragraph" w:customStyle="1" w:styleId="BodyTextBold">
    <w:name w:val="Body Text Bold"/>
    <w:basedOn w:val="BodyText"/>
    <w:qFormat/>
    <w:rsid w:val="00B675F2"/>
    <w:rPr>
      <w:b/>
    </w:rPr>
  </w:style>
  <w:style w:type="character" w:styleId="Hyperlink">
    <w:name w:val="Hyperlink"/>
    <w:basedOn w:val="DefaultParagraphFont"/>
    <w:uiPriority w:val="99"/>
    <w:unhideWhenUsed/>
    <w:rsid w:val="003039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4860</Characters>
  <Application>Microsoft Office Word</Application>
  <DocSecurity>0</DocSecurity>
  <Lines>231</Lines>
  <Paragraphs>155</Paragraphs>
  <ScaleCrop>false</ScaleCrop>
  <Company>Author-it Software Corporation Ltd.</Company>
  <LinksUpToDate>false</LinksUpToDate>
  <CharactersWithSpaces>5457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MEM04016 Develop and manufacture precision models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2021-03-31T03:16:00Z</dcterms:created>
  <dcterms:modified xsi:type="dcterms:W3CDTF">2021-03-31T03:16:00Z</dcterms:modified>
</cp:coreProperties>
</file>