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0ACA" w:rsidP="00B80A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MEM04007 Pour molten metal</w:t>
      </w:r>
      <w:r>
        <w:fldChar w:fldCharType="end"/>
      </w:r>
    </w:p>
    <w:p w:rsidR="00B80ACA" w:rsidP="00B80ACA">
      <w:pPr>
        <w:pStyle w:val="Version"/>
        <w:sectPr w:rsidSect="00EA60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6059" w:rsidP="00EA6059">
      <w:pPr>
        <w:pStyle w:val="SuperHeading"/>
      </w:pPr>
      <w:r w:rsidRPr="00EA6059">
        <w:t>MEM04007 Pour molten metal</w:t>
      </w:r>
    </w:p>
    <w:p w:rsidR="00000000" w:rsidRPr="00EA6059" w:rsidP="00EA6059">
      <w:pPr>
        <w:pStyle w:val="Heading1"/>
      </w:pPr>
      <w:bookmarkStart w:id="1" w:name="O_942985"/>
      <w:bookmarkEnd w:id="1"/>
      <w:r w:rsidRPr="00EA6059">
        <w:t>Modification History</w:t>
      </w:r>
    </w:p>
    <w:p w:rsidR="00000000" w:rsidRPr="00EA6059" w:rsidP="00B80ACA">
      <w:pPr>
        <w:pStyle w:val="BodyText"/>
      </w:pPr>
      <w:r w:rsidRPr="00EA6059">
        <w:t xml:space="preserve">Release 1. Supersedes and is equivalent to MEM04007B Pour molten metal </w:t>
      </w:r>
    </w:p>
    <w:p w:rsidR="00000000" w:rsidRPr="00EA6059" w:rsidP="00EA6059">
      <w:pPr>
        <w:pStyle w:val="Heading1"/>
      </w:pPr>
      <w:bookmarkStart w:id="2" w:name="O_942993"/>
      <w:bookmarkEnd w:id="2"/>
      <w:r w:rsidRPr="00EA6059">
        <w:t>Application</w:t>
      </w:r>
    </w:p>
    <w:p w:rsidR="00000000" w:rsidRPr="00EA6059" w:rsidP="00B80ACA">
      <w:pPr>
        <w:pStyle w:val="BodyText"/>
      </w:pPr>
      <w:r w:rsidRPr="00EA6059">
        <w:t xml:space="preserve">This unit of competency defines the skills and knowledge required to manually pour molten metal as part of metal casting and moulding </w:t>
      </w:r>
      <w:r w:rsidRPr="00EA6059">
        <w:t>processes.</w:t>
      </w:r>
    </w:p>
    <w:p w:rsidR="00000000" w:rsidRPr="00EA6059" w:rsidP="00B80ACA">
      <w:pPr>
        <w:pStyle w:val="BodyText"/>
      </w:pPr>
      <w:r w:rsidRPr="00EA6059">
        <w:t>Where the selection and use of engineering measuring equipment is required unit MEM12023 Perform engineering measurements should also be selected.</w:t>
      </w:r>
    </w:p>
    <w:p w:rsidR="00000000" w:rsidRPr="00EA6059" w:rsidP="00B80ACA">
      <w:pPr>
        <w:pStyle w:val="BodyText"/>
      </w:pPr>
      <w:r w:rsidRPr="00EA6059">
        <w:t xml:space="preserve">Where the selection and use of tools is required unit MEM18001 Use hand tools and unit MEM18002 </w:t>
      </w:r>
      <w:r w:rsidRPr="00EA6059">
        <w:t>Use power tools/hand held operations, should also be selected as appropriate.</w:t>
      </w:r>
    </w:p>
    <w:p w:rsidR="00000000" w:rsidRPr="00EA6059" w:rsidP="00B80ACA">
      <w:pPr>
        <w:pStyle w:val="BodyText"/>
      </w:pPr>
      <w:r w:rsidRPr="00EA6059">
        <w:t>Where lifting and moving of ladles requires the use of overhead cranes, applicable units should also be selected.</w:t>
      </w:r>
    </w:p>
    <w:p w:rsidR="00000000" w:rsidRPr="00EA6059" w:rsidP="00B80ACA">
      <w:pPr>
        <w:pStyle w:val="BodyText"/>
      </w:pPr>
      <w:r w:rsidRPr="00EA6059">
        <w:t xml:space="preserve">No licensing, legislative or certification requirements apply </w:t>
      </w:r>
      <w:r w:rsidRPr="00EA6059">
        <w:t>to this unit at the time of publication.</w:t>
      </w:r>
    </w:p>
    <w:p w:rsidR="00000000" w:rsidRPr="00EA6059" w:rsidP="00EA6059">
      <w:pPr>
        <w:pStyle w:val="BodyText"/>
      </w:pPr>
      <w:r w:rsidRPr="00EA6059">
        <w:rPr>
          <w:rStyle w:val="SpecialBold"/>
        </w:rPr>
        <w:t>Band:</w:t>
      </w:r>
      <w:r w:rsidRPr="00EA6059">
        <w:rPr>
          <w:rStyle w:val="SpecialBold"/>
        </w:rPr>
        <w:tab/>
        <w:t>A</w:t>
      </w:r>
    </w:p>
    <w:p w:rsidR="00000000" w:rsidRPr="00EA6059" w:rsidP="00EA6059">
      <w:pPr>
        <w:pStyle w:val="BodyText"/>
      </w:pPr>
      <w:r w:rsidRPr="00EA6059">
        <w:rPr>
          <w:rStyle w:val="SpecialBold"/>
        </w:rPr>
        <w:t>Unit Weight:</w:t>
      </w:r>
      <w:r w:rsidRPr="00EA6059">
        <w:rPr>
          <w:rStyle w:val="SpecialBold"/>
        </w:rPr>
        <w:tab/>
        <w:t>4</w:t>
      </w:r>
    </w:p>
    <w:p w:rsidR="00000000" w:rsidRPr="00EA6059" w:rsidP="00EA6059">
      <w:pPr>
        <w:pStyle w:val="AllowPageBreak"/>
      </w:pPr>
    </w:p>
    <w:p w:rsidR="00000000" w:rsidRPr="00EA6059" w:rsidP="00EA6059">
      <w:pPr>
        <w:pStyle w:val="Heading1"/>
      </w:pPr>
      <w:bookmarkStart w:id="3" w:name="O_942992"/>
      <w:bookmarkEnd w:id="3"/>
      <w:r w:rsidRPr="00EA605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95"/>
        <w:gridCol w:w="6337"/>
      </w:tblGrid>
      <w:tr w:rsidTr="00EA6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t>MEM11011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t>Undertake manual handling</w:t>
            </w:r>
          </w:p>
        </w:tc>
      </w:tr>
      <w:tr w:rsidTr="00EA6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t>MEM13004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t>Work safely with molten metals/glass</w:t>
            </w:r>
          </w:p>
        </w:tc>
      </w:tr>
      <w:tr w:rsidTr="00EA6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t>MEM13015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t>Work safely and effectively in manufacturing and engineering</w:t>
            </w:r>
          </w:p>
        </w:tc>
      </w:tr>
      <w:tr w:rsidTr="00EA6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t>MEM16006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059" w:rsidP="00EA6059">
            <w:pPr>
              <w:pStyle w:val="BodyText"/>
            </w:pPr>
            <w:r w:rsidRPr="00EA6059">
              <w:t>Organise and communicate information</w:t>
            </w:r>
          </w:p>
        </w:tc>
      </w:tr>
    </w:tbl>
    <w:p w:rsidR="00000000" w:rsidRPr="00EA6059" w:rsidP="00EA6059">
      <w:pPr>
        <w:pStyle w:val="BodyText"/>
      </w:pPr>
    </w:p>
    <w:p w:rsidR="00000000" w:rsidRPr="00EA6059" w:rsidP="00EA6059">
      <w:pPr>
        <w:pStyle w:val="AllowPageBreak"/>
      </w:pPr>
    </w:p>
    <w:p w:rsidR="00000000" w:rsidRPr="00EA6059" w:rsidP="00EA6059">
      <w:pPr>
        <w:pStyle w:val="Heading1"/>
      </w:pPr>
      <w:bookmarkStart w:id="4" w:name="O_942991"/>
      <w:bookmarkEnd w:id="4"/>
      <w:r w:rsidRPr="00EA6059">
        <w:t>Competency Field</w:t>
      </w:r>
    </w:p>
    <w:p w:rsidR="00000000" w:rsidRPr="00EA6059" w:rsidP="00B80ACA">
      <w:pPr>
        <w:pStyle w:val="BodyText"/>
      </w:pPr>
      <w:r w:rsidRPr="00EA6059">
        <w:t>Casting and moulding</w:t>
      </w:r>
    </w:p>
    <w:p w:rsidR="00000000" w:rsidRPr="00EA6059" w:rsidP="00EA6059">
      <w:pPr>
        <w:pStyle w:val="Heading1"/>
      </w:pPr>
      <w:bookmarkStart w:id="5" w:name="O_942989"/>
      <w:bookmarkEnd w:id="5"/>
      <w:r w:rsidRPr="00EA605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EA6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t>Performance criteria describe the performance needed to dem</w:t>
            </w:r>
            <w:r w:rsidRPr="00EA6059">
              <w:t>onstrate achievement of the element.</w:t>
            </w:r>
          </w:p>
        </w:tc>
      </w:tr>
      <w:tr w:rsidTr="00EA6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059" w:rsidP="00EA6059">
            <w:pPr>
              <w:pStyle w:val="BodyText"/>
            </w:pPr>
            <w:r w:rsidRPr="00EA6059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t>Follow standard operating procedures (SOPs)</w:t>
            </w:r>
          </w:p>
        </w:tc>
      </w:tr>
      <w:tr w:rsidTr="00EA6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t>Comply with work health and safety (WHS) requirements at all times</w:t>
            </w:r>
          </w:p>
        </w:tc>
      </w:tr>
      <w:tr w:rsidTr="00EA6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t>Use appropriate personal protective equipment (PPE) in accordance with SOPs</w:t>
            </w:r>
          </w:p>
        </w:tc>
      </w:tr>
      <w:tr w:rsidTr="00EA6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t>Identify job requirements from specifications, job sheets or work instructions</w:t>
            </w:r>
          </w:p>
        </w:tc>
      </w:tr>
      <w:tr w:rsidTr="00EA6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</w:p>
        </w:tc>
      </w:tr>
      <w:tr w:rsidTr="00EA6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059" w:rsidP="00EA6059">
            <w:pPr>
              <w:pStyle w:val="BodyText"/>
            </w:pPr>
            <w:r w:rsidRPr="00EA6059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rPr>
                <w:rStyle w:val="SpecialBold"/>
              </w:rPr>
              <w:t>Prepare for pouring molten metal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t>Select equipment as required</w:t>
            </w:r>
          </w:p>
        </w:tc>
      </w:tr>
      <w:tr w:rsidTr="00EA6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t>Check the condition of the mould and ladle according to procedures</w:t>
            </w:r>
          </w:p>
        </w:tc>
      </w:tr>
      <w:tr w:rsidTr="00EA6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t>Check the temperature of molten metal for conformance to specification</w:t>
            </w:r>
          </w:p>
        </w:tc>
      </w:tr>
      <w:tr w:rsidTr="00EA6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t>Sequence pouring method to procedures</w:t>
            </w:r>
          </w:p>
        </w:tc>
      </w:tr>
      <w:tr w:rsidTr="00EA6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t xml:space="preserve">Identify the capacity of the required pour against specification </w:t>
            </w:r>
          </w:p>
        </w:tc>
      </w:tr>
      <w:tr w:rsidTr="00EA6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t>Preheat and prepare the ladle to receive molten metal</w:t>
            </w:r>
          </w:p>
        </w:tc>
      </w:tr>
      <w:tr w:rsidTr="00EA6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</w:p>
        </w:tc>
      </w:tr>
      <w:tr w:rsidTr="00EA6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059" w:rsidP="00EA6059">
            <w:pPr>
              <w:pStyle w:val="BodyText"/>
            </w:pPr>
            <w:r w:rsidRPr="00EA6059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rPr>
                <w:rStyle w:val="SpecialBold"/>
              </w:rPr>
              <w:t>Transfer ladle to furnace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t>Check safety clips in accordance with safety procedures</w:t>
            </w:r>
          </w:p>
        </w:tc>
      </w:tr>
      <w:tr w:rsidTr="00EA6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t xml:space="preserve">Fill and transfer the ladle to the pouring area </w:t>
            </w:r>
          </w:p>
        </w:tc>
      </w:tr>
      <w:tr w:rsidTr="00EA6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t>Determine additives from specification and add to molten metal as required</w:t>
            </w:r>
          </w:p>
        </w:tc>
      </w:tr>
      <w:tr w:rsidTr="00EA6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</w:p>
        </w:tc>
      </w:tr>
      <w:tr w:rsidTr="00EA6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059" w:rsidP="00EA6059">
            <w:pPr>
              <w:pStyle w:val="BodyText"/>
            </w:pPr>
            <w:r w:rsidRPr="00EA6059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rPr>
                <w:rStyle w:val="SpecialBold"/>
              </w:rPr>
              <w:t>Maintain quality of metal as required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t>Remove slag and/or dross where necessary</w:t>
            </w:r>
          </w:p>
        </w:tc>
      </w:tr>
      <w:tr w:rsidTr="00EA6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t>Monitor the temperatu</w:t>
            </w:r>
            <w:r w:rsidRPr="00EA6059">
              <w:t>re as required</w:t>
            </w:r>
          </w:p>
        </w:tc>
      </w:tr>
      <w:tr w:rsidTr="00EA6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t xml:space="preserve">Undertake chemical analysis and apply remedial action </w:t>
            </w:r>
            <w:r w:rsidRPr="00EA6059">
              <w:t xml:space="preserve">as required </w:t>
            </w:r>
          </w:p>
        </w:tc>
      </w:tr>
      <w:tr w:rsidTr="00EA6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</w:p>
        </w:tc>
      </w:tr>
      <w:tr w:rsidTr="00EA6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059" w:rsidP="00EA6059">
            <w:pPr>
              <w:pStyle w:val="BodyText"/>
            </w:pPr>
            <w:r w:rsidRPr="00EA6059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rPr>
                <w:rStyle w:val="SpecialBold"/>
              </w:rPr>
              <w:t>Pour molten metal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t xml:space="preserve">Inform personnel in the immediate area of the metal pour that pour is to take place </w:t>
            </w:r>
          </w:p>
        </w:tc>
      </w:tr>
      <w:tr w:rsidTr="00EA6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t xml:space="preserve">Pour metal safely to specification </w:t>
            </w:r>
          </w:p>
        </w:tc>
      </w:tr>
      <w:tr w:rsidTr="00EA6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t>Pour metal at an appropriate and continuous rate</w:t>
            </w:r>
          </w:p>
        </w:tc>
      </w:tr>
      <w:tr w:rsidTr="00EA6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t>Pour a test bar as required</w:t>
            </w:r>
          </w:p>
        </w:tc>
      </w:tr>
      <w:tr w:rsidTr="00EA6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</w:p>
        </w:tc>
      </w:tr>
      <w:tr w:rsidTr="00EA6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059" w:rsidP="00EA6059">
            <w:pPr>
              <w:pStyle w:val="BodyText"/>
            </w:pPr>
            <w:r w:rsidRPr="00EA6059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rPr>
                <w:rStyle w:val="SpecialBold"/>
              </w:rPr>
              <w:t>Empty excess metal from ladle and return ladle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t>Pour and tag pigs</w:t>
            </w:r>
          </w:p>
        </w:tc>
      </w:tr>
      <w:tr w:rsidTr="00EA6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059" w:rsidP="00EA6059">
            <w:pPr>
              <w:pStyle w:val="BodyText"/>
            </w:pPr>
            <w:r w:rsidRPr="00EA6059">
              <w:t>Empty, clean and maintain the ladle according to SOPs</w:t>
            </w:r>
          </w:p>
        </w:tc>
      </w:tr>
    </w:tbl>
    <w:p w:rsidR="00000000" w:rsidRPr="00EA6059" w:rsidP="00EA6059">
      <w:pPr>
        <w:pStyle w:val="BodyText"/>
      </w:pPr>
    </w:p>
    <w:p w:rsidR="00000000" w:rsidRPr="00EA6059" w:rsidP="00EA6059">
      <w:pPr>
        <w:pStyle w:val="AllowPageBreak"/>
      </w:pPr>
    </w:p>
    <w:p w:rsidR="00000000" w:rsidRPr="00EA6059" w:rsidP="00EA6059">
      <w:pPr>
        <w:pStyle w:val="Heading1"/>
      </w:pPr>
      <w:bookmarkStart w:id="6" w:name="O_942988"/>
      <w:bookmarkEnd w:id="6"/>
      <w:r w:rsidRPr="00EA6059">
        <w:t>Foundation Skills</w:t>
      </w:r>
    </w:p>
    <w:p w:rsidR="00000000" w:rsidRPr="00EA6059" w:rsidP="00B80ACA">
      <w:pPr>
        <w:pStyle w:val="BodyText"/>
      </w:pPr>
      <w:r w:rsidRPr="00EA6059">
        <w:t xml:space="preserve">This section describes those required skills (reading, writing, oral communication and numeracy) that are essential to workplace performance in this unit of competency.  </w:t>
      </w:r>
    </w:p>
    <w:p w:rsidR="00000000" w:rsidRPr="00EA6059" w:rsidP="00B80ACA">
      <w:pPr>
        <w:pStyle w:val="BodyText"/>
      </w:pPr>
      <w:r w:rsidRPr="00EA6059">
        <w:t>Foundation skills essential to performance are explicit in the per</w:t>
      </w:r>
      <w:r w:rsidRPr="00EA6059">
        <w:t>formance criteria of this unit of competency.</w:t>
      </w:r>
    </w:p>
    <w:p w:rsidR="00000000" w:rsidRPr="00EA6059" w:rsidP="00EA6059">
      <w:pPr>
        <w:pStyle w:val="Heading1"/>
      </w:pPr>
      <w:bookmarkStart w:id="7" w:name="O_942987"/>
      <w:bookmarkEnd w:id="7"/>
      <w:r w:rsidRPr="00EA6059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69"/>
        <w:gridCol w:w="6239"/>
      </w:tblGrid>
      <w:tr w:rsidTr="00EA6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t xml:space="preserve">This field allows for different work environments and conditions that may affect performance. Essential operating conditions that may be present </w:t>
            </w:r>
            <w:r w:rsidRPr="00EA6059">
              <w:t>(depending on the work situation, needs of the candidate, accessibility of the item, and local industry and regional contexts) are included.</w:t>
            </w:r>
          </w:p>
        </w:tc>
      </w:tr>
      <w:tr w:rsidTr="00EA6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rPr>
                <w:rStyle w:val="SpecialBold"/>
              </w:rPr>
              <w:t>Ladle includes one (1) or more of the following:</w:t>
            </w:r>
          </w:p>
        </w:tc>
        <w:tc>
          <w:tcPr>
            <w:tcW w:w="62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059" w:rsidP="00EA6059">
            <w:pPr>
              <w:pStyle w:val="ListBullet"/>
            </w:pPr>
            <w:r w:rsidRPr="00EA6059">
              <w:t>lip pour</w:t>
            </w:r>
          </w:p>
          <w:p w:rsidR="00000000" w:rsidRPr="00EA6059" w:rsidP="00EA6059">
            <w:pPr>
              <w:pStyle w:val="ListBullet"/>
            </w:pPr>
            <w:r w:rsidRPr="00EA6059">
              <w:t>tea pot</w:t>
            </w:r>
          </w:p>
          <w:p w:rsidR="00000000" w:rsidRPr="00EA6059" w:rsidP="00EA6059">
            <w:pPr>
              <w:pStyle w:val="ListBullet"/>
            </w:pPr>
            <w:r w:rsidRPr="00EA6059">
              <w:t>bottom pour</w:t>
            </w:r>
          </w:p>
          <w:p w:rsidR="00000000" w:rsidRPr="00EA6059" w:rsidP="00EA6059">
            <w:pPr>
              <w:pStyle w:val="ListBullet"/>
            </w:pPr>
            <w:r w:rsidRPr="00EA6059">
              <w:t>barrel</w:t>
            </w:r>
          </w:p>
          <w:p w:rsidR="00000000" w:rsidRPr="00EA6059" w:rsidP="00EA6059">
            <w:pPr>
              <w:pStyle w:val="ListBullet"/>
            </w:pPr>
            <w:r w:rsidRPr="00EA6059">
              <w:t>bull ladles of varying capa</w:t>
            </w:r>
            <w:r w:rsidRPr="00EA6059">
              <w:t>city</w:t>
            </w:r>
          </w:p>
          <w:p w:rsidR="00000000" w:rsidP="00EA6059">
            <w:pPr>
              <w:pStyle w:val="BodyText"/>
              <w:rPr>
                <w:lang w:val="en-NZ"/>
              </w:rPr>
            </w:pPr>
          </w:p>
        </w:tc>
      </w:tr>
      <w:tr w:rsidTr="00EA6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059">
            <w:pPr>
              <w:pStyle w:val="BodyText"/>
              <w:rPr>
                <w:lang w:val="en-NZ"/>
              </w:rPr>
            </w:pPr>
            <w:r w:rsidRPr="00EA6059">
              <w:rPr>
                <w:rStyle w:val="SpecialBold"/>
              </w:rPr>
              <w:t>Additives include one (1) or more of the following:</w:t>
            </w:r>
          </w:p>
        </w:tc>
        <w:tc>
          <w:tcPr>
            <w:tcW w:w="62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059" w:rsidP="00EA6059">
            <w:pPr>
              <w:pStyle w:val="ListBullet"/>
            </w:pPr>
            <w:r w:rsidRPr="00EA6059">
              <w:t>alloys</w:t>
            </w:r>
          </w:p>
          <w:p w:rsidR="00000000" w:rsidRPr="00EA6059" w:rsidP="00EA6059">
            <w:pPr>
              <w:pStyle w:val="ListBullet"/>
            </w:pPr>
            <w:r w:rsidRPr="00EA6059">
              <w:t>inoculants</w:t>
            </w:r>
          </w:p>
          <w:p w:rsidR="00000000" w:rsidRPr="00EA6059" w:rsidP="00EA6059">
            <w:pPr>
              <w:pStyle w:val="ListBullet"/>
            </w:pPr>
            <w:r w:rsidRPr="00EA6059">
              <w:t>spheroidisers</w:t>
            </w:r>
          </w:p>
          <w:p w:rsidR="00000000" w:rsidRPr="00EA6059" w:rsidP="00EA6059">
            <w:pPr>
              <w:pStyle w:val="ListBullet"/>
            </w:pPr>
            <w:r w:rsidRPr="00EA6059">
              <w:t>coagulants</w:t>
            </w:r>
          </w:p>
          <w:p w:rsidR="00000000" w:rsidRPr="00EA6059" w:rsidP="00EA6059">
            <w:pPr>
              <w:pStyle w:val="BodyText"/>
            </w:pPr>
          </w:p>
        </w:tc>
      </w:tr>
    </w:tbl>
    <w:p w:rsidR="00000000" w:rsidRPr="00EA6059" w:rsidP="00EA6059">
      <w:pPr>
        <w:pStyle w:val="BodyText"/>
      </w:pPr>
    </w:p>
    <w:p w:rsidR="00000000" w:rsidRPr="00EA6059" w:rsidP="00EA6059">
      <w:pPr>
        <w:pStyle w:val="AllowPageBreak"/>
      </w:pPr>
    </w:p>
    <w:p w:rsidR="00000000" w:rsidRPr="00EA6059" w:rsidP="00EA6059">
      <w:pPr>
        <w:pStyle w:val="Heading1"/>
      </w:pPr>
      <w:bookmarkStart w:id="8" w:name="O_942986"/>
      <w:bookmarkEnd w:id="8"/>
      <w:r w:rsidRPr="00EA6059">
        <w:t>Unit Mapping Information</w:t>
      </w:r>
    </w:p>
    <w:p w:rsidR="00000000" w:rsidRPr="00EA6059" w:rsidP="00B80ACA">
      <w:pPr>
        <w:pStyle w:val="BodyText"/>
      </w:pPr>
      <w:r w:rsidRPr="00EA6059">
        <w:t xml:space="preserve">Release 1. Supersedes and is equivalent to MEM04007B Pour molten metal </w:t>
      </w:r>
    </w:p>
    <w:p w:rsidR="00000000" w:rsidRPr="00EA6059" w:rsidP="00EA6059">
      <w:pPr>
        <w:pStyle w:val="Heading1"/>
      </w:pPr>
      <w:bookmarkStart w:id="9" w:name="O_942979"/>
      <w:bookmarkEnd w:id="9"/>
      <w:r w:rsidRPr="00EA6059">
        <w:t>Links</w:t>
      </w:r>
    </w:p>
    <w:p w:rsidR="00000000" w:rsidRPr="00EA6059" w:rsidP="00B80ACA">
      <w:pPr>
        <w:pStyle w:val="BodyText"/>
      </w:pPr>
      <w:r w:rsidRPr="00EA60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C6E3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A6059" w:rsidP="00EA6059"/>
    <w:sectPr w:rsidSect="00EA60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0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059" w:rsidRPr="00B80ACA" w:rsidP="00B80A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0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ACA" w:rsidP="00EA60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0ACA" w:rsidP="00EA60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80ACA" w:rsidP="00EA60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0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A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6059" w:rsidRPr="00B80ACA" w:rsidP="00B80A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0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ACA" w:rsidRPr="002D2AF8" w:rsidP="00EA60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MEM04007 Pour molten metal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80ACA" w:rsidP="00EA60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8488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FE8D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0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60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60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60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60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60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60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60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60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60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60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6059"/>
  </w:style>
  <w:style w:type="character" w:customStyle="1" w:styleId="Heading1Char">
    <w:name w:val="Heading 1 Char"/>
    <w:basedOn w:val="DefaultParagraphFont"/>
    <w:link w:val="Heading1"/>
    <w:rsid w:val="00EA60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60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60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605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6059"/>
    <w:rPr>
      <w:b/>
      <w:spacing w:val="0"/>
    </w:rPr>
  </w:style>
  <w:style w:type="paragraph" w:customStyle="1" w:styleId="SuperHeading">
    <w:name w:val="SuperHeading"/>
    <w:basedOn w:val="Normal"/>
    <w:rsid w:val="00EA60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60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60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60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60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60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60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60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60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60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60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60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60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60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60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60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60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60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60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60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60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60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60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60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60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60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60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60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60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60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60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60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60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60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60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6059"/>
    <w:rPr>
      <w:i/>
    </w:rPr>
  </w:style>
  <w:style w:type="paragraph" w:styleId="Caption">
    <w:name w:val="caption"/>
    <w:basedOn w:val="BodyText"/>
    <w:next w:val="Normal"/>
    <w:qFormat/>
    <w:rsid w:val="00EA60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60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60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6059"/>
  </w:style>
  <w:style w:type="paragraph" w:styleId="TableofFigures">
    <w:name w:val="table of figures"/>
    <w:basedOn w:val="Normal"/>
    <w:next w:val="Normal"/>
    <w:semiHidden/>
    <w:rsid w:val="00EA60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605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6059"/>
    <w:rPr>
      <w:rFonts w:ascii="Wingdings" w:hAnsi="Wingdings"/>
    </w:rPr>
  </w:style>
  <w:style w:type="paragraph" w:customStyle="1" w:styleId="TableHeading">
    <w:name w:val="Table Heading"/>
    <w:basedOn w:val="HeadingBase"/>
    <w:rsid w:val="00EA60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6059"/>
    <w:rPr>
      <w:color w:val="0033CC"/>
      <w:u w:val="none"/>
    </w:rPr>
  </w:style>
  <w:style w:type="paragraph" w:customStyle="1" w:styleId="BodyTextRight">
    <w:name w:val="Body Text Right"/>
    <w:basedOn w:val="BodyText"/>
    <w:rsid w:val="00EA60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60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60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60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60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60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6059"/>
    <w:rPr>
      <w:sz w:val="32"/>
    </w:rPr>
  </w:style>
  <w:style w:type="paragraph" w:customStyle="1" w:styleId="HeadingProcedure">
    <w:name w:val="Heading Procedure"/>
    <w:basedOn w:val="HeadingBase"/>
    <w:next w:val="Normal"/>
    <w:rsid w:val="00EA60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6059"/>
    <w:pPr>
      <w:spacing w:before="60" w:after="60"/>
    </w:pPr>
  </w:style>
  <w:style w:type="paragraph" w:styleId="ListContinue">
    <w:name w:val="List Continue"/>
    <w:basedOn w:val="List"/>
    <w:rsid w:val="00EA6059"/>
    <w:pPr>
      <w:ind w:firstLine="0"/>
    </w:pPr>
  </w:style>
  <w:style w:type="paragraph" w:customStyle="1" w:styleId="ListNote">
    <w:name w:val="List Note"/>
    <w:basedOn w:val="List"/>
    <w:rsid w:val="00EA60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60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60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6059"/>
    <w:rPr>
      <w:rFonts w:ascii="Courier New" w:hAnsi="Courier New"/>
    </w:rPr>
  </w:style>
  <w:style w:type="paragraph" w:customStyle="1" w:styleId="NoteBullet">
    <w:name w:val="Note Bullet"/>
    <w:basedOn w:val="Note"/>
    <w:rsid w:val="00EA60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60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60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60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60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60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60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6059"/>
    <w:rPr>
      <w:b/>
      <w:smallCaps/>
    </w:rPr>
  </w:style>
  <w:style w:type="paragraph" w:customStyle="1" w:styleId="TableListNumber">
    <w:name w:val="Table List Number"/>
    <w:basedOn w:val="ListNumber"/>
    <w:rsid w:val="00EA60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60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6059"/>
    <w:pPr>
      <w:numPr>
        <w:numId w:val="8"/>
      </w:numPr>
    </w:pPr>
  </w:style>
  <w:style w:type="paragraph" w:customStyle="1" w:styleId="ListAlpha2">
    <w:name w:val="List Alpha 2"/>
    <w:basedOn w:val="List2"/>
    <w:rsid w:val="00EA6059"/>
    <w:pPr>
      <w:numPr>
        <w:numId w:val="7"/>
      </w:numPr>
    </w:pPr>
  </w:style>
  <w:style w:type="paragraph" w:styleId="List2">
    <w:name w:val="List 2"/>
    <w:basedOn w:val="BodyText"/>
    <w:rsid w:val="00EA60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60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60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60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60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60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6059"/>
    <w:pPr>
      <w:numPr>
        <w:numId w:val="3"/>
      </w:numPr>
    </w:pPr>
  </w:style>
  <w:style w:type="paragraph" w:styleId="ListContinue2">
    <w:name w:val="List Continue 2"/>
    <w:basedOn w:val="List2"/>
    <w:rsid w:val="00EA6059"/>
    <w:pPr>
      <w:ind w:firstLine="0"/>
    </w:pPr>
  </w:style>
  <w:style w:type="paragraph" w:styleId="ListContinue3">
    <w:name w:val="List Continue 3"/>
    <w:basedOn w:val="List3"/>
    <w:rsid w:val="00EA6059"/>
    <w:pPr>
      <w:ind w:left="1021" w:firstLine="0"/>
    </w:pPr>
  </w:style>
  <w:style w:type="paragraph" w:styleId="ListContinue4">
    <w:name w:val="List Continue 4"/>
    <w:basedOn w:val="List4"/>
    <w:rsid w:val="00EA6059"/>
    <w:pPr>
      <w:ind w:firstLine="0"/>
    </w:pPr>
  </w:style>
  <w:style w:type="paragraph" w:styleId="ListContinue5">
    <w:name w:val="List Continue 5"/>
    <w:basedOn w:val="List5"/>
    <w:rsid w:val="00EA6059"/>
    <w:pPr>
      <w:ind w:firstLine="0"/>
    </w:pPr>
  </w:style>
  <w:style w:type="paragraph" w:styleId="ListNumber3">
    <w:name w:val="List Number 3"/>
    <w:basedOn w:val="List3"/>
    <w:rsid w:val="00EA6059"/>
    <w:pPr>
      <w:numPr>
        <w:numId w:val="4"/>
      </w:numPr>
    </w:pPr>
  </w:style>
  <w:style w:type="paragraph" w:styleId="ListNumber4">
    <w:name w:val="List Number 4"/>
    <w:basedOn w:val="List4"/>
    <w:rsid w:val="00EA6059"/>
    <w:pPr>
      <w:numPr>
        <w:numId w:val="5"/>
      </w:numPr>
    </w:pPr>
  </w:style>
  <w:style w:type="paragraph" w:styleId="ListNumber5">
    <w:name w:val="List Number 5"/>
    <w:basedOn w:val="List5"/>
    <w:rsid w:val="00EA6059"/>
    <w:pPr>
      <w:numPr>
        <w:numId w:val="6"/>
      </w:numPr>
    </w:pPr>
  </w:style>
  <w:style w:type="paragraph" w:styleId="BlockText">
    <w:name w:val="Block Text"/>
    <w:basedOn w:val="Normal"/>
    <w:rsid w:val="00EA60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60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6059"/>
    <w:rPr>
      <w:sz w:val="16"/>
      <w:vertAlign w:val="superscript"/>
    </w:rPr>
  </w:style>
  <w:style w:type="character" w:customStyle="1" w:styleId="Symbols">
    <w:name w:val="Symbols"/>
    <w:basedOn w:val="DefaultParagraphFont"/>
    <w:rsid w:val="00EA6059"/>
    <w:rPr>
      <w:rFonts w:ascii="Symbol" w:hAnsi="Symbol"/>
    </w:rPr>
  </w:style>
  <w:style w:type="character" w:customStyle="1" w:styleId="MenuOptions">
    <w:name w:val="Menu Options"/>
    <w:basedOn w:val="DefaultParagraphFont"/>
    <w:rsid w:val="00EA60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6059"/>
    <w:rPr>
      <w:b/>
    </w:rPr>
  </w:style>
  <w:style w:type="character" w:customStyle="1" w:styleId="Underlined">
    <w:name w:val="Underlined"/>
    <w:basedOn w:val="DefaultParagraphFont"/>
    <w:rsid w:val="00EA6059"/>
    <w:rPr>
      <w:u w:val="single"/>
    </w:rPr>
  </w:style>
  <w:style w:type="paragraph" w:customStyle="1" w:styleId="TableBodyTextRight">
    <w:name w:val="Table Body Text Right"/>
    <w:basedOn w:val="TableBodyText"/>
    <w:rsid w:val="00EA60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6059"/>
    <w:rPr>
      <w:sz w:val="18"/>
    </w:rPr>
  </w:style>
  <w:style w:type="paragraph" w:customStyle="1" w:styleId="BodySmallRight">
    <w:name w:val="Body Small Right"/>
    <w:basedOn w:val="BodyTextRight"/>
    <w:rsid w:val="00EA6059"/>
    <w:rPr>
      <w:sz w:val="18"/>
      <w:szCs w:val="18"/>
    </w:rPr>
  </w:style>
  <w:style w:type="paragraph" w:customStyle="1" w:styleId="MarginEdition">
    <w:name w:val="Margin Edition"/>
    <w:basedOn w:val="MarginNote"/>
    <w:rsid w:val="00EA60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6059"/>
    <w:rPr>
      <w:sz w:val="2"/>
      <w:szCs w:val="2"/>
    </w:rPr>
  </w:style>
  <w:style w:type="character" w:customStyle="1" w:styleId="Small">
    <w:name w:val="Small"/>
    <w:basedOn w:val="DefaultParagraphFont"/>
    <w:rsid w:val="00EA6059"/>
    <w:rPr>
      <w:sz w:val="16"/>
    </w:rPr>
  </w:style>
  <w:style w:type="paragraph" w:customStyle="1" w:styleId="WideTable">
    <w:name w:val="Wide Table"/>
    <w:basedOn w:val="Normal"/>
    <w:rsid w:val="00EA60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6059"/>
  </w:style>
  <w:style w:type="paragraph" w:styleId="Quote">
    <w:name w:val="Quote"/>
    <w:basedOn w:val="Heading1"/>
    <w:link w:val="QuoteChar"/>
    <w:qFormat/>
    <w:rsid w:val="00EA60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60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6059"/>
    <w:pPr>
      <w:pageBreakBefore/>
    </w:pPr>
  </w:style>
  <w:style w:type="paragraph" w:customStyle="1" w:styleId="Border">
    <w:name w:val="Border"/>
    <w:basedOn w:val="Normal"/>
    <w:qFormat/>
    <w:rsid w:val="00EA60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60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60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60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60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60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60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60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60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6059"/>
    <w:rPr>
      <w:u w:val="single"/>
    </w:rPr>
  </w:style>
  <w:style w:type="character" w:customStyle="1" w:styleId="BoldandItalics">
    <w:name w:val="Bold and Italics"/>
    <w:qFormat/>
    <w:rsid w:val="00EA6059"/>
    <w:rPr>
      <w:b/>
      <w:i/>
      <w:u w:val="none"/>
    </w:rPr>
  </w:style>
  <w:style w:type="paragraph" w:styleId="BalloonText">
    <w:name w:val="Balloon Text"/>
    <w:basedOn w:val="Normal"/>
    <w:link w:val="BalloonTextChar"/>
    <w:rsid w:val="00EA60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60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60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60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60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60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6059"/>
    <w:pPr>
      <w:spacing w:before="0" w:after="0"/>
    </w:pPr>
  </w:style>
  <w:style w:type="paragraph" w:customStyle="1" w:styleId="BodyTextBold">
    <w:name w:val="Body Text Bold"/>
    <w:basedOn w:val="BodyText"/>
    <w:qFormat/>
    <w:rsid w:val="00EA6059"/>
    <w:rPr>
      <w:b/>
    </w:rPr>
  </w:style>
  <w:style w:type="character" w:styleId="Hyperlink">
    <w:name w:val="Hyperlink"/>
    <w:basedOn w:val="DefaultParagraphFont"/>
    <w:uiPriority w:val="99"/>
    <w:unhideWhenUsed/>
    <w:rsid w:val="00B80A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603</Words>
  <Characters>3493</Characters>
  <Application>Microsoft Office Word</Application>
  <DocSecurity>0</DocSecurity>
  <Lines>218</Lines>
  <Paragraphs>127</Paragraphs>
  <ScaleCrop>false</ScaleCrop>
  <Company>Author-it Software Corporation Ltd.</Company>
  <LinksUpToDate>false</LinksUpToDate>
  <CharactersWithSpaces>3969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MEM04007 Pour molten metal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2023-02-03T08:15:00Z</dcterms:created>
  <dcterms:modified xsi:type="dcterms:W3CDTF">2023-02-03T08:15:00Z</dcterms:modified>
</cp:coreProperties>
</file>