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90B" w:rsidP="00FB5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MEM04004 Prepare and mix sand for metal moulding</w:t>
      </w:r>
      <w:r>
        <w:fldChar w:fldCharType="end"/>
      </w:r>
    </w:p>
    <w:p w:rsidR="00FB590B" w:rsidP="00FB590B">
      <w:pPr>
        <w:pStyle w:val="Version"/>
        <w:sectPr w:rsidSect="00DD3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00A" w:rsidP="00DD300A">
      <w:pPr>
        <w:pStyle w:val="SuperHeading"/>
      </w:pPr>
      <w:r w:rsidRPr="00DD300A">
        <w:t>MEM04004 Prepare and mix sand for metal moulding</w:t>
      </w:r>
    </w:p>
    <w:p w:rsidR="00000000" w:rsidRPr="00DD300A" w:rsidP="00DD300A">
      <w:pPr>
        <w:pStyle w:val="Heading1"/>
      </w:pPr>
      <w:bookmarkStart w:id="1" w:name="O_942947"/>
      <w:bookmarkEnd w:id="1"/>
      <w:r w:rsidRPr="00DD300A">
        <w:t>Modification History</w:t>
      </w:r>
    </w:p>
    <w:p w:rsidR="00000000" w:rsidRPr="00DD300A" w:rsidP="00FB590B">
      <w:pPr>
        <w:pStyle w:val="BodyText"/>
      </w:pPr>
      <w:r w:rsidRPr="00DD300A">
        <w:t>Release 1. Supersedes and is equivalent to MEM04004B Prepare and mix sand for metal moulding</w:t>
      </w:r>
    </w:p>
    <w:p w:rsidR="00000000" w:rsidRPr="00DD300A" w:rsidP="00DD300A">
      <w:pPr>
        <w:pStyle w:val="Heading1"/>
      </w:pPr>
      <w:bookmarkStart w:id="2" w:name="O_942955"/>
      <w:bookmarkEnd w:id="2"/>
      <w:r w:rsidRPr="00DD300A">
        <w:t>Application</w:t>
      </w:r>
    </w:p>
    <w:p w:rsidR="00000000" w:rsidRPr="00DD300A" w:rsidP="00FB590B">
      <w:pPr>
        <w:pStyle w:val="BodyText"/>
      </w:pPr>
      <w:r w:rsidRPr="00DD300A">
        <w:t>This unit of competency defines the skills and knowledge required to prepare and mix sand for metal mould</w:t>
      </w:r>
      <w:r w:rsidRPr="00DD300A">
        <w:t>ing in continuous and batch type mills.</w:t>
      </w:r>
    </w:p>
    <w:p w:rsidR="00000000" w:rsidRPr="00DD300A" w:rsidP="00FB590B">
      <w:pPr>
        <w:pStyle w:val="BodyText"/>
      </w:pPr>
      <w:r w:rsidRPr="00DD300A">
        <w:t>Where the interpretation of technical drawings is required unit MEM09002 Interpret technical drawing should also be selected.</w:t>
      </w:r>
    </w:p>
    <w:p w:rsidR="00000000" w:rsidRPr="00DD300A" w:rsidP="00FB590B">
      <w:pPr>
        <w:pStyle w:val="BodyText"/>
      </w:pPr>
      <w:r w:rsidRPr="00DD300A">
        <w:t>Where the selection and use of engineering measuring equipment is required unit MEM12023</w:t>
      </w:r>
      <w:r w:rsidRPr="00DD300A">
        <w:t xml:space="preserve"> Perform engineering measurements should also be selected.</w:t>
      </w:r>
    </w:p>
    <w:p w:rsidR="00000000" w:rsidRPr="00DD300A" w:rsidP="00FB590B">
      <w:pPr>
        <w:pStyle w:val="BodyText"/>
      </w:pPr>
      <w:r w:rsidRPr="00DD300A">
        <w:t>Where calculations are required unit MEM12024 Perform computations should also be selected.</w:t>
      </w:r>
    </w:p>
    <w:p w:rsidR="00000000" w:rsidRPr="00DD300A" w:rsidP="00FB590B">
      <w:pPr>
        <w:pStyle w:val="BodyText"/>
      </w:pPr>
      <w:r w:rsidRPr="00DD300A">
        <w:t>Where the selection and use of tools is required unit MEM18001 Use hand tools and unit MEM18002 Use pow</w:t>
      </w:r>
      <w:r w:rsidRPr="00DD300A">
        <w:t>er tools/hand held operations, should also be selected as appropriate.</w:t>
      </w:r>
    </w:p>
    <w:p w:rsidR="00000000" w:rsidRPr="00DD300A" w:rsidP="00FB590B">
      <w:pPr>
        <w:pStyle w:val="BodyText"/>
      </w:pPr>
      <w:r w:rsidRPr="00DD300A">
        <w:t>No licensing, legislative or certification requirements apply to this unit at the time of publication.</w:t>
      </w:r>
    </w:p>
    <w:p w:rsidR="00000000" w:rsidRPr="00DD300A" w:rsidP="00DD300A">
      <w:pPr>
        <w:pStyle w:val="BodyText"/>
      </w:pPr>
      <w:r w:rsidRPr="00DD300A">
        <w:rPr>
          <w:rStyle w:val="SpecialBold"/>
        </w:rPr>
        <w:t>Band</w:t>
      </w:r>
      <w:r w:rsidRPr="00DD300A">
        <w:t>:</w:t>
      </w:r>
      <w:r w:rsidRPr="00DD300A">
        <w:tab/>
      </w:r>
      <w:r w:rsidRPr="00DD300A">
        <w:rPr>
          <w:rStyle w:val="SpecialBold"/>
        </w:rPr>
        <w:t>A</w:t>
      </w:r>
    </w:p>
    <w:p w:rsidR="00000000" w:rsidRPr="00DD300A" w:rsidP="00DD300A">
      <w:pPr>
        <w:pStyle w:val="BodyText"/>
      </w:pPr>
      <w:r w:rsidRPr="00DD300A">
        <w:rPr>
          <w:rStyle w:val="SpecialBold"/>
        </w:rPr>
        <w:t>Unit Weight</w:t>
      </w:r>
      <w:r w:rsidRPr="00DD300A">
        <w:t>:</w:t>
      </w:r>
      <w:r w:rsidRPr="00DD300A">
        <w:tab/>
      </w:r>
      <w:r w:rsidRPr="00DD300A">
        <w:rPr>
          <w:rStyle w:val="SpecialBold"/>
        </w:rPr>
        <w:t>4</w:t>
      </w:r>
    </w:p>
    <w:p w:rsidR="00000000" w:rsidRPr="00DD300A" w:rsidP="00DD300A">
      <w:pPr>
        <w:pStyle w:val="AllowPageBreak"/>
      </w:pPr>
    </w:p>
    <w:p w:rsidR="00000000" w:rsidRPr="00DD300A" w:rsidP="00DD300A">
      <w:pPr>
        <w:pStyle w:val="Heading1"/>
      </w:pPr>
      <w:bookmarkStart w:id="3" w:name="O_942954"/>
      <w:bookmarkEnd w:id="3"/>
      <w:r w:rsidRPr="00DD300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6"/>
        <w:gridCol w:w="6448"/>
      </w:tblGrid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MEM11011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Undertake ma</w:t>
            </w:r>
            <w:r w:rsidRPr="00DD300A">
              <w:t>nual handling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MEM13015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Work safely and effectively in manufacturing and engineering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MEM16006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Organise and communicate information</w:t>
            </w:r>
          </w:p>
        </w:tc>
      </w:tr>
    </w:tbl>
    <w:p w:rsidR="00000000" w:rsidRPr="00DD300A" w:rsidP="00DD300A">
      <w:pPr>
        <w:pStyle w:val="BodyText"/>
      </w:pPr>
    </w:p>
    <w:p w:rsidR="00000000" w:rsidRPr="00DD300A" w:rsidP="00DD300A">
      <w:pPr>
        <w:pStyle w:val="AllowPageBreak"/>
      </w:pPr>
    </w:p>
    <w:p w:rsidR="00000000" w:rsidRPr="00DD300A" w:rsidP="00DD300A">
      <w:pPr>
        <w:pStyle w:val="Heading1"/>
      </w:pPr>
      <w:bookmarkStart w:id="4" w:name="O_942953"/>
      <w:bookmarkEnd w:id="4"/>
      <w:r w:rsidRPr="00DD300A">
        <w:t>Competency Field</w:t>
      </w:r>
    </w:p>
    <w:p w:rsidR="00000000" w:rsidRPr="00DD300A" w:rsidP="00FB590B">
      <w:pPr>
        <w:pStyle w:val="BodyText"/>
      </w:pPr>
      <w:r w:rsidRPr="00DD300A">
        <w:t>Casting and moulding</w:t>
      </w:r>
    </w:p>
    <w:p w:rsidR="00000000" w:rsidRPr="00DD300A" w:rsidP="00DD300A">
      <w:pPr>
        <w:pStyle w:val="Heading1"/>
      </w:pPr>
      <w:bookmarkStart w:id="5" w:name="O_942951"/>
      <w:bookmarkEnd w:id="5"/>
      <w:r w:rsidRPr="00DD30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Performance criteria describe the performance needed to demonstrate achievement of the element.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Follow standard operating procedures (SOPs)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Comply with work health and safety (WHS) requirements at all times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Use appropriate personal protective equipment (PPE) in accordance with SOPs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Identify job requirements from specifications, job sheets or work instructions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Load mixer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Perform all pre start-up checks according to procedures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Determine formula for sand mix according to specifications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Measure and load materials according to formula specification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Mix sand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Mix sand for correct time to specifications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Monitor the performance of mixer and the condition of the sand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 xml:space="preserve">Maintain material supply 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Report faults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Take and test samples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Extract sample in an appropriate manner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Apply test in accordance with procedures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Compare test results against specifications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Adjust mix as required to meet specifications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Discharge mixture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Charge load according to SOPs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Dispose of unwanted treated sand according to SOPs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Clean mixer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Shut down mixer to standard safety and operating procedures</w:t>
            </w:r>
          </w:p>
        </w:tc>
      </w:tr>
      <w:tr w:rsidTr="00DD3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BodyText"/>
            </w:pPr>
            <w:r w:rsidRPr="00DD300A">
              <w:t xml:space="preserve">Clean mixer </w:t>
            </w:r>
          </w:p>
        </w:tc>
      </w:tr>
    </w:tbl>
    <w:p w:rsidR="00000000" w:rsidRPr="00DD300A" w:rsidP="00DD300A">
      <w:pPr>
        <w:pStyle w:val="BodyText"/>
      </w:pPr>
    </w:p>
    <w:p w:rsidR="00000000" w:rsidRPr="00DD300A" w:rsidP="00DD300A">
      <w:pPr>
        <w:pStyle w:val="AllowPageBreak"/>
      </w:pPr>
    </w:p>
    <w:p w:rsidR="00000000" w:rsidRPr="00DD300A" w:rsidP="00DD300A">
      <w:pPr>
        <w:pStyle w:val="Heading1"/>
      </w:pPr>
      <w:bookmarkStart w:id="6" w:name="O_942950"/>
      <w:bookmarkEnd w:id="6"/>
      <w:r w:rsidRPr="00DD300A">
        <w:t>Foundation Skills</w:t>
      </w:r>
    </w:p>
    <w:p w:rsidR="00000000" w:rsidRPr="00DD300A" w:rsidP="00FB590B">
      <w:pPr>
        <w:pStyle w:val="BodyText"/>
      </w:pPr>
      <w:r w:rsidRPr="00DD300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D300A" w:rsidP="00FB590B">
      <w:pPr>
        <w:pStyle w:val="BodyText"/>
      </w:pPr>
      <w:r w:rsidRPr="00DD300A">
        <w:t xml:space="preserve">Foundation skills essential to performance are explicit in the performance criteria </w:t>
      </w:r>
      <w:r w:rsidRPr="00DD300A">
        <w:t>of this unit of competency.</w:t>
      </w:r>
    </w:p>
    <w:p w:rsidR="00000000" w:rsidRPr="00DD300A" w:rsidP="00DD300A">
      <w:pPr>
        <w:pStyle w:val="Heading1"/>
      </w:pPr>
      <w:bookmarkStart w:id="7" w:name="O_942949"/>
      <w:bookmarkEnd w:id="7"/>
      <w:r w:rsidRPr="00DD300A">
        <w:t>Range of Conditions</w:t>
      </w:r>
    </w:p>
    <w:tbl>
      <w:tblPr>
        <w:tblW w:w="92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7"/>
        <w:gridCol w:w="5947"/>
      </w:tblGrid>
      <w:tr w:rsidTr="00DD300A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t>This field allows for different work environments and conditions that may affect performance. Essential operating conditions that may be present (depending on the work situation, needs of the</w:t>
            </w:r>
            <w:r w:rsidRPr="00DD300A">
              <w:t xml:space="preserve"> candidate, accessibility of the item, and local industry and regional contexts) are included.</w:t>
            </w:r>
          </w:p>
        </w:tc>
      </w:tr>
      <w:tr w:rsidTr="00DD300A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ListBullet"/>
            </w:pPr>
            <w:r w:rsidRPr="00DD300A">
              <w:t>sand</w:t>
            </w:r>
          </w:p>
          <w:p w:rsidR="00000000" w:rsidRPr="00DD300A" w:rsidP="00DD300A">
            <w:pPr>
              <w:pStyle w:val="ListBullet"/>
            </w:pPr>
            <w:r w:rsidRPr="00DD300A">
              <w:t>silica</w:t>
            </w:r>
          </w:p>
          <w:p w:rsidR="00000000" w:rsidRPr="00DD300A" w:rsidP="00DD300A">
            <w:pPr>
              <w:pStyle w:val="ListBullet"/>
            </w:pPr>
            <w:r w:rsidRPr="00DD300A">
              <w:t>zircon</w:t>
            </w:r>
          </w:p>
          <w:p w:rsidR="00000000" w:rsidRPr="00DD300A" w:rsidP="00DD300A">
            <w:pPr>
              <w:pStyle w:val="ListBullet"/>
            </w:pPr>
            <w:r w:rsidRPr="00DD300A">
              <w:t>chromite</w:t>
            </w:r>
          </w:p>
          <w:p w:rsidR="00000000" w:rsidRPr="00DD300A" w:rsidP="00DD300A">
            <w:pPr>
              <w:pStyle w:val="ListBullet"/>
            </w:pPr>
            <w:r w:rsidRPr="00DD300A">
              <w:t>mixtures and water</w:t>
            </w:r>
          </w:p>
          <w:p w:rsidR="00000000" w:rsidP="00DD300A">
            <w:pPr>
              <w:pStyle w:val="BodyText"/>
              <w:rPr>
                <w:lang w:val="en-NZ"/>
              </w:rPr>
            </w:pPr>
          </w:p>
        </w:tc>
      </w:tr>
      <w:tr w:rsidTr="00DD300A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0A">
            <w:pPr>
              <w:pStyle w:val="BodyText"/>
              <w:rPr>
                <w:lang w:val="en-NZ"/>
              </w:rPr>
            </w:pPr>
            <w:r w:rsidRPr="00DD300A">
              <w:rPr>
                <w:rStyle w:val="SpecialBold"/>
              </w:rPr>
              <w:t>Faults include: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0A" w:rsidP="00DD300A">
            <w:pPr>
              <w:pStyle w:val="ListBullet"/>
            </w:pPr>
            <w:r w:rsidRPr="00DD300A">
              <w:t>chemical ratios – acid, binder and water</w:t>
            </w:r>
          </w:p>
          <w:p w:rsidR="00000000" w:rsidRPr="00DD300A" w:rsidP="00DD300A">
            <w:pPr>
              <w:pStyle w:val="BodyText"/>
            </w:pPr>
          </w:p>
        </w:tc>
      </w:tr>
    </w:tbl>
    <w:p w:rsidR="00000000" w:rsidRPr="00DD300A" w:rsidP="00DD300A">
      <w:pPr>
        <w:pStyle w:val="BodyText"/>
      </w:pPr>
    </w:p>
    <w:p w:rsidR="00000000" w:rsidRPr="00DD300A" w:rsidP="00DD300A">
      <w:pPr>
        <w:pStyle w:val="AllowPageBreak"/>
      </w:pPr>
    </w:p>
    <w:p w:rsidR="00000000" w:rsidRPr="00DD300A" w:rsidP="00DD300A">
      <w:pPr>
        <w:pStyle w:val="Heading1"/>
      </w:pPr>
      <w:bookmarkStart w:id="8" w:name="O_942948"/>
      <w:bookmarkEnd w:id="8"/>
      <w:r w:rsidRPr="00DD300A">
        <w:t>Unit Mapping Information</w:t>
      </w:r>
    </w:p>
    <w:p w:rsidR="00000000" w:rsidRPr="00DD300A" w:rsidP="00FB590B">
      <w:pPr>
        <w:pStyle w:val="BodyText"/>
      </w:pPr>
      <w:r w:rsidRPr="00DD300A">
        <w:t>Release 1. Supersedes and is equivalent to MEM04004B Prepare and mix sand for metal moulding</w:t>
      </w:r>
    </w:p>
    <w:p w:rsidR="00000000" w:rsidRPr="00DD300A" w:rsidP="00DD300A">
      <w:pPr>
        <w:pStyle w:val="Heading1"/>
      </w:pPr>
      <w:bookmarkStart w:id="9" w:name="O_942941"/>
      <w:bookmarkEnd w:id="9"/>
      <w:r w:rsidRPr="00DD300A">
        <w:t>Links</w:t>
      </w:r>
    </w:p>
    <w:p w:rsidR="00000000" w:rsidRPr="00DD300A" w:rsidP="00FB590B">
      <w:pPr>
        <w:pStyle w:val="BodyText"/>
      </w:pPr>
      <w:r w:rsidRPr="00DD30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24B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300A" w:rsidP="00DD300A"/>
    <w:sectPr w:rsidSect="00DD3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0A" w:rsidRPr="00FB590B" w:rsidP="00FB5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0B" w:rsidP="00DD3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90B" w:rsidP="00DD3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590B" w:rsidP="00DD3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00A" w:rsidRPr="00FB590B" w:rsidP="00FB5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0B" w:rsidRPr="002D2AF8" w:rsidP="00DD3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MEM04004 Prepare and mix sand for metal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B590B" w:rsidP="00DD3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7CA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65F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0A"/>
  </w:style>
  <w:style w:type="character" w:customStyle="1" w:styleId="Heading1Char">
    <w:name w:val="Heading 1 Char"/>
    <w:basedOn w:val="DefaultParagraphFont"/>
    <w:link w:val="Heading1"/>
    <w:rsid w:val="00DD3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0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0A"/>
    <w:rPr>
      <w:b/>
      <w:spacing w:val="0"/>
    </w:rPr>
  </w:style>
  <w:style w:type="paragraph" w:customStyle="1" w:styleId="SuperHeading">
    <w:name w:val="SuperHeading"/>
    <w:basedOn w:val="Normal"/>
    <w:rsid w:val="00DD3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0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0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00A"/>
    <w:rPr>
      <w:i/>
    </w:rPr>
  </w:style>
  <w:style w:type="paragraph" w:styleId="Caption">
    <w:name w:val="caption"/>
    <w:basedOn w:val="BodyText"/>
    <w:next w:val="Normal"/>
    <w:qFormat/>
    <w:rsid w:val="00DD3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0A"/>
  </w:style>
  <w:style w:type="paragraph" w:styleId="TableofFigures">
    <w:name w:val="table of figures"/>
    <w:basedOn w:val="Normal"/>
    <w:next w:val="Normal"/>
    <w:semiHidden/>
    <w:rsid w:val="00DD3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00A"/>
    <w:rPr>
      <w:rFonts w:ascii="Wingdings" w:hAnsi="Wingdings"/>
    </w:rPr>
  </w:style>
  <w:style w:type="paragraph" w:customStyle="1" w:styleId="TableHeading">
    <w:name w:val="Table Heading"/>
    <w:basedOn w:val="HeadingBase"/>
    <w:rsid w:val="00DD3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00A"/>
    <w:rPr>
      <w:color w:val="0033CC"/>
      <w:u w:val="none"/>
    </w:rPr>
  </w:style>
  <w:style w:type="paragraph" w:customStyle="1" w:styleId="BodyTextRight">
    <w:name w:val="Body Text Right"/>
    <w:basedOn w:val="BodyText"/>
    <w:rsid w:val="00DD3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00A"/>
    <w:rPr>
      <w:sz w:val="32"/>
    </w:rPr>
  </w:style>
  <w:style w:type="paragraph" w:customStyle="1" w:styleId="HeadingProcedure">
    <w:name w:val="Heading Procedure"/>
    <w:basedOn w:val="HeadingBase"/>
    <w:next w:val="Normal"/>
    <w:rsid w:val="00DD3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0A"/>
    <w:pPr>
      <w:spacing w:before="60" w:after="60"/>
    </w:pPr>
  </w:style>
  <w:style w:type="paragraph" w:styleId="ListContinue">
    <w:name w:val="List Continue"/>
    <w:basedOn w:val="List"/>
    <w:rsid w:val="00DD300A"/>
    <w:pPr>
      <w:ind w:firstLine="0"/>
    </w:pPr>
  </w:style>
  <w:style w:type="paragraph" w:customStyle="1" w:styleId="ListNote">
    <w:name w:val="List Note"/>
    <w:basedOn w:val="List"/>
    <w:rsid w:val="00DD3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0A"/>
    <w:rPr>
      <w:rFonts w:ascii="Courier New" w:hAnsi="Courier New"/>
    </w:rPr>
  </w:style>
  <w:style w:type="paragraph" w:customStyle="1" w:styleId="NoteBullet">
    <w:name w:val="Note Bullet"/>
    <w:basedOn w:val="Note"/>
    <w:rsid w:val="00DD3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00A"/>
    <w:rPr>
      <w:b/>
      <w:smallCaps/>
    </w:rPr>
  </w:style>
  <w:style w:type="paragraph" w:customStyle="1" w:styleId="TableListNumber">
    <w:name w:val="Table List Number"/>
    <w:basedOn w:val="ListNumber"/>
    <w:rsid w:val="00DD3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0A"/>
    <w:pPr>
      <w:numPr>
        <w:numId w:val="8"/>
      </w:numPr>
    </w:pPr>
  </w:style>
  <w:style w:type="paragraph" w:customStyle="1" w:styleId="ListAlpha2">
    <w:name w:val="List Alpha 2"/>
    <w:basedOn w:val="List2"/>
    <w:rsid w:val="00DD300A"/>
    <w:pPr>
      <w:numPr>
        <w:numId w:val="7"/>
      </w:numPr>
    </w:pPr>
  </w:style>
  <w:style w:type="paragraph" w:styleId="List2">
    <w:name w:val="List 2"/>
    <w:basedOn w:val="BodyText"/>
    <w:rsid w:val="00DD3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00A"/>
    <w:pPr>
      <w:numPr>
        <w:numId w:val="3"/>
      </w:numPr>
    </w:pPr>
  </w:style>
  <w:style w:type="paragraph" w:styleId="ListContinue2">
    <w:name w:val="List Continue 2"/>
    <w:basedOn w:val="List2"/>
    <w:rsid w:val="00DD300A"/>
    <w:pPr>
      <w:ind w:firstLine="0"/>
    </w:pPr>
  </w:style>
  <w:style w:type="paragraph" w:styleId="ListContinue3">
    <w:name w:val="List Continue 3"/>
    <w:basedOn w:val="List3"/>
    <w:rsid w:val="00DD300A"/>
    <w:pPr>
      <w:ind w:left="1021" w:firstLine="0"/>
    </w:pPr>
  </w:style>
  <w:style w:type="paragraph" w:styleId="ListContinue4">
    <w:name w:val="List Continue 4"/>
    <w:basedOn w:val="List4"/>
    <w:rsid w:val="00DD300A"/>
    <w:pPr>
      <w:ind w:firstLine="0"/>
    </w:pPr>
  </w:style>
  <w:style w:type="paragraph" w:styleId="ListContinue5">
    <w:name w:val="List Continue 5"/>
    <w:basedOn w:val="List5"/>
    <w:rsid w:val="00DD300A"/>
    <w:pPr>
      <w:ind w:firstLine="0"/>
    </w:pPr>
  </w:style>
  <w:style w:type="paragraph" w:styleId="ListNumber3">
    <w:name w:val="List Number 3"/>
    <w:basedOn w:val="List3"/>
    <w:rsid w:val="00DD300A"/>
    <w:pPr>
      <w:numPr>
        <w:numId w:val="4"/>
      </w:numPr>
    </w:pPr>
  </w:style>
  <w:style w:type="paragraph" w:styleId="ListNumber4">
    <w:name w:val="List Number 4"/>
    <w:basedOn w:val="List4"/>
    <w:rsid w:val="00DD300A"/>
    <w:pPr>
      <w:numPr>
        <w:numId w:val="5"/>
      </w:numPr>
    </w:pPr>
  </w:style>
  <w:style w:type="paragraph" w:styleId="ListNumber5">
    <w:name w:val="List Number 5"/>
    <w:basedOn w:val="List5"/>
    <w:rsid w:val="00DD300A"/>
    <w:pPr>
      <w:numPr>
        <w:numId w:val="6"/>
      </w:numPr>
    </w:pPr>
  </w:style>
  <w:style w:type="paragraph" w:styleId="BlockText">
    <w:name w:val="Block Text"/>
    <w:basedOn w:val="Normal"/>
    <w:rsid w:val="00DD3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0A"/>
    <w:rPr>
      <w:sz w:val="16"/>
      <w:vertAlign w:val="superscript"/>
    </w:rPr>
  </w:style>
  <w:style w:type="character" w:customStyle="1" w:styleId="Symbols">
    <w:name w:val="Symbols"/>
    <w:basedOn w:val="DefaultParagraphFont"/>
    <w:rsid w:val="00DD300A"/>
    <w:rPr>
      <w:rFonts w:ascii="Symbol" w:hAnsi="Symbol"/>
    </w:rPr>
  </w:style>
  <w:style w:type="character" w:customStyle="1" w:styleId="MenuOptions">
    <w:name w:val="Menu Options"/>
    <w:basedOn w:val="DefaultParagraphFont"/>
    <w:rsid w:val="00DD3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0A"/>
    <w:rPr>
      <w:b/>
    </w:rPr>
  </w:style>
  <w:style w:type="character" w:customStyle="1" w:styleId="Underlined">
    <w:name w:val="Underlined"/>
    <w:basedOn w:val="DefaultParagraphFont"/>
    <w:rsid w:val="00DD300A"/>
    <w:rPr>
      <w:u w:val="single"/>
    </w:rPr>
  </w:style>
  <w:style w:type="paragraph" w:customStyle="1" w:styleId="TableBodyTextRight">
    <w:name w:val="Table Body Text Right"/>
    <w:basedOn w:val="TableBodyText"/>
    <w:rsid w:val="00DD3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0A"/>
    <w:rPr>
      <w:sz w:val="18"/>
    </w:rPr>
  </w:style>
  <w:style w:type="paragraph" w:customStyle="1" w:styleId="BodySmallRight">
    <w:name w:val="Body Small Right"/>
    <w:basedOn w:val="BodyTextRight"/>
    <w:rsid w:val="00DD300A"/>
    <w:rPr>
      <w:sz w:val="18"/>
      <w:szCs w:val="18"/>
    </w:rPr>
  </w:style>
  <w:style w:type="paragraph" w:customStyle="1" w:styleId="MarginEdition">
    <w:name w:val="Margin Edition"/>
    <w:basedOn w:val="MarginNote"/>
    <w:rsid w:val="00DD3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0A"/>
    <w:rPr>
      <w:sz w:val="2"/>
      <w:szCs w:val="2"/>
    </w:rPr>
  </w:style>
  <w:style w:type="character" w:customStyle="1" w:styleId="Small">
    <w:name w:val="Small"/>
    <w:basedOn w:val="DefaultParagraphFont"/>
    <w:rsid w:val="00DD300A"/>
    <w:rPr>
      <w:sz w:val="16"/>
    </w:rPr>
  </w:style>
  <w:style w:type="paragraph" w:customStyle="1" w:styleId="WideTable">
    <w:name w:val="Wide Table"/>
    <w:basedOn w:val="Normal"/>
    <w:rsid w:val="00DD3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0A"/>
  </w:style>
  <w:style w:type="paragraph" w:styleId="Quote">
    <w:name w:val="Quote"/>
    <w:basedOn w:val="Heading1"/>
    <w:link w:val="QuoteChar"/>
    <w:qFormat/>
    <w:rsid w:val="00DD3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0A"/>
    <w:pPr>
      <w:pageBreakBefore/>
    </w:pPr>
  </w:style>
  <w:style w:type="paragraph" w:customStyle="1" w:styleId="Border">
    <w:name w:val="Border"/>
    <w:basedOn w:val="Normal"/>
    <w:qFormat/>
    <w:rsid w:val="00DD3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0A"/>
    <w:rPr>
      <w:u w:val="single"/>
    </w:rPr>
  </w:style>
  <w:style w:type="character" w:customStyle="1" w:styleId="BoldandItalics">
    <w:name w:val="Bold and Italics"/>
    <w:qFormat/>
    <w:rsid w:val="00DD300A"/>
    <w:rPr>
      <w:b/>
      <w:i/>
      <w:u w:val="none"/>
    </w:rPr>
  </w:style>
  <w:style w:type="paragraph" w:styleId="BalloonText">
    <w:name w:val="Balloon Text"/>
    <w:basedOn w:val="Normal"/>
    <w:link w:val="BalloonTextChar"/>
    <w:rsid w:val="00DD3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00A"/>
    <w:pPr>
      <w:spacing w:before="0" w:after="0"/>
    </w:pPr>
  </w:style>
  <w:style w:type="paragraph" w:customStyle="1" w:styleId="BodyTextBold">
    <w:name w:val="Body Text Bold"/>
    <w:basedOn w:val="BodyText"/>
    <w:qFormat/>
    <w:rsid w:val="00DD300A"/>
    <w:rPr>
      <w:b/>
    </w:rPr>
  </w:style>
  <w:style w:type="character" w:styleId="Hyperlink">
    <w:name w:val="Hyperlink"/>
    <w:basedOn w:val="DefaultParagraphFont"/>
    <w:uiPriority w:val="99"/>
    <w:unhideWhenUsed/>
    <w:rsid w:val="00FB5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3255</Characters>
  <Application>Microsoft Office Word</Application>
  <DocSecurity>0</DocSecurity>
  <Lines>191</Lines>
  <Paragraphs>115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MEM04004 Prepare and mix sand for metal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2023-02-03T07:24:00Z</dcterms:created>
  <dcterms:modified xsi:type="dcterms:W3CDTF">2023-02-03T07:24:00Z</dcterms:modified>
</cp:coreProperties>
</file>