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ED9" w:rsidP="006E1E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MEM04004 Prepare and mix sand for metal moulding</w:t>
      </w:r>
      <w:r>
        <w:fldChar w:fldCharType="end"/>
      </w:r>
    </w:p>
    <w:p w:rsidR="006E1ED9" w:rsidP="006E1ED9">
      <w:pPr>
        <w:pStyle w:val="Version"/>
        <w:sectPr w:rsidSect="00BF1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801" w:rsidP="00BF1801">
      <w:pPr>
        <w:pStyle w:val="SuperHeading"/>
      </w:pPr>
      <w:r w:rsidRPr="00BF1801">
        <w:t>MEM04004 Prepare and mix sand for metal moulding</w:t>
      </w:r>
    </w:p>
    <w:p w:rsidR="00000000" w:rsidRPr="00BF1801" w:rsidP="00BF1801">
      <w:pPr>
        <w:pStyle w:val="Heading1"/>
      </w:pPr>
      <w:bookmarkStart w:id="1" w:name="O_942947"/>
      <w:bookmarkEnd w:id="1"/>
      <w:r w:rsidRPr="00BF1801">
        <w:t>Modification History</w:t>
      </w:r>
    </w:p>
    <w:p w:rsidR="00000000" w:rsidRPr="00BF1801" w:rsidP="006E1ED9">
      <w:pPr>
        <w:pStyle w:val="BodyText"/>
      </w:pPr>
      <w:r w:rsidRPr="00BF1801">
        <w:t>Release 1. Supersedes and is equivalent to MEM04004B Prepare and mix sand for metal moulding</w:t>
      </w:r>
    </w:p>
    <w:p w:rsidR="00000000" w:rsidRPr="00BF1801" w:rsidP="00BF1801">
      <w:pPr>
        <w:pStyle w:val="Heading1"/>
      </w:pPr>
      <w:bookmarkStart w:id="2" w:name="O_942955"/>
      <w:bookmarkEnd w:id="2"/>
      <w:r w:rsidRPr="00BF1801">
        <w:t>Application</w:t>
      </w:r>
    </w:p>
    <w:p w:rsidR="00000000" w:rsidRPr="00BF1801" w:rsidP="006E1ED9">
      <w:pPr>
        <w:pStyle w:val="BodyText"/>
      </w:pPr>
      <w:r w:rsidRPr="00BF1801">
        <w:t>This unit of competency defines the skills and knowledge required to prepare and mix sand for metal mould</w:t>
      </w:r>
      <w:r w:rsidRPr="00BF1801">
        <w:t>ing in continuous and batch type mills.</w:t>
      </w:r>
    </w:p>
    <w:p w:rsidR="00000000" w:rsidRPr="00BF1801" w:rsidP="006E1ED9">
      <w:pPr>
        <w:pStyle w:val="BodyText"/>
      </w:pPr>
      <w:r w:rsidRPr="00BF1801">
        <w:t>Where the interpretation of technical drawings is required unit MEM09002 Interpret technical drawing should also be selected.</w:t>
      </w:r>
    </w:p>
    <w:p w:rsidR="00000000" w:rsidRPr="00BF1801" w:rsidP="006E1ED9">
      <w:pPr>
        <w:pStyle w:val="BodyText"/>
      </w:pPr>
      <w:r w:rsidRPr="00BF1801">
        <w:t>Where the selection and use of engineering measuring equipment is required unit MEM12023</w:t>
      </w:r>
      <w:r w:rsidRPr="00BF1801">
        <w:t xml:space="preserve"> Perform engineering measurements should also be selected.</w:t>
      </w:r>
    </w:p>
    <w:p w:rsidR="00000000" w:rsidRPr="00BF1801" w:rsidP="006E1ED9">
      <w:pPr>
        <w:pStyle w:val="BodyText"/>
      </w:pPr>
      <w:r w:rsidRPr="00BF1801">
        <w:t>Where calculations are required unit MEM12024 Perform computations should also be selected.</w:t>
      </w:r>
    </w:p>
    <w:p w:rsidR="00000000" w:rsidRPr="00BF1801" w:rsidP="006E1ED9">
      <w:pPr>
        <w:pStyle w:val="BodyText"/>
      </w:pPr>
      <w:r w:rsidRPr="00BF1801">
        <w:t>Where the selection and use of tools is required unit MEM18001 Use hand tools and unit MEM18002 Use pow</w:t>
      </w:r>
      <w:r w:rsidRPr="00BF1801">
        <w:t>er tools/hand held operations, should also be selected as appropriate.</w:t>
      </w:r>
    </w:p>
    <w:p w:rsidR="00000000" w:rsidRPr="00BF1801" w:rsidP="006E1ED9">
      <w:pPr>
        <w:pStyle w:val="BodyText"/>
      </w:pPr>
      <w:r w:rsidRPr="00BF1801">
        <w:t>No licensing, legislative or certification requirements apply to this unit at the time of publication.</w:t>
      </w:r>
    </w:p>
    <w:p w:rsidR="00000000" w:rsidRPr="00BF1801" w:rsidP="00BF1801">
      <w:pPr>
        <w:pStyle w:val="BodyText"/>
      </w:pPr>
      <w:r w:rsidRPr="00BF1801">
        <w:rPr>
          <w:rStyle w:val="SpecialBold"/>
        </w:rPr>
        <w:t>Band</w:t>
      </w:r>
      <w:r w:rsidRPr="00BF1801">
        <w:t>:</w:t>
      </w:r>
      <w:r w:rsidRPr="00BF1801">
        <w:tab/>
      </w:r>
      <w:r w:rsidRPr="00BF1801">
        <w:rPr>
          <w:rStyle w:val="SpecialBold"/>
        </w:rPr>
        <w:t>A</w:t>
      </w:r>
    </w:p>
    <w:p w:rsidR="00000000" w:rsidRPr="00BF1801" w:rsidP="00BF1801">
      <w:pPr>
        <w:pStyle w:val="BodyText"/>
      </w:pPr>
      <w:r w:rsidRPr="00BF1801">
        <w:rPr>
          <w:rStyle w:val="SpecialBold"/>
        </w:rPr>
        <w:t>Unit Weight</w:t>
      </w:r>
      <w:r w:rsidRPr="00BF1801">
        <w:t>:</w:t>
      </w:r>
      <w:r w:rsidRPr="00BF1801">
        <w:tab/>
      </w:r>
      <w:r w:rsidRPr="00BF1801">
        <w:rPr>
          <w:rStyle w:val="SpecialBold"/>
        </w:rPr>
        <w:t>4</w:t>
      </w: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3" w:name="O_942954"/>
      <w:bookmarkEnd w:id="3"/>
      <w:r w:rsidRPr="00BF180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6"/>
        <w:gridCol w:w="6448"/>
      </w:tblGrid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MEM11011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Undertake ma</w:t>
            </w:r>
            <w:r w:rsidRPr="00BF1801">
              <w:t>nual handling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MEM13015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Work safely and effectively in manufacturing and engineering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MEM16006</w:t>
            </w: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Organise and communicate information</w:t>
            </w:r>
          </w:p>
        </w:tc>
      </w:tr>
    </w:tbl>
    <w:p w:rsidR="00000000" w:rsidRPr="00BF1801" w:rsidP="00BF1801">
      <w:pPr>
        <w:pStyle w:val="BodyText"/>
      </w:pP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4" w:name="O_942953"/>
      <w:bookmarkEnd w:id="4"/>
      <w:r w:rsidRPr="00BF1801">
        <w:t>Competency Field</w:t>
      </w:r>
    </w:p>
    <w:p w:rsidR="00000000" w:rsidRPr="00BF1801" w:rsidP="006E1ED9">
      <w:pPr>
        <w:pStyle w:val="BodyText"/>
      </w:pPr>
      <w:r w:rsidRPr="00BF1801">
        <w:t>Casting and moulding</w:t>
      </w:r>
    </w:p>
    <w:p w:rsidR="00000000" w:rsidRPr="00BF1801" w:rsidP="00BF1801">
      <w:pPr>
        <w:pStyle w:val="Heading1"/>
      </w:pPr>
      <w:bookmarkStart w:id="5" w:name="O_942951"/>
      <w:bookmarkEnd w:id="5"/>
      <w:r w:rsidRPr="00BF18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Performance criteria describe the performance needed to demonstrate achievement of the element.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Follow standard operating procedures (SOPs)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Comply with work health and safety (WHS) requirements at all times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Use appropriate personal protective equipment (PPE) in accordance with SOPs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Identify job requirements from specifications, job sheets or work instructions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Load mixer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Perform all pre start-up checks according to procedures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Determine formula for sand mix according to specifications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Measure and load materials according to formula specification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Mix sand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 xml:space="preserve">Mix </w:t>
            </w:r>
            <w:r w:rsidRPr="00BF1801">
              <w:t>sand for correct time to specifications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Monitor the performance of mixer and the condition of the sand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 xml:space="preserve">Maintain material supply 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Report faults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Take and test samples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Extract sample in an appropriate manner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Apply test in accordance with procedures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Compare test results against specifications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Adjust mix as required to meet specifications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Discharge mixture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Charge load according to SOPs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Dispose of unwanted treated sand according to SOPs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Clean mixer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Shut down mixer to standard safety and operating procedures</w:t>
            </w:r>
          </w:p>
        </w:tc>
      </w:tr>
      <w:tr w:rsidTr="00BF18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BodyText"/>
            </w:pPr>
            <w:r w:rsidRPr="00BF1801">
              <w:t xml:space="preserve">Clean mixer </w:t>
            </w:r>
          </w:p>
        </w:tc>
      </w:tr>
    </w:tbl>
    <w:p w:rsidR="00000000" w:rsidRPr="00BF1801" w:rsidP="00BF1801">
      <w:pPr>
        <w:pStyle w:val="BodyText"/>
      </w:pP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6" w:name="O_942950"/>
      <w:bookmarkEnd w:id="6"/>
      <w:r w:rsidRPr="00BF1801">
        <w:t>Foundation Skills</w:t>
      </w:r>
    </w:p>
    <w:p w:rsidR="00000000" w:rsidRPr="00BF1801" w:rsidP="006E1ED9">
      <w:pPr>
        <w:pStyle w:val="BodyText"/>
      </w:pPr>
      <w:r w:rsidRPr="00BF1801">
        <w:t>This</w:t>
      </w:r>
      <w:r w:rsidRPr="00BF1801">
        <w:t xml:space="preserve"> section describes those required skills (reading, writing, oral communication and numeracy) that are essential to workplace performance in this unit of competency.  </w:t>
      </w:r>
    </w:p>
    <w:p w:rsidR="00000000" w:rsidRPr="00BF1801" w:rsidP="006E1ED9">
      <w:pPr>
        <w:pStyle w:val="BodyText"/>
      </w:pPr>
      <w:r w:rsidRPr="00BF1801">
        <w:t>Foundation skills essential to performance are explicit in the performance criteria of t</w:t>
      </w:r>
      <w:r w:rsidRPr="00BF1801">
        <w:t>his unit of competency.</w:t>
      </w:r>
    </w:p>
    <w:p w:rsidR="00000000" w:rsidRPr="00BF1801" w:rsidP="00BF1801">
      <w:pPr>
        <w:pStyle w:val="Heading1"/>
      </w:pPr>
      <w:bookmarkStart w:id="7" w:name="O_942949"/>
      <w:bookmarkEnd w:id="7"/>
      <w:r w:rsidRPr="00BF1801">
        <w:t>Range of Conditions</w:t>
      </w:r>
    </w:p>
    <w:tbl>
      <w:tblPr>
        <w:tblW w:w="925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7"/>
        <w:gridCol w:w="5947"/>
      </w:tblGrid>
      <w:tr w:rsidTr="00BF1801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t>This field allows for different work environments and conditions that may affect performance. Essential operating conditions that may be present (depending on the work situation, needs of the can</w:t>
            </w:r>
            <w:r w:rsidRPr="00BF1801">
              <w:t>didate, accessibility of the item, and local industry and regional contexts) are included.</w:t>
            </w:r>
          </w:p>
        </w:tc>
      </w:tr>
      <w:tr w:rsidTr="00BF1801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ListBullet"/>
            </w:pPr>
            <w:r w:rsidRPr="00BF1801">
              <w:t>sand</w:t>
            </w:r>
          </w:p>
          <w:p w:rsidR="00000000" w:rsidRPr="00BF1801" w:rsidP="00BF1801">
            <w:pPr>
              <w:pStyle w:val="ListBullet"/>
            </w:pPr>
            <w:r w:rsidRPr="00BF1801">
              <w:t>silica</w:t>
            </w:r>
          </w:p>
          <w:p w:rsidR="00000000" w:rsidRPr="00BF1801" w:rsidP="00BF1801">
            <w:pPr>
              <w:pStyle w:val="ListBullet"/>
            </w:pPr>
            <w:r w:rsidRPr="00BF1801">
              <w:t>zircon</w:t>
            </w:r>
          </w:p>
          <w:p w:rsidR="00000000" w:rsidRPr="00BF1801" w:rsidP="00BF1801">
            <w:pPr>
              <w:pStyle w:val="ListBullet"/>
            </w:pPr>
            <w:r w:rsidRPr="00BF1801">
              <w:t>chromite</w:t>
            </w:r>
          </w:p>
          <w:p w:rsidR="00000000" w:rsidRPr="00BF1801" w:rsidP="00BF1801">
            <w:pPr>
              <w:pStyle w:val="ListBullet"/>
            </w:pPr>
            <w:r w:rsidRPr="00BF1801">
              <w:t>mixtures and water</w:t>
            </w:r>
          </w:p>
          <w:p w:rsidR="00000000" w:rsidP="00BF1801">
            <w:pPr>
              <w:pStyle w:val="BodyText"/>
              <w:rPr>
                <w:lang w:val="en-NZ"/>
              </w:rPr>
            </w:pPr>
          </w:p>
        </w:tc>
      </w:tr>
      <w:tr w:rsidTr="00BF1801">
        <w:tblPrEx>
          <w:tblW w:w="925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801">
            <w:pPr>
              <w:pStyle w:val="BodyText"/>
              <w:rPr>
                <w:lang w:val="en-NZ"/>
              </w:rPr>
            </w:pPr>
            <w:r w:rsidRPr="00BF1801">
              <w:rPr>
                <w:rStyle w:val="SpecialBold"/>
              </w:rPr>
              <w:t>Faults include: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801" w:rsidP="00BF1801">
            <w:pPr>
              <w:pStyle w:val="ListBullet"/>
            </w:pPr>
            <w:r w:rsidRPr="00BF1801">
              <w:t>chemical ratios – acid, binder and water</w:t>
            </w:r>
          </w:p>
          <w:p w:rsidR="00000000" w:rsidRPr="00BF1801" w:rsidP="00BF1801">
            <w:pPr>
              <w:pStyle w:val="BodyText"/>
            </w:pPr>
          </w:p>
        </w:tc>
      </w:tr>
    </w:tbl>
    <w:p w:rsidR="00000000" w:rsidRPr="00BF1801" w:rsidP="00BF1801">
      <w:pPr>
        <w:pStyle w:val="BodyText"/>
      </w:pP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8" w:name="O_942948"/>
      <w:bookmarkEnd w:id="8"/>
      <w:r w:rsidRPr="00BF1801">
        <w:t>Unit Mapping Information</w:t>
      </w:r>
    </w:p>
    <w:p w:rsidR="00000000" w:rsidRPr="00BF1801" w:rsidP="006E1ED9">
      <w:pPr>
        <w:pStyle w:val="BodyText"/>
      </w:pPr>
      <w:r w:rsidRPr="00BF1801">
        <w:t>Release 1. Supersedes and is equivalent to MEM04004B Prepare and mix sand for metal moulding</w:t>
      </w:r>
    </w:p>
    <w:p w:rsidR="00000000" w:rsidRPr="00BF1801" w:rsidP="00BF1801">
      <w:pPr>
        <w:pStyle w:val="Heading1"/>
      </w:pPr>
      <w:bookmarkStart w:id="9" w:name="O_942941"/>
      <w:bookmarkEnd w:id="9"/>
      <w:r w:rsidRPr="00BF1801">
        <w:t>Links</w:t>
      </w:r>
    </w:p>
    <w:p w:rsidR="00000000" w:rsidRPr="00BF1801" w:rsidP="006E1ED9">
      <w:pPr>
        <w:pStyle w:val="BodyText"/>
      </w:pPr>
      <w:r w:rsidRPr="00BF1801">
        <w:t xml:space="preserve">Companion Volume implementation guides </w:t>
      </w:r>
      <w:r w:rsidRPr="00BF1801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70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1801" w:rsidP="006E1ED9">
      <w:pPr>
        <w:pStyle w:val="BodyText"/>
        <w:sectPr w:rsidSect="00BF18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801" w:rsidP="00BF1801">
      <w:pPr>
        <w:pStyle w:val="SuperHeading"/>
      </w:pPr>
      <w:r w:rsidRPr="00BF1801">
        <w:t>Assessment Requirements for MEM04004 Prepare and mix sand for metal moulding</w:t>
      </w:r>
    </w:p>
    <w:p w:rsidR="00000000" w:rsidRPr="00BF1801" w:rsidP="00BF1801">
      <w:pPr>
        <w:pStyle w:val="Heading1"/>
      </w:pPr>
      <w:bookmarkStart w:id="10" w:name="O_942943"/>
      <w:bookmarkEnd w:id="10"/>
      <w:r w:rsidRPr="00BF1801">
        <w:t>Modification History</w:t>
      </w:r>
    </w:p>
    <w:p w:rsidR="00000000" w:rsidRPr="00BF1801" w:rsidP="006E1ED9">
      <w:pPr>
        <w:pStyle w:val="BodyText"/>
      </w:pPr>
      <w:r w:rsidRPr="00BF1801">
        <w:t>Release 1. Supersedes and is equivalent to MEM04004B Prepare and mix sand for metal moulding</w:t>
      </w:r>
    </w:p>
    <w:p w:rsidR="00000000" w:rsidRPr="00BF1801" w:rsidP="00BF1801">
      <w:pPr>
        <w:pStyle w:val="Heading1"/>
      </w:pPr>
      <w:bookmarkStart w:id="11" w:name="O_942946"/>
      <w:bookmarkEnd w:id="11"/>
      <w:r w:rsidRPr="00BF1801">
        <w:t>Performance Evidence</w:t>
      </w:r>
    </w:p>
    <w:p w:rsidR="00000000" w:rsidRPr="00BF1801" w:rsidP="006E1ED9">
      <w:pPr>
        <w:pStyle w:val="BodyText"/>
      </w:pPr>
      <w:r w:rsidRPr="00BF1801">
        <w:t>Evidence required to demonstrate competence in this unit must be relevant to and satisfy the requirement</w:t>
      </w:r>
      <w:r w:rsidRPr="00BF1801">
        <w:t>s of the elements and performance criteria on at least two (2) occasions and include:</w:t>
      </w:r>
    </w:p>
    <w:p w:rsidR="00000000" w:rsidRPr="00BF1801" w:rsidP="00BF1801">
      <w:pPr>
        <w:pStyle w:val="ListBullet"/>
      </w:pPr>
      <w:r w:rsidRPr="00BF1801">
        <w:t xml:space="preserve">following work instructions, standard operating procedures (SOPs) and safe work practices </w:t>
      </w:r>
    </w:p>
    <w:p w:rsidR="00000000" w:rsidRPr="00BF1801" w:rsidP="00BF1801">
      <w:pPr>
        <w:pStyle w:val="ListBullet"/>
      </w:pPr>
      <w:r w:rsidRPr="00BF1801">
        <w:t>identifying and interpreting specifications and applicable reference documents</w:t>
      </w:r>
      <w:r w:rsidRPr="00BF1801">
        <w:t xml:space="preserve"> in preparing and mixing sand for metal pouring</w:t>
      </w:r>
    </w:p>
    <w:p w:rsidR="00000000" w:rsidRPr="00BF1801" w:rsidP="00BF1801">
      <w:pPr>
        <w:pStyle w:val="ListBullet"/>
      </w:pPr>
      <w:r w:rsidRPr="00BF1801">
        <w:t>loading moulding sand mixer, conducting pre-start checks, measuring and loading materials according to instructions</w:t>
      </w:r>
    </w:p>
    <w:p w:rsidR="00000000" w:rsidRPr="00BF1801" w:rsidP="00BF1801">
      <w:pPr>
        <w:pStyle w:val="ListBullet"/>
      </w:pPr>
      <w:r w:rsidRPr="00BF1801">
        <w:t>mixing sand for correct time, monitoring performance of mixer and condition of sand, reporti</w:t>
      </w:r>
      <w:r w:rsidRPr="00BF1801">
        <w:t xml:space="preserve">ng any faults </w:t>
      </w:r>
    </w:p>
    <w:p w:rsidR="00000000" w:rsidRPr="00BF1801" w:rsidP="00BF1801">
      <w:pPr>
        <w:pStyle w:val="ListBullet"/>
      </w:pPr>
      <w:r w:rsidRPr="00BF1801">
        <w:t>extracting sample and applying test and comparing against specifications, and adjusting mix if required</w:t>
      </w:r>
    </w:p>
    <w:p w:rsidR="00000000" w:rsidRPr="00BF1801" w:rsidP="00BF1801">
      <w:pPr>
        <w:pStyle w:val="ListBullet"/>
      </w:pPr>
      <w:r w:rsidRPr="00BF1801">
        <w:t>charging load correcting and disposing of unwanted treated sand according to SOPs</w:t>
      </w:r>
    </w:p>
    <w:p w:rsidR="00000000" w:rsidRPr="00BF1801" w:rsidP="00BF1801">
      <w:pPr>
        <w:pStyle w:val="ListBullet"/>
      </w:pPr>
      <w:r w:rsidRPr="00BF1801">
        <w:t>shutting down and cleaning mixer.</w:t>
      </w: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12" w:name="O_942945"/>
      <w:bookmarkEnd w:id="12"/>
      <w:r w:rsidRPr="00BF1801">
        <w:t>Knowledge Evidence</w:t>
      </w:r>
    </w:p>
    <w:p w:rsidR="00000000" w:rsidRPr="00BF1801" w:rsidP="006E1ED9">
      <w:pPr>
        <w:pStyle w:val="BodyText"/>
      </w:pPr>
      <w:r w:rsidRPr="00BF1801">
        <w:t>Evidence required to demonstrate the required knowledge for this unit must be relevant to and satisfy the requirements of the elements and performance criteria and include knowledge of:</w:t>
      </w:r>
    </w:p>
    <w:p w:rsidR="00000000" w:rsidRPr="00BF1801" w:rsidP="00BF1801">
      <w:pPr>
        <w:pStyle w:val="ListBullet"/>
      </w:pPr>
      <w:r w:rsidRPr="00BF1801">
        <w:t>safe work practices and procedures and use of pers</w:t>
      </w:r>
      <w:r w:rsidRPr="00BF1801">
        <w:t>onal protective equipment (PPE)</w:t>
      </w:r>
    </w:p>
    <w:p w:rsidR="00000000" w:rsidRPr="00BF1801" w:rsidP="00BF1801">
      <w:pPr>
        <w:pStyle w:val="ListBullet"/>
      </w:pPr>
      <w:r w:rsidRPr="00BF1801">
        <w:t xml:space="preserve">characteristics, safe handling procedure and mixture applications of the sand and binding agent </w:t>
      </w:r>
    </w:p>
    <w:p w:rsidR="00000000" w:rsidRPr="00BF1801" w:rsidP="00BF1801">
      <w:pPr>
        <w:pStyle w:val="ListBullet"/>
      </w:pPr>
      <w:r w:rsidRPr="00BF1801">
        <w:t xml:space="preserve">moulding requirements </w:t>
      </w:r>
    </w:p>
    <w:p w:rsidR="00000000" w:rsidRPr="00BF1801" w:rsidP="00BF1801">
      <w:pPr>
        <w:pStyle w:val="ListBullet"/>
      </w:pPr>
      <w:r w:rsidRPr="00BF1801">
        <w:t xml:space="preserve">mixers, applications, loading, operating and unloading procedures </w:t>
      </w:r>
    </w:p>
    <w:p w:rsidR="00000000" w:rsidRPr="00BF1801" w:rsidP="00BF1801">
      <w:pPr>
        <w:pStyle w:val="ListBullet"/>
      </w:pPr>
      <w:r w:rsidRPr="00BF1801">
        <w:t>volumes, quantities, ratios and perce</w:t>
      </w:r>
      <w:r w:rsidRPr="00BF1801">
        <w:t>ntages</w:t>
      </w:r>
    </w:p>
    <w:p w:rsidR="00000000" w:rsidRPr="00BF1801" w:rsidP="00BF1801">
      <w:pPr>
        <w:pStyle w:val="ListBullet"/>
      </w:pPr>
      <w:r w:rsidRPr="00BF1801">
        <w:t>sampling, testing and acceptance criteria for mixed sand</w:t>
      </w:r>
    </w:p>
    <w:p w:rsidR="00000000" w:rsidRPr="00BF1801" w:rsidP="00BF1801">
      <w:pPr>
        <w:pStyle w:val="ListBullet"/>
      </w:pPr>
      <w:r w:rsidRPr="00BF1801">
        <w:t>procedures for cleaning and shutting down mixer</w:t>
      </w:r>
    </w:p>
    <w:p w:rsidR="00000000" w:rsidRPr="00BF1801" w:rsidP="00BF1801">
      <w:pPr>
        <w:pStyle w:val="ListBullet"/>
      </w:pPr>
      <w:r w:rsidRPr="00BF1801">
        <w:t xml:space="preserve">environmental requirements for the disposal of unwanted sand. </w:t>
      </w: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13" w:name="O_942944"/>
      <w:bookmarkEnd w:id="13"/>
      <w:r w:rsidRPr="00BF1801">
        <w:t>Assessment Conditions</w:t>
      </w:r>
    </w:p>
    <w:p w:rsidR="00000000" w:rsidRPr="00BF1801" w:rsidP="00BF1801">
      <w:pPr>
        <w:pStyle w:val="ListBullet"/>
      </w:pPr>
      <w:r w:rsidRPr="00BF1801">
        <w:t>Assessors must:</w:t>
      </w:r>
    </w:p>
    <w:p w:rsidR="00000000" w:rsidRPr="00BF1801" w:rsidP="00BF1801">
      <w:pPr>
        <w:pStyle w:val="ListBullet2"/>
      </w:pPr>
      <w:r w:rsidRPr="00BF1801">
        <w:t>have vocational competen</w:t>
      </w:r>
      <w:r w:rsidRPr="00BF1801">
        <w:t>cy in preparing and mixing sand for metal moulding at least to the level being assessed with relevant industry knowledge and experience</w:t>
      </w:r>
    </w:p>
    <w:p w:rsidR="00000000" w:rsidRPr="00BF1801" w:rsidP="00BF1801">
      <w:pPr>
        <w:pStyle w:val="ListBullet2"/>
      </w:pPr>
      <w:r w:rsidRPr="00BF1801">
        <w:t xml:space="preserve">satisfy the assessor requirements in the </w:t>
      </w:r>
      <w:r w:rsidRPr="00BF1801">
        <w:rPr>
          <w:rStyle w:val="Emphasis"/>
        </w:rPr>
        <w:t xml:space="preserve">Standards for Registered Training Organisations 2015 </w:t>
      </w:r>
      <w:r w:rsidRPr="00BF1801">
        <w:t>or its replacement</w:t>
      </w:r>
      <w:r w:rsidRPr="00BF1801">
        <w:rPr>
          <w:rStyle w:val="Emphasis"/>
        </w:rPr>
        <w:t xml:space="preserve"> </w:t>
      </w:r>
      <w:r w:rsidRPr="00BF1801">
        <w:t xml:space="preserve">and comply with the </w:t>
      </w:r>
      <w:r w:rsidRPr="00BF1801">
        <w:rPr>
          <w:rStyle w:val="Emphasis"/>
        </w:rPr>
        <w:t xml:space="preserve">National Vocational Education and Training Regulator Act 2011, </w:t>
      </w:r>
      <w:r w:rsidRPr="00BF1801">
        <w:t>its replacement</w:t>
      </w:r>
      <w:r w:rsidRPr="00BF1801">
        <w:rPr>
          <w:rStyle w:val="Emphasis"/>
        </w:rPr>
        <w:t xml:space="preserve"> </w:t>
      </w:r>
      <w:r w:rsidRPr="00BF1801">
        <w:t>or equivalent legislation covering VET regulation in a non-referring state/territory as the case requires</w:t>
      </w:r>
    </w:p>
    <w:p w:rsidR="00000000" w:rsidRPr="00BF1801" w:rsidP="00BF1801">
      <w:pPr>
        <w:pStyle w:val="ListBullet"/>
      </w:pPr>
      <w:r w:rsidRPr="00BF1801">
        <w:t>Where possible assessment must occur in operationa</w:t>
      </w:r>
      <w:r w:rsidRPr="00BF1801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BF1801">
        <w:t>must cover all aspects of workplace performance, including environment, task skills, task management skills, contingency management skills and job role environment skills</w:t>
      </w:r>
    </w:p>
    <w:p w:rsidR="00000000" w:rsidRPr="00BF1801" w:rsidP="00BF1801">
      <w:pPr>
        <w:pStyle w:val="ListBullet"/>
      </w:pPr>
      <w:r w:rsidRPr="00BF1801">
        <w:t xml:space="preserve">Conditions for assessment must include access to all tools, equipment, materials and </w:t>
      </w:r>
      <w:r w:rsidRPr="00BF1801">
        <w:t>documentation required, including relevant workplace procedures, product and manufacturing specifications</w:t>
      </w:r>
    </w:p>
    <w:p w:rsidR="00000000" w:rsidRPr="00BF1801" w:rsidP="00BF1801">
      <w:pPr>
        <w:pStyle w:val="ListBullet"/>
      </w:pPr>
      <w:r w:rsidRPr="00BF1801">
        <w:t xml:space="preserve">Assessment processes and techniques must be appropriate to the language, literacy and numeracy requirements of the work being performed and the needs </w:t>
      </w:r>
      <w:r w:rsidRPr="00BF1801">
        <w:t>of the candidate.</w:t>
      </w:r>
    </w:p>
    <w:p w:rsidR="00000000" w:rsidRPr="00BF1801" w:rsidP="00BF1801">
      <w:pPr>
        <w:pStyle w:val="AllowPageBreak"/>
      </w:pPr>
    </w:p>
    <w:p w:rsidR="00000000" w:rsidRPr="00BF1801" w:rsidP="00BF1801">
      <w:pPr>
        <w:pStyle w:val="Heading1"/>
      </w:pPr>
      <w:bookmarkStart w:id="14" w:name="O_942942"/>
      <w:bookmarkEnd w:id="14"/>
      <w:r w:rsidRPr="00BF1801">
        <w:t>Links</w:t>
      </w:r>
    </w:p>
    <w:p w:rsidR="00000000" w:rsidRPr="00BF1801" w:rsidP="006E1ED9">
      <w:pPr>
        <w:pStyle w:val="BodyText"/>
      </w:pPr>
      <w:r w:rsidRPr="00BF18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170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F1801" w:rsidP="00BF1801"/>
    <w:sectPr w:rsidSect="00BF18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 w:rsidRPr="006E1ED9" w:rsidP="006E1E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9" w:rsidP="00BF1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ED9" w:rsidP="00BF1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1ED9" w:rsidP="00BF18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 w:rsidP="00BF1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1ED9">
      <w:t>Approved</w:t>
    </w:r>
    <w:r w:rsidR="006E1E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1E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1ED9">
      <w:rPr>
        <w:noProof/>
      </w:rPr>
      <w:t>4</w:t>
    </w:r>
    <w:r>
      <w:rPr>
        <w:noProof/>
      </w:rPr>
      <w:fldChar w:fldCharType="end"/>
    </w:r>
  </w:p>
  <w:p w:rsidR="00BF1801" w:rsidP="00BF1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1E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1ED9">
      <w:t>Manufacturing Industry Skills Alliance</w:t>
    </w:r>
    <w:r w:rsidR="006E1ED9">
      <w:fldChar w:fldCharType="end"/>
    </w:r>
  </w:p>
  <w:p w:rsidR="00BF1801" w:rsidP="00BF1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801" w:rsidRPr="006E1ED9" w:rsidP="006E1E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D9" w:rsidRPr="002D2AF8" w:rsidP="00BF1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MEM04004 Prepare and mix sand for metal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1ED9" w:rsidP="00BF18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801" w:rsidRPr="002D2AF8" w:rsidP="00BF1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1ED9">
      <w:t>MEM04004 Prepare and mix sand for metal moulding</w:t>
    </w:r>
    <w:r w:rsidR="006E1E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1ED9">
      <w:rPr>
        <w:noProof/>
      </w:rPr>
      <w:t>2 March 2025</w:t>
    </w:r>
    <w:r>
      <w:fldChar w:fldCharType="end"/>
    </w:r>
  </w:p>
  <w:p w:rsidR="00BF1801" w:rsidP="00BF1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8C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E9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4874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801"/>
  </w:style>
  <w:style w:type="character" w:customStyle="1" w:styleId="Heading1Char">
    <w:name w:val="Heading 1 Char"/>
    <w:basedOn w:val="DefaultParagraphFont"/>
    <w:link w:val="Heading1"/>
    <w:rsid w:val="00BF1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8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18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801"/>
    <w:rPr>
      <w:b/>
      <w:spacing w:val="0"/>
    </w:rPr>
  </w:style>
  <w:style w:type="paragraph" w:styleId="ListBullet2">
    <w:name w:val="List Bullet 2"/>
    <w:basedOn w:val="List2"/>
    <w:rsid w:val="00BF18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801"/>
    <w:rPr>
      <w:i/>
    </w:rPr>
  </w:style>
  <w:style w:type="paragraph" w:customStyle="1" w:styleId="SuperHeading">
    <w:name w:val="SuperHeading"/>
    <w:basedOn w:val="Normal"/>
    <w:rsid w:val="00BF1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1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1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1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8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801"/>
  </w:style>
  <w:style w:type="paragraph" w:styleId="TableofFigures">
    <w:name w:val="table of figures"/>
    <w:basedOn w:val="Normal"/>
    <w:next w:val="Normal"/>
    <w:semiHidden/>
    <w:rsid w:val="00BF1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8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1801"/>
    <w:rPr>
      <w:rFonts w:ascii="Wingdings" w:hAnsi="Wingdings"/>
    </w:rPr>
  </w:style>
  <w:style w:type="paragraph" w:customStyle="1" w:styleId="TableHeading">
    <w:name w:val="Table Heading"/>
    <w:basedOn w:val="HeadingBase"/>
    <w:rsid w:val="00BF1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801"/>
    <w:rPr>
      <w:color w:val="0033CC"/>
      <w:u w:val="none"/>
    </w:rPr>
  </w:style>
  <w:style w:type="paragraph" w:customStyle="1" w:styleId="BodyTextRight">
    <w:name w:val="Body Text Right"/>
    <w:basedOn w:val="BodyText"/>
    <w:rsid w:val="00BF1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8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801"/>
    <w:rPr>
      <w:sz w:val="32"/>
    </w:rPr>
  </w:style>
  <w:style w:type="paragraph" w:customStyle="1" w:styleId="HeadingProcedure">
    <w:name w:val="Heading Procedure"/>
    <w:basedOn w:val="HeadingBase"/>
    <w:next w:val="Normal"/>
    <w:rsid w:val="00BF1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801"/>
    <w:pPr>
      <w:spacing w:before="60" w:after="60"/>
    </w:pPr>
  </w:style>
  <w:style w:type="paragraph" w:styleId="ListContinue">
    <w:name w:val="List Continue"/>
    <w:basedOn w:val="List"/>
    <w:rsid w:val="00BF1801"/>
    <w:pPr>
      <w:ind w:firstLine="0"/>
    </w:pPr>
  </w:style>
  <w:style w:type="paragraph" w:customStyle="1" w:styleId="ListNote">
    <w:name w:val="List Note"/>
    <w:basedOn w:val="List"/>
    <w:rsid w:val="00BF1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801"/>
    <w:rPr>
      <w:rFonts w:ascii="Courier New" w:hAnsi="Courier New"/>
    </w:rPr>
  </w:style>
  <w:style w:type="paragraph" w:customStyle="1" w:styleId="NoteBullet">
    <w:name w:val="Note Bullet"/>
    <w:basedOn w:val="Note"/>
    <w:rsid w:val="00BF1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8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1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801"/>
    <w:rPr>
      <w:b/>
      <w:smallCaps/>
    </w:rPr>
  </w:style>
  <w:style w:type="paragraph" w:customStyle="1" w:styleId="TableListNumber">
    <w:name w:val="Table List Number"/>
    <w:basedOn w:val="ListNumber"/>
    <w:rsid w:val="00BF1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801"/>
    <w:pPr>
      <w:numPr>
        <w:numId w:val="9"/>
      </w:numPr>
    </w:pPr>
  </w:style>
  <w:style w:type="paragraph" w:customStyle="1" w:styleId="ListAlpha2">
    <w:name w:val="List Alpha 2"/>
    <w:basedOn w:val="List2"/>
    <w:rsid w:val="00BF1801"/>
    <w:pPr>
      <w:numPr>
        <w:numId w:val="8"/>
      </w:numPr>
    </w:pPr>
  </w:style>
  <w:style w:type="paragraph" w:styleId="List2">
    <w:name w:val="List 2"/>
    <w:basedOn w:val="BodyText"/>
    <w:rsid w:val="00BF1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1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18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18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1801"/>
    <w:pPr>
      <w:numPr>
        <w:numId w:val="4"/>
      </w:numPr>
    </w:pPr>
  </w:style>
  <w:style w:type="paragraph" w:styleId="ListContinue2">
    <w:name w:val="List Continue 2"/>
    <w:basedOn w:val="List2"/>
    <w:rsid w:val="00BF1801"/>
    <w:pPr>
      <w:ind w:firstLine="0"/>
    </w:pPr>
  </w:style>
  <w:style w:type="paragraph" w:styleId="ListContinue3">
    <w:name w:val="List Continue 3"/>
    <w:basedOn w:val="List3"/>
    <w:rsid w:val="00BF1801"/>
    <w:pPr>
      <w:ind w:left="1021" w:firstLine="0"/>
    </w:pPr>
  </w:style>
  <w:style w:type="paragraph" w:styleId="ListContinue4">
    <w:name w:val="List Continue 4"/>
    <w:basedOn w:val="List4"/>
    <w:rsid w:val="00BF1801"/>
    <w:pPr>
      <w:ind w:firstLine="0"/>
    </w:pPr>
  </w:style>
  <w:style w:type="paragraph" w:styleId="ListContinue5">
    <w:name w:val="List Continue 5"/>
    <w:basedOn w:val="List5"/>
    <w:rsid w:val="00BF1801"/>
    <w:pPr>
      <w:ind w:firstLine="0"/>
    </w:pPr>
  </w:style>
  <w:style w:type="paragraph" w:styleId="ListNumber3">
    <w:name w:val="List Number 3"/>
    <w:basedOn w:val="List3"/>
    <w:rsid w:val="00BF1801"/>
    <w:pPr>
      <w:numPr>
        <w:numId w:val="5"/>
      </w:numPr>
    </w:pPr>
  </w:style>
  <w:style w:type="paragraph" w:styleId="ListNumber4">
    <w:name w:val="List Number 4"/>
    <w:basedOn w:val="List4"/>
    <w:rsid w:val="00BF1801"/>
    <w:pPr>
      <w:numPr>
        <w:numId w:val="6"/>
      </w:numPr>
    </w:pPr>
  </w:style>
  <w:style w:type="paragraph" w:styleId="ListNumber5">
    <w:name w:val="List Number 5"/>
    <w:basedOn w:val="List5"/>
    <w:rsid w:val="00BF1801"/>
    <w:pPr>
      <w:numPr>
        <w:numId w:val="7"/>
      </w:numPr>
    </w:pPr>
  </w:style>
  <w:style w:type="paragraph" w:styleId="BlockText">
    <w:name w:val="Block Text"/>
    <w:basedOn w:val="Normal"/>
    <w:rsid w:val="00BF1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801"/>
    <w:rPr>
      <w:sz w:val="16"/>
      <w:vertAlign w:val="superscript"/>
    </w:rPr>
  </w:style>
  <w:style w:type="character" w:customStyle="1" w:styleId="Symbols">
    <w:name w:val="Symbols"/>
    <w:basedOn w:val="DefaultParagraphFont"/>
    <w:rsid w:val="00BF1801"/>
    <w:rPr>
      <w:rFonts w:ascii="Symbol" w:hAnsi="Symbol"/>
    </w:rPr>
  </w:style>
  <w:style w:type="character" w:customStyle="1" w:styleId="MenuOptions">
    <w:name w:val="Menu Options"/>
    <w:basedOn w:val="DefaultParagraphFont"/>
    <w:rsid w:val="00BF1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801"/>
    <w:rPr>
      <w:b/>
    </w:rPr>
  </w:style>
  <w:style w:type="character" w:customStyle="1" w:styleId="Underlined">
    <w:name w:val="Underlined"/>
    <w:basedOn w:val="DefaultParagraphFont"/>
    <w:rsid w:val="00BF1801"/>
    <w:rPr>
      <w:u w:val="single"/>
    </w:rPr>
  </w:style>
  <w:style w:type="paragraph" w:customStyle="1" w:styleId="TableBodyTextRight">
    <w:name w:val="Table Body Text Right"/>
    <w:basedOn w:val="TableBodyText"/>
    <w:rsid w:val="00BF1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801"/>
    <w:rPr>
      <w:sz w:val="18"/>
    </w:rPr>
  </w:style>
  <w:style w:type="paragraph" w:customStyle="1" w:styleId="BodySmallRight">
    <w:name w:val="Body Small Right"/>
    <w:basedOn w:val="BodyTextRight"/>
    <w:rsid w:val="00BF1801"/>
    <w:rPr>
      <w:sz w:val="18"/>
      <w:szCs w:val="18"/>
    </w:rPr>
  </w:style>
  <w:style w:type="paragraph" w:customStyle="1" w:styleId="MarginEdition">
    <w:name w:val="Margin Edition"/>
    <w:basedOn w:val="MarginNote"/>
    <w:rsid w:val="00BF1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801"/>
    <w:rPr>
      <w:sz w:val="2"/>
      <w:szCs w:val="2"/>
    </w:rPr>
  </w:style>
  <w:style w:type="character" w:customStyle="1" w:styleId="Small">
    <w:name w:val="Small"/>
    <w:basedOn w:val="DefaultParagraphFont"/>
    <w:rsid w:val="00BF1801"/>
    <w:rPr>
      <w:sz w:val="16"/>
    </w:rPr>
  </w:style>
  <w:style w:type="paragraph" w:customStyle="1" w:styleId="WideTable">
    <w:name w:val="Wide Table"/>
    <w:basedOn w:val="Normal"/>
    <w:rsid w:val="00BF1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801"/>
  </w:style>
  <w:style w:type="paragraph" w:styleId="Quote">
    <w:name w:val="Quote"/>
    <w:basedOn w:val="Heading1"/>
    <w:link w:val="QuoteChar"/>
    <w:qFormat/>
    <w:rsid w:val="00BF1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801"/>
    <w:pPr>
      <w:pageBreakBefore/>
    </w:pPr>
  </w:style>
  <w:style w:type="paragraph" w:customStyle="1" w:styleId="Border">
    <w:name w:val="Border"/>
    <w:basedOn w:val="Normal"/>
    <w:qFormat/>
    <w:rsid w:val="00BF1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801"/>
    <w:rPr>
      <w:u w:val="single"/>
    </w:rPr>
  </w:style>
  <w:style w:type="character" w:customStyle="1" w:styleId="BoldandItalics">
    <w:name w:val="Bold and Italics"/>
    <w:qFormat/>
    <w:rsid w:val="00BF1801"/>
    <w:rPr>
      <w:b/>
      <w:i/>
      <w:u w:val="none"/>
    </w:rPr>
  </w:style>
  <w:style w:type="paragraph" w:styleId="BalloonText">
    <w:name w:val="Balloon Text"/>
    <w:basedOn w:val="Normal"/>
    <w:link w:val="BalloonTextChar"/>
    <w:rsid w:val="00BF1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8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8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801"/>
    <w:pPr>
      <w:spacing w:before="0" w:after="0"/>
    </w:pPr>
  </w:style>
  <w:style w:type="paragraph" w:customStyle="1" w:styleId="BodyTextBold">
    <w:name w:val="Body Text Bold"/>
    <w:basedOn w:val="BodyText"/>
    <w:qFormat/>
    <w:rsid w:val="00BF1801"/>
    <w:rPr>
      <w:b/>
    </w:rPr>
  </w:style>
  <w:style w:type="character" w:styleId="Hyperlink">
    <w:name w:val="Hyperlink"/>
    <w:basedOn w:val="DefaultParagraphFont"/>
    <w:uiPriority w:val="99"/>
    <w:unhideWhenUsed/>
    <w:rsid w:val="006E1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6171</Characters>
  <Application>Microsoft Office Word</Application>
  <DocSecurity>0</DocSecurity>
  <Lines>246</Lines>
  <Paragraphs>149</Paragraphs>
  <ScaleCrop>false</ScaleCrop>
  <Company>Author-it Software Corporation Ltd.</Company>
  <LinksUpToDate>false</LinksUpToDate>
  <CharactersWithSpaces>7010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MEM04004 Prepare and mix sand for metal moulding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2025-03-01T20:17:00Z</dcterms:created>
  <dcterms:modified xsi:type="dcterms:W3CDTF">2025-03-01T20:17:00Z</dcterms:modified>
</cp:coreProperties>
</file>