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FBF" w:rsidP="00A75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MEM04003 Operate pressure die casting machine</w:t>
      </w:r>
      <w:r>
        <w:fldChar w:fldCharType="end"/>
      </w:r>
    </w:p>
    <w:p w:rsidR="00A75FBF" w:rsidP="00A75FBF">
      <w:pPr>
        <w:pStyle w:val="Version"/>
        <w:sectPr w:rsidSect="00C34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EBA" w:rsidP="00C34EBA">
      <w:pPr>
        <w:pStyle w:val="SuperHeading"/>
      </w:pPr>
      <w:r w:rsidRPr="00C34EBA">
        <w:t>MEM04003 Operate pressure die casting machine</w:t>
      </w:r>
    </w:p>
    <w:p w:rsidR="00000000" w:rsidRPr="00C34EBA" w:rsidP="00C34EBA">
      <w:pPr>
        <w:pStyle w:val="Heading1"/>
      </w:pPr>
      <w:bookmarkStart w:id="1" w:name="O_942928"/>
      <w:bookmarkEnd w:id="1"/>
      <w:r w:rsidRPr="00C34EBA">
        <w:t>Modification History</w:t>
      </w:r>
    </w:p>
    <w:p w:rsidR="00000000" w:rsidRPr="00C34EBA" w:rsidP="00A75FBF">
      <w:pPr>
        <w:pStyle w:val="BodyText"/>
      </w:pPr>
      <w:r w:rsidRPr="00C34EBA">
        <w:t xml:space="preserve">Release 1. Supersedes and is equivalent to MEM04003B Operate pressure die casting machine </w:t>
      </w:r>
    </w:p>
    <w:p w:rsidR="00000000" w:rsidRPr="00C34EBA" w:rsidP="00C34EBA">
      <w:pPr>
        <w:pStyle w:val="Heading1"/>
      </w:pPr>
      <w:bookmarkStart w:id="2" w:name="O_942936"/>
      <w:bookmarkEnd w:id="2"/>
      <w:r w:rsidRPr="00C34EBA">
        <w:t>Application</w:t>
      </w:r>
    </w:p>
    <w:p w:rsidR="00000000" w:rsidRPr="00C34EBA" w:rsidP="00A75FBF">
      <w:pPr>
        <w:pStyle w:val="BodyText"/>
      </w:pPr>
      <w:r w:rsidRPr="00C34EBA">
        <w:t xml:space="preserve">This unit of competency defines the skills and knowledge required to start, operate and shut down pressure </w:t>
      </w:r>
      <w:r w:rsidRPr="00C34EBA">
        <w:t>die casting machines.</w:t>
      </w:r>
    </w:p>
    <w:p w:rsidR="00000000" w:rsidRPr="00C34EBA" w:rsidP="00A75FBF">
      <w:pPr>
        <w:pStyle w:val="BodyText"/>
      </w:pPr>
      <w:r w:rsidRPr="00C34EBA">
        <w:t>Where the interpretation of technical drawings is required unit MEM09002 Interpret technical drawing should also be selected.</w:t>
      </w:r>
    </w:p>
    <w:p w:rsidR="00000000" w:rsidRPr="00C34EBA" w:rsidP="00A75FBF">
      <w:pPr>
        <w:pStyle w:val="BodyText"/>
      </w:pPr>
      <w:r w:rsidRPr="00C34EBA">
        <w:t>Where the selection and use of engineering measuring equipment is required unit MEM12023 Perform engineeri</w:t>
      </w:r>
      <w:r w:rsidRPr="00C34EBA">
        <w:t>ng measurements should also be selected.</w:t>
      </w:r>
    </w:p>
    <w:p w:rsidR="00000000" w:rsidRPr="00C34EBA" w:rsidP="00A75FBF">
      <w:pPr>
        <w:pStyle w:val="BodyText"/>
      </w:pPr>
      <w:r w:rsidRPr="00C34EBA">
        <w:t>Where the selection and use of tools is required unit MEM18001 Use hand tools and unit MEM18002 Use power tools/hand held operations, should also be selected as appropriate.</w:t>
      </w:r>
    </w:p>
    <w:p w:rsidR="00000000" w:rsidRPr="00C34EBA" w:rsidP="00A75FBF">
      <w:pPr>
        <w:pStyle w:val="BodyText"/>
      </w:pPr>
      <w:r w:rsidRPr="00C34EBA">
        <w:t>No licensing, legislative or certificat</w:t>
      </w:r>
      <w:r w:rsidRPr="00C34EBA">
        <w:t>ion requirements apply to this unit at the time of publication.</w:t>
      </w:r>
    </w:p>
    <w:p w:rsidR="00000000" w:rsidRPr="00C34EBA" w:rsidP="00C34EBA">
      <w:pPr>
        <w:pStyle w:val="BodyText"/>
      </w:pPr>
      <w:r w:rsidRPr="00C34EBA">
        <w:rPr>
          <w:rStyle w:val="SpecialBold"/>
        </w:rPr>
        <w:t>Band</w:t>
      </w:r>
      <w:r w:rsidRPr="00C34EBA">
        <w:t>:</w:t>
      </w:r>
      <w:r w:rsidRPr="00C34EBA">
        <w:tab/>
      </w:r>
      <w:r w:rsidRPr="00C34EBA">
        <w:rPr>
          <w:rStyle w:val="SpecialBold"/>
        </w:rPr>
        <w:t>A</w:t>
      </w:r>
    </w:p>
    <w:p w:rsidR="00000000" w:rsidRPr="00C34EBA" w:rsidP="00C34EBA">
      <w:pPr>
        <w:pStyle w:val="BodyText"/>
      </w:pPr>
      <w:r w:rsidRPr="00C34EBA">
        <w:rPr>
          <w:rStyle w:val="SpecialBold"/>
        </w:rPr>
        <w:t>Unit Weight</w:t>
      </w:r>
      <w:r w:rsidRPr="00C34EBA">
        <w:t>:</w:t>
      </w:r>
      <w:r w:rsidRPr="00C34EBA">
        <w:tab/>
      </w:r>
      <w:r w:rsidRPr="00C34EBA">
        <w:rPr>
          <w:rStyle w:val="SpecialBold"/>
        </w:rPr>
        <w:t>4</w:t>
      </w:r>
    </w:p>
    <w:p w:rsidR="00000000" w:rsidRPr="00C34EBA" w:rsidP="00C34EBA">
      <w:pPr>
        <w:pStyle w:val="AllowPageBreak"/>
      </w:pPr>
    </w:p>
    <w:p w:rsidR="00000000" w:rsidRPr="00C34EBA" w:rsidP="00C34EBA">
      <w:pPr>
        <w:pStyle w:val="Heading1"/>
      </w:pPr>
      <w:bookmarkStart w:id="3" w:name="O_942935"/>
      <w:bookmarkEnd w:id="3"/>
      <w:r w:rsidRPr="00C34EB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5"/>
        <w:gridCol w:w="6446"/>
      </w:tblGrid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MEM11011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Undertake manual handling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MEM13004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Work safely with molten metals/glass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MEM13015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Work safely and effectively in manufacturing and engineering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MEM16006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Organise and communicate information</w:t>
            </w:r>
          </w:p>
        </w:tc>
      </w:tr>
    </w:tbl>
    <w:p w:rsidR="00000000" w:rsidRPr="00C34EBA" w:rsidP="00C34EBA">
      <w:pPr>
        <w:pStyle w:val="BodyText"/>
      </w:pPr>
    </w:p>
    <w:p w:rsidR="00000000" w:rsidRPr="00C34EBA" w:rsidP="00C34EBA">
      <w:pPr>
        <w:pStyle w:val="AllowPageBreak"/>
      </w:pPr>
    </w:p>
    <w:p w:rsidR="00000000" w:rsidRPr="00C34EBA" w:rsidP="00C34EBA">
      <w:pPr>
        <w:pStyle w:val="Heading1"/>
      </w:pPr>
      <w:bookmarkStart w:id="4" w:name="O_942934"/>
      <w:bookmarkEnd w:id="4"/>
      <w:r w:rsidRPr="00C34EBA">
        <w:t>Competency Field</w:t>
      </w:r>
    </w:p>
    <w:p w:rsidR="00000000" w:rsidRPr="00C34EBA" w:rsidP="00A75FBF">
      <w:pPr>
        <w:pStyle w:val="BodyText"/>
      </w:pPr>
      <w:r w:rsidRPr="00C34EBA">
        <w:t>Casting and moulding</w:t>
      </w:r>
    </w:p>
    <w:p w:rsidR="00000000" w:rsidRPr="00C34EBA" w:rsidP="00C34EBA">
      <w:pPr>
        <w:pStyle w:val="Heading1"/>
      </w:pPr>
      <w:bookmarkStart w:id="5" w:name="O_942932"/>
      <w:bookmarkEnd w:id="5"/>
      <w:r w:rsidRPr="00C34E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Elements describe the essential outcomes</w:t>
            </w:r>
            <w:r w:rsidRPr="00C34EBA">
              <w:t>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Performance criteria describe the performance needed to demonstrate achievement of the element.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Follow standard operating procedures (SOPs)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Comply with work health and safety (WHS) requirements at all times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Use appropriate personal protective equipment (PPE) in accordance with SOPs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Identify job requirements from specifications, job sheets or work instructions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>Conduct pre-operational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 xml:space="preserve">Conduct start-up procedure 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Adjust the shot size if required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 xml:space="preserve">Check nitrogen and/or vacuum systems if applicable 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Undertake a functional check of the picking robot, and adjust the component gripper if required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 xml:space="preserve">Adjust die spray nozzles 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Carry out planning to ensure efficient flow of finished product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>Operate machine to produce castings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Apply appropriate knowledge of die casting process to the operation, adjustment and monitoring of machine functions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Operate a die casting machine to SOPs, including maintenance of liquid metal and die operating conditions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Break runners off in an appropriate manner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 xml:space="preserve">Inspect castings visually for defects 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Handle castings in a manner that minimises risk of damage to the casting and injury to personnel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Produce first-off castings, inspect visually and submit for checking against job requirements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>Monitor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 xml:space="preserve">Maintain furnace at optimum operating condition </w:t>
            </w:r>
          </w:p>
        </w:tc>
      </w:tr>
      <w:tr w:rsidTr="00C34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BodyText"/>
            </w:pPr>
            <w:r w:rsidRPr="00C34EBA">
              <w:t>Shut down furnace following SOPs</w:t>
            </w:r>
          </w:p>
        </w:tc>
      </w:tr>
    </w:tbl>
    <w:p w:rsidR="00A75FBF" w:rsidP="00C34EBA">
      <w:pPr>
        <w:pStyle w:val="BodyText"/>
      </w:pPr>
    </w:p>
    <w:p w:rsidR="00A75FBF" w:rsidP="00C34EBA">
      <w:pPr>
        <w:pStyle w:val="BodyText"/>
      </w:pPr>
    </w:p>
    <w:p w:rsidR="00000000" w:rsidRPr="00C34EBA" w:rsidP="00C34EBA">
      <w:pPr>
        <w:pStyle w:val="Heading1"/>
      </w:pPr>
      <w:bookmarkStart w:id="6" w:name="O_942931"/>
      <w:bookmarkEnd w:id="6"/>
      <w:r w:rsidRPr="00C34EBA">
        <w:t>Foundation Skills</w:t>
      </w:r>
    </w:p>
    <w:p w:rsidR="00000000" w:rsidRPr="00C34EBA" w:rsidP="00A75FBF">
      <w:pPr>
        <w:pStyle w:val="BodyText"/>
      </w:pPr>
      <w:r w:rsidRPr="00C34EB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34EBA" w:rsidP="00A75FBF">
      <w:pPr>
        <w:pStyle w:val="BodyText"/>
      </w:pPr>
      <w:r w:rsidRPr="00C34EBA">
        <w:t xml:space="preserve">Foundation skills essential to performance are explicit in the performance criteria </w:t>
      </w:r>
      <w:r w:rsidRPr="00C34EBA">
        <w:t>of this unit of competency.</w:t>
      </w:r>
    </w:p>
    <w:p w:rsidR="00000000" w:rsidRPr="00C34EBA" w:rsidP="00C34EBA">
      <w:pPr>
        <w:pStyle w:val="Heading1"/>
      </w:pPr>
      <w:bookmarkStart w:id="7" w:name="O_942930"/>
      <w:bookmarkEnd w:id="7"/>
      <w:r w:rsidRPr="00C34EBA">
        <w:t>Range of Conditions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83"/>
        <w:gridCol w:w="5972"/>
      </w:tblGrid>
      <w:tr w:rsidTr="00C34EB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t>This field allows for different work environments and conditions that may affect performance. Essential operating conditions that may be present (depending on the work situation, needs of the</w:t>
            </w:r>
            <w:r w:rsidRPr="00C34EBA">
              <w:t xml:space="preserve"> candidate, accessibility of the item, and local industry and regional contexts) are included.</w:t>
            </w:r>
          </w:p>
        </w:tc>
      </w:tr>
      <w:tr w:rsidTr="00C34EB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 xml:space="preserve">Plan for efficient flow of finished product includes one (1) or more of the following: 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ListBullet"/>
            </w:pPr>
            <w:r w:rsidRPr="00C34EBA">
              <w:t>breaking off runners</w:t>
            </w:r>
          </w:p>
          <w:p w:rsidR="00000000" w:rsidRPr="00C34EBA" w:rsidP="00C34EBA">
            <w:pPr>
              <w:pStyle w:val="ListBullet"/>
            </w:pPr>
            <w:r w:rsidRPr="00C34EBA">
              <w:t>stacking baskets</w:t>
            </w:r>
          </w:p>
          <w:p w:rsidR="00000000" w:rsidRPr="00C34EBA" w:rsidP="00C34EBA">
            <w:pPr>
              <w:pStyle w:val="ListBullet"/>
            </w:pPr>
            <w:r w:rsidRPr="00C34EBA">
              <w:t>bins</w:t>
            </w:r>
          </w:p>
          <w:p w:rsidR="00000000" w:rsidRPr="00C34EBA" w:rsidP="00C34EBA">
            <w:pPr>
              <w:pStyle w:val="ListBullet"/>
            </w:pPr>
            <w:r w:rsidRPr="00C34EBA">
              <w:t>conveyors</w:t>
            </w:r>
          </w:p>
          <w:p w:rsidR="00000000" w:rsidP="00C34EBA">
            <w:pPr>
              <w:pStyle w:val="BodyText"/>
              <w:rPr>
                <w:lang w:val="en-NZ"/>
              </w:rPr>
            </w:pPr>
          </w:p>
        </w:tc>
      </w:tr>
      <w:tr w:rsidTr="00C34EB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BA">
            <w:pPr>
              <w:pStyle w:val="BodyText"/>
              <w:rPr>
                <w:lang w:val="en-NZ"/>
              </w:rPr>
            </w:pPr>
            <w:r w:rsidRPr="00C34EBA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BA" w:rsidP="00C34EBA">
            <w:pPr>
              <w:pStyle w:val="ListBullet"/>
            </w:pPr>
            <w:r w:rsidRPr="00C34EBA">
              <w:t>porosity</w:t>
            </w:r>
          </w:p>
          <w:p w:rsidR="00000000" w:rsidRPr="00C34EBA" w:rsidP="00C34EBA">
            <w:pPr>
              <w:pStyle w:val="ListBullet"/>
            </w:pPr>
            <w:r w:rsidRPr="00C34EBA">
              <w:t>cracks</w:t>
            </w:r>
          </w:p>
          <w:p w:rsidR="00000000" w:rsidRPr="00C34EBA" w:rsidP="00C34EBA">
            <w:pPr>
              <w:pStyle w:val="ListBullet"/>
            </w:pPr>
            <w:r w:rsidRPr="00C34EBA">
              <w:t>tears</w:t>
            </w:r>
          </w:p>
          <w:p w:rsidR="00000000" w:rsidRPr="00C34EBA" w:rsidP="00C34EBA">
            <w:pPr>
              <w:pStyle w:val="ListBullet"/>
            </w:pPr>
            <w:r w:rsidRPr="00C34EBA">
              <w:t>splits</w:t>
            </w:r>
          </w:p>
          <w:p w:rsidR="00000000" w:rsidRPr="00C34EBA" w:rsidP="00C34EBA">
            <w:pPr>
              <w:pStyle w:val="ListBullet"/>
            </w:pPr>
            <w:r w:rsidRPr="00C34EBA">
              <w:t>sinks</w:t>
            </w:r>
          </w:p>
          <w:p w:rsidR="00000000" w:rsidRPr="00C34EBA" w:rsidP="00C34EBA">
            <w:pPr>
              <w:pStyle w:val="ListBullet"/>
            </w:pPr>
            <w:r w:rsidRPr="00C34EBA">
              <w:t>cold shuts</w:t>
            </w:r>
          </w:p>
          <w:p w:rsidR="00000000" w:rsidRPr="00C34EBA" w:rsidP="00C34EBA">
            <w:pPr>
              <w:pStyle w:val="ListBullet"/>
            </w:pPr>
            <w:r w:rsidRPr="00C34EBA">
              <w:t>tinning and die surface crazing</w:t>
            </w:r>
          </w:p>
          <w:p w:rsidR="00000000" w:rsidRPr="00C34EBA" w:rsidP="00C34EBA">
            <w:pPr>
              <w:pStyle w:val="BodyText"/>
            </w:pPr>
          </w:p>
        </w:tc>
      </w:tr>
    </w:tbl>
    <w:p w:rsidR="00000000" w:rsidRPr="00C34EBA" w:rsidP="00C34EBA">
      <w:pPr>
        <w:pStyle w:val="BodyText"/>
      </w:pPr>
    </w:p>
    <w:p w:rsidR="00000000" w:rsidRPr="00C34EBA" w:rsidP="00C34EBA">
      <w:pPr>
        <w:pStyle w:val="AllowPageBreak"/>
      </w:pPr>
    </w:p>
    <w:p w:rsidR="00000000" w:rsidRPr="00C34EBA" w:rsidP="00C34EBA">
      <w:pPr>
        <w:pStyle w:val="Heading1"/>
      </w:pPr>
      <w:bookmarkStart w:id="8" w:name="O_942929"/>
      <w:bookmarkEnd w:id="8"/>
      <w:r w:rsidRPr="00C34EBA">
        <w:t>Unit Mapping Information</w:t>
      </w:r>
    </w:p>
    <w:p w:rsidR="00000000" w:rsidRPr="00C34EBA" w:rsidP="00A75FBF">
      <w:pPr>
        <w:pStyle w:val="BodyText"/>
      </w:pPr>
      <w:r w:rsidRPr="00C34EBA">
        <w:t>Re</w:t>
      </w:r>
      <w:r w:rsidRPr="00C34EBA">
        <w:t xml:space="preserve">lease 1. Supersedes and is equivalent to MEM04003B Operate pressure die casting machine </w:t>
      </w:r>
    </w:p>
    <w:p w:rsidR="00000000" w:rsidRPr="00C34EBA" w:rsidP="00C34EBA">
      <w:pPr>
        <w:pStyle w:val="Heading1"/>
      </w:pPr>
      <w:bookmarkStart w:id="9" w:name="O_942922"/>
      <w:bookmarkEnd w:id="9"/>
      <w:r w:rsidRPr="00C34EBA">
        <w:t>Links</w:t>
      </w:r>
    </w:p>
    <w:p w:rsidR="00000000" w:rsidRPr="00C34EBA" w:rsidP="00A75FBF">
      <w:pPr>
        <w:pStyle w:val="BodyText"/>
      </w:pPr>
      <w:r w:rsidRPr="00C34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41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34EBA" w:rsidP="00C34EBA"/>
    <w:sectPr w:rsidSect="00C34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BA" w:rsidRPr="00A75FBF" w:rsidP="00A75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BF" w:rsidP="00C34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FBF" w:rsidP="00C34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5FBF" w:rsidP="00C34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EBA" w:rsidRPr="00A75FBF" w:rsidP="00A75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BF" w:rsidRPr="002D2AF8" w:rsidP="00C34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MEM04003 Operate pressure die casting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5FBF" w:rsidP="00C34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788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A0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EBA"/>
  </w:style>
  <w:style w:type="character" w:customStyle="1" w:styleId="Heading1Char">
    <w:name w:val="Heading 1 Char"/>
    <w:basedOn w:val="DefaultParagraphFont"/>
    <w:link w:val="Heading1"/>
    <w:rsid w:val="00C34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E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EBA"/>
    <w:rPr>
      <w:b/>
      <w:spacing w:val="0"/>
    </w:rPr>
  </w:style>
  <w:style w:type="paragraph" w:customStyle="1" w:styleId="SuperHeading">
    <w:name w:val="SuperHeading"/>
    <w:basedOn w:val="Normal"/>
    <w:rsid w:val="00C34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EBA"/>
    <w:rPr>
      <w:i/>
    </w:rPr>
  </w:style>
  <w:style w:type="paragraph" w:styleId="Caption">
    <w:name w:val="caption"/>
    <w:basedOn w:val="BodyText"/>
    <w:next w:val="Normal"/>
    <w:qFormat/>
    <w:rsid w:val="00C34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EBA"/>
  </w:style>
  <w:style w:type="paragraph" w:styleId="TableofFigures">
    <w:name w:val="table of figures"/>
    <w:basedOn w:val="Normal"/>
    <w:next w:val="Normal"/>
    <w:semiHidden/>
    <w:rsid w:val="00C34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E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EBA"/>
    <w:rPr>
      <w:rFonts w:ascii="Wingdings" w:hAnsi="Wingdings"/>
    </w:rPr>
  </w:style>
  <w:style w:type="paragraph" w:customStyle="1" w:styleId="TableHeading">
    <w:name w:val="Table Heading"/>
    <w:basedOn w:val="HeadingBase"/>
    <w:rsid w:val="00C34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EBA"/>
    <w:rPr>
      <w:color w:val="0033CC"/>
      <w:u w:val="none"/>
    </w:rPr>
  </w:style>
  <w:style w:type="paragraph" w:customStyle="1" w:styleId="BodyTextRight">
    <w:name w:val="Body Text Right"/>
    <w:basedOn w:val="BodyText"/>
    <w:rsid w:val="00C34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E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EBA"/>
    <w:rPr>
      <w:sz w:val="32"/>
    </w:rPr>
  </w:style>
  <w:style w:type="paragraph" w:customStyle="1" w:styleId="HeadingProcedure">
    <w:name w:val="Heading Procedure"/>
    <w:basedOn w:val="HeadingBase"/>
    <w:next w:val="Normal"/>
    <w:rsid w:val="00C34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EBA"/>
    <w:pPr>
      <w:spacing w:before="60" w:after="60"/>
    </w:pPr>
  </w:style>
  <w:style w:type="paragraph" w:styleId="ListContinue">
    <w:name w:val="List Continue"/>
    <w:basedOn w:val="List"/>
    <w:rsid w:val="00C34EBA"/>
    <w:pPr>
      <w:ind w:firstLine="0"/>
    </w:pPr>
  </w:style>
  <w:style w:type="paragraph" w:customStyle="1" w:styleId="ListNote">
    <w:name w:val="List Note"/>
    <w:basedOn w:val="List"/>
    <w:rsid w:val="00C34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EBA"/>
    <w:rPr>
      <w:rFonts w:ascii="Courier New" w:hAnsi="Courier New"/>
    </w:rPr>
  </w:style>
  <w:style w:type="paragraph" w:customStyle="1" w:styleId="NoteBullet">
    <w:name w:val="Note Bullet"/>
    <w:basedOn w:val="Note"/>
    <w:rsid w:val="00C34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EBA"/>
    <w:rPr>
      <w:b/>
      <w:smallCaps/>
    </w:rPr>
  </w:style>
  <w:style w:type="paragraph" w:customStyle="1" w:styleId="TableListNumber">
    <w:name w:val="Table List Number"/>
    <w:basedOn w:val="ListNumber"/>
    <w:rsid w:val="00C34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EBA"/>
    <w:pPr>
      <w:numPr>
        <w:numId w:val="8"/>
      </w:numPr>
    </w:pPr>
  </w:style>
  <w:style w:type="paragraph" w:customStyle="1" w:styleId="ListAlpha2">
    <w:name w:val="List Alpha 2"/>
    <w:basedOn w:val="List2"/>
    <w:rsid w:val="00C34EBA"/>
    <w:pPr>
      <w:numPr>
        <w:numId w:val="7"/>
      </w:numPr>
    </w:pPr>
  </w:style>
  <w:style w:type="paragraph" w:styleId="List2">
    <w:name w:val="List 2"/>
    <w:basedOn w:val="BodyText"/>
    <w:rsid w:val="00C34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E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EBA"/>
    <w:pPr>
      <w:numPr>
        <w:numId w:val="3"/>
      </w:numPr>
    </w:pPr>
  </w:style>
  <w:style w:type="paragraph" w:styleId="ListContinue2">
    <w:name w:val="List Continue 2"/>
    <w:basedOn w:val="List2"/>
    <w:rsid w:val="00C34EBA"/>
    <w:pPr>
      <w:ind w:firstLine="0"/>
    </w:pPr>
  </w:style>
  <w:style w:type="paragraph" w:styleId="ListContinue3">
    <w:name w:val="List Continue 3"/>
    <w:basedOn w:val="List3"/>
    <w:rsid w:val="00C34EBA"/>
    <w:pPr>
      <w:ind w:left="1021" w:firstLine="0"/>
    </w:pPr>
  </w:style>
  <w:style w:type="paragraph" w:styleId="ListContinue4">
    <w:name w:val="List Continue 4"/>
    <w:basedOn w:val="List4"/>
    <w:rsid w:val="00C34EBA"/>
    <w:pPr>
      <w:ind w:firstLine="0"/>
    </w:pPr>
  </w:style>
  <w:style w:type="paragraph" w:styleId="ListContinue5">
    <w:name w:val="List Continue 5"/>
    <w:basedOn w:val="List5"/>
    <w:rsid w:val="00C34EBA"/>
    <w:pPr>
      <w:ind w:firstLine="0"/>
    </w:pPr>
  </w:style>
  <w:style w:type="paragraph" w:styleId="ListNumber3">
    <w:name w:val="List Number 3"/>
    <w:basedOn w:val="List3"/>
    <w:rsid w:val="00C34EBA"/>
    <w:pPr>
      <w:numPr>
        <w:numId w:val="4"/>
      </w:numPr>
    </w:pPr>
  </w:style>
  <w:style w:type="paragraph" w:styleId="ListNumber4">
    <w:name w:val="List Number 4"/>
    <w:basedOn w:val="List4"/>
    <w:rsid w:val="00C34EBA"/>
    <w:pPr>
      <w:numPr>
        <w:numId w:val="5"/>
      </w:numPr>
    </w:pPr>
  </w:style>
  <w:style w:type="paragraph" w:styleId="ListNumber5">
    <w:name w:val="List Number 5"/>
    <w:basedOn w:val="List5"/>
    <w:rsid w:val="00C34EBA"/>
    <w:pPr>
      <w:numPr>
        <w:numId w:val="6"/>
      </w:numPr>
    </w:pPr>
  </w:style>
  <w:style w:type="paragraph" w:styleId="BlockText">
    <w:name w:val="Block Text"/>
    <w:basedOn w:val="Normal"/>
    <w:rsid w:val="00C34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EBA"/>
    <w:rPr>
      <w:sz w:val="16"/>
      <w:vertAlign w:val="superscript"/>
    </w:rPr>
  </w:style>
  <w:style w:type="character" w:customStyle="1" w:styleId="Symbols">
    <w:name w:val="Symbols"/>
    <w:basedOn w:val="DefaultParagraphFont"/>
    <w:rsid w:val="00C34EBA"/>
    <w:rPr>
      <w:rFonts w:ascii="Symbol" w:hAnsi="Symbol"/>
    </w:rPr>
  </w:style>
  <w:style w:type="character" w:customStyle="1" w:styleId="MenuOptions">
    <w:name w:val="Menu Options"/>
    <w:basedOn w:val="DefaultParagraphFont"/>
    <w:rsid w:val="00C34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EBA"/>
    <w:rPr>
      <w:b/>
    </w:rPr>
  </w:style>
  <w:style w:type="character" w:customStyle="1" w:styleId="Underlined">
    <w:name w:val="Underlined"/>
    <w:basedOn w:val="DefaultParagraphFont"/>
    <w:rsid w:val="00C34EBA"/>
    <w:rPr>
      <w:u w:val="single"/>
    </w:rPr>
  </w:style>
  <w:style w:type="paragraph" w:customStyle="1" w:styleId="TableBodyTextRight">
    <w:name w:val="Table Body Text Right"/>
    <w:basedOn w:val="TableBodyText"/>
    <w:rsid w:val="00C34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EBA"/>
    <w:rPr>
      <w:sz w:val="18"/>
    </w:rPr>
  </w:style>
  <w:style w:type="paragraph" w:customStyle="1" w:styleId="BodySmallRight">
    <w:name w:val="Body Small Right"/>
    <w:basedOn w:val="BodyTextRight"/>
    <w:rsid w:val="00C34EBA"/>
    <w:rPr>
      <w:sz w:val="18"/>
      <w:szCs w:val="18"/>
    </w:rPr>
  </w:style>
  <w:style w:type="paragraph" w:customStyle="1" w:styleId="MarginEdition">
    <w:name w:val="Margin Edition"/>
    <w:basedOn w:val="MarginNote"/>
    <w:rsid w:val="00C34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EBA"/>
    <w:rPr>
      <w:sz w:val="2"/>
      <w:szCs w:val="2"/>
    </w:rPr>
  </w:style>
  <w:style w:type="character" w:customStyle="1" w:styleId="Small">
    <w:name w:val="Small"/>
    <w:basedOn w:val="DefaultParagraphFont"/>
    <w:rsid w:val="00C34EBA"/>
    <w:rPr>
      <w:sz w:val="16"/>
    </w:rPr>
  </w:style>
  <w:style w:type="paragraph" w:customStyle="1" w:styleId="WideTable">
    <w:name w:val="Wide Table"/>
    <w:basedOn w:val="Normal"/>
    <w:rsid w:val="00C34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EBA"/>
  </w:style>
  <w:style w:type="paragraph" w:styleId="Quote">
    <w:name w:val="Quote"/>
    <w:basedOn w:val="Heading1"/>
    <w:link w:val="QuoteChar"/>
    <w:qFormat/>
    <w:rsid w:val="00C34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EBA"/>
    <w:pPr>
      <w:pageBreakBefore/>
    </w:pPr>
  </w:style>
  <w:style w:type="paragraph" w:customStyle="1" w:styleId="Border">
    <w:name w:val="Border"/>
    <w:basedOn w:val="Normal"/>
    <w:qFormat/>
    <w:rsid w:val="00C34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EBA"/>
    <w:rPr>
      <w:u w:val="single"/>
    </w:rPr>
  </w:style>
  <w:style w:type="character" w:customStyle="1" w:styleId="BoldandItalics">
    <w:name w:val="Bold and Italics"/>
    <w:qFormat/>
    <w:rsid w:val="00C34EBA"/>
    <w:rPr>
      <w:b/>
      <w:i/>
      <w:u w:val="none"/>
    </w:rPr>
  </w:style>
  <w:style w:type="paragraph" w:styleId="BalloonText">
    <w:name w:val="Balloon Text"/>
    <w:basedOn w:val="Normal"/>
    <w:link w:val="BalloonTextChar"/>
    <w:rsid w:val="00C34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EBA"/>
    <w:pPr>
      <w:spacing w:before="0" w:after="0"/>
    </w:pPr>
  </w:style>
  <w:style w:type="paragraph" w:customStyle="1" w:styleId="BodyTextBold">
    <w:name w:val="Body Text Bold"/>
    <w:basedOn w:val="BodyText"/>
    <w:qFormat/>
    <w:rsid w:val="00C34EBA"/>
    <w:rPr>
      <w:b/>
    </w:rPr>
  </w:style>
  <w:style w:type="character" w:styleId="Hyperlink">
    <w:name w:val="Hyperlink"/>
    <w:basedOn w:val="DefaultParagraphFont"/>
    <w:uiPriority w:val="99"/>
    <w:unhideWhenUsed/>
    <w:rsid w:val="00A75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3496</Characters>
  <Application>Microsoft Office Word</Application>
  <DocSecurity>0</DocSecurity>
  <Lines>194</Lines>
  <Paragraphs>113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MEM04003 Operate pressure die casting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