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FCD" w:rsidP="00351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MEM04002 Perform gravity die casting</w:t>
      </w:r>
      <w:r>
        <w:fldChar w:fldCharType="end"/>
      </w:r>
    </w:p>
    <w:p w:rsidR="00351FCD" w:rsidP="00351FCD">
      <w:pPr>
        <w:pStyle w:val="Version"/>
        <w:sectPr w:rsidSect="00541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CF9" w:rsidP="00541CF9">
      <w:pPr>
        <w:pStyle w:val="SuperHeading"/>
      </w:pPr>
      <w:r w:rsidRPr="00541CF9">
        <w:t>MEM04002 Perform gravity die casting</w:t>
      </w:r>
    </w:p>
    <w:p w:rsidR="00000000" w:rsidRPr="00541CF9" w:rsidP="00541CF9">
      <w:pPr>
        <w:pStyle w:val="Heading1"/>
      </w:pPr>
      <w:bookmarkStart w:id="1" w:name="O_942909"/>
      <w:bookmarkEnd w:id="1"/>
      <w:r w:rsidRPr="00541CF9">
        <w:t>Modification History</w:t>
      </w:r>
    </w:p>
    <w:p w:rsidR="00000000" w:rsidRPr="00541CF9" w:rsidP="00351FCD">
      <w:pPr>
        <w:pStyle w:val="BodyText"/>
      </w:pPr>
      <w:r w:rsidRPr="00541CF9">
        <w:t xml:space="preserve">Release 1. Supersedes and is equivalent to MEM04002B Perform gravity die casting </w:t>
      </w:r>
    </w:p>
    <w:p w:rsidR="00000000" w:rsidRPr="00541CF9" w:rsidP="00541CF9">
      <w:pPr>
        <w:pStyle w:val="Heading1"/>
      </w:pPr>
      <w:bookmarkStart w:id="2" w:name="O_942917"/>
      <w:bookmarkEnd w:id="2"/>
      <w:r w:rsidRPr="00541CF9">
        <w:t>Application</w:t>
      </w:r>
    </w:p>
    <w:p w:rsidR="00000000" w:rsidRPr="00541CF9" w:rsidP="00351FCD">
      <w:pPr>
        <w:pStyle w:val="BodyText"/>
      </w:pPr>
      <w:r w:rsidRPr="00541CF9">
        <w:t>This unit of competency defines the skills and knowledge required to perform gravity die casting into permanent dies.</w:t>
      </w:r>
    </w:p>
    <w:p w:rsidR="00000000" w:rsidRPr="00541CF9" w:rsidP="00351FCD">
      <w:pPr>
        <w:pStyle w:val="BodyText"/>
      </w:pPr>
      <w:r w:rsidRPr="00541CF9">
        <w:t>Where</w:t>
      </w:r>
      <w:r w:rsidRPr="00541CF9">
        <w:t xml:space="preserve"> the interpretation of technical drawings is required unit MEM09002 Interpret technical drawing should also be selected.</w:t>
      </w:r>
    </w:p>
    <w:p w:rsidR="00000000" w:rsidRPr="00541CF9" w:rsidP="00351FCD">
      <w:pPr>
        <w:pStyle w:val="BodyText"/>
      </w:pPr>
      <w:r w:rsidRPr="00541CF9">
        <w:t xml:space="preserve">Where the selection and use of engineering measuring equipment is required unit MEM12023 Perform engineering measurements should also </w:t>
      </w:r>
      <w:r w:rsidRPr="00541CF9">
        <w:t>be selected.</w:t>
      </w:r>
    </w:p>
    <w:p w:rsidR="00000000" w:rsidRPr="00541CF9" w:rsidP="00351FCD">
      <w:pPr>
        <w:pStyle w:val="BodyText"/>
      </w:pPr>
      <w:r w:rsidRPr="00541CF9">
        <w:t>Where the selection and use of tools is required unit MEM18001 Use hand tools and unit MEM18002 Use power tools/hand held operations, should also be selected as appropriate.</w:t>
      </w:r>
    </w:p>
    <w:p w:rsidR="00000000" w:rsidRPr="00541CF9" w:rsidP="00351FCD">
      <w:pPr>
        <w:pStyle w:val="BodyText"/>
      </w:pPr>
      <w:r w:rsidRPr="00541CF9">
        <w:t>No licensing, legislative or certification requirements apply to th</w:t>
      </w:r>
      <w:r w:rsidRPr="00541CF9">
        <w:t>is unit at the time of publication.</w:t>
      </w:r>
    </w:p>
    <w:p w:rsidR="00000000" w:rsidRPr="00541CF9" w:rsidP="00541CF9">
      <w:pPr>
        <w:pStyle w:val="BodyText"/>
      </w:pPr>
      <w:r w:rsidRPr="00541CF9">
        <w:rPr>
          <w:rStyle w:val="SpecialBold"/>
        </w:rPr>
        <w:t>Band:</w:t>
      </w:r>
      <w:r w:rsidRPr="00541CF9">
        <w:rPr>
          <w:rStyle w:val="SpecialBold"/>
        </w:rPr>
        <w:tab/>
        <w:t>A</w:t>
      </w:r>
    </w:p>
    <w:p w:rsidR="00000000" w:rsidRPr="00541CF9" w:rsidP="00541CF9">
      <w:pPr>
        <w:pStyle w:val="BodyText"/>
      </w:pPr>
      <w:r w:rsidRPr="00541CF9">
        <w:rPr>
          <w:rStyle w:val="SpecialBold"/>
        </w:rPr>
        <w:t>Unit Weight:</w:t>
      </w:r>
      <w:r w:rsidRPr="00541CF9">
        <w:rPr>
          <w:rStyle w:val="SpecialBold"/>
        </w:rPr>
        <w:tab/>
        <w:t>2</w:t>
      </w:r>
    </w:p>
    <w:p w:rsidR="00000000" w:rsidRPr="00541CF9" w:rsidP="00541CF9">
      <w:pPr>
        <w:pStyle w:val="AllowPageBreak"/>
      </w:pPr>
    </w:p>
    <w:p w:rsidR="00000000" w:rsidRPr="00541CF9" w:rsidP="00541CF9">
      <w:pPr>
        <w:pStyle w:val="Heading1"/>
      </w:pPr>
      <w:bookmarkStart w:id="3" w:name="O_942916"/>
      <w:bookmarkEnd w:id="3"/>
      <w:r w:rsidRPr="00541CF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5"/>
        <w:gridCol w:w="6446"/>
      </w:tblGrid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MEM11011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Undertake manual handling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MEM13004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Work safely with molten metals/glass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MEM13015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Work safely and effectively in manufacturing and engineering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MEM16006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F9" w:rsidP="00541CF9">
            <w:pPr>
              <w:pStyle w:val="BodyText"/>
            </w:pPr>
            <w:r w:rsidRPr="00541CF9">
              <w:t>Organise and communicate information</w:t>
            </w:r>
          </w:p>
        </w:tc>
      </w:tr>
    </w:tbl>
    <w:p w:rsidR="00000000" w:rsidRPr="00541CF9" w:rsidP="00541CF9">
      <w:pPr>
        <w:pStyle w:val="BodyText"/>
      </w:pPr>
    </w:p>
    <w:p w:rsidR="00000000" w:rsidRPr="00541CF9" w:rsidP="00541CF9">
      <w:pPr>
        <w:pStyle w:val="AllowPageBreak"/>
      </w:pPr>
    </w:p>
    <w:p w:rsidR="00000000" w:rsidRPr="00541CF9" w:rsidP="00541CF9">
      <w:pPr>
        <w:pStyle w:val="Heading1"/>
      </w:pPr>
      <w:bookmarkStart w:id="4" w:name="O_942915"/>
      <w:bookmarkEnd w:id="4"/>
      <w:r w:rsidRPr="00541CF9">
        <w:t>Competency Field</w:t>
      </w:r>
    </w:p>
    <w:p w:rsidR="00000000" w:rsidRPr="00541CF9" w:rsidP="00351FCD">
      <w:pPr>
        <w:pStyle w:val="BodyText"/>
      </w:pPr>
      <w:r w:rsidRPr="00541CF9">
        <w:t>Casting and moulding</w:t>
      </w:r>
    </w:p>
    <w:p w:rsidR="00000000" w:rsidRPr="00541CF9" w:rsidP="00541CF9">
      <w:pPr>
        <w:pStyle w:val="Heading1"/>
      </w:pPr>
      <w:bookmarkStart w:id="5" w:name="O_942913"/>
      <w:bookmarkEnd w:id="5"/>
      <w:r w:rsidRPr="00541C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Performance criteria describe the performance needed to dem</w:t>
            </w:r>
            <w:r w:rsidRPr="00541CF9">
              <w:t>onstrate achievement of the element.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F9" w:rsidP="00541CF9">
            <w:pPr>
              <w:pStyle w:val="BodyText"/>
            </w:pPr>
            <w:r w:rsidRPr="00541CF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Follow standard operating procedures (SOPs)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Comply with work health and safety (WHS) requirements at all times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Use appropriate personal protective equipment (PPE) and apparatus in accordance with SOPs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Identify job requirements from specifications, job sheets or work instructions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F9" w:rsidP="00541CF9">
            <w:pPr>
              <w:pStyle w:val="BodyText"/>
            </w:pPr>
            <w:r w:rsidRPr="00541CF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rPr>
                <w:rStyle w:val="SpecialBold"/>
              </w:rPr>
              <w:t>Prepare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Mix die coat in correct proportion in accordance with SOPs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Lift and maintain die temperatures at the appropriate level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 xml:space="preserve">Apply die coat in the correct sequence 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 xml:space="preserve">Locate and close die 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Place die on machine and attach and tighten toggle clamps to required torque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Attach air cooling to the die as specified if required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F9" w:rsidP="00541CF9">
            <w:pPr>
              <w:pStyle w:val="BodyText"/>
            </w:pPr>
            <w:r w:rsidRPr="00541CF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rPr>
                <w:rStyle w:val="SpecialBold"/>
              </w:rPr>
              <w:t>Carry out manual pouring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Undertake pour in a manner which reduces porosity and lamination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Identify conditions that contribute to inferior castings or rejects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Allow adequate cooling time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Pour at a continuous and appropriate rate during filling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Monitor condition of die coating condition and re-spray as required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F9" w:rsidP="00541CF9">
            <w:pPr>
              <w:pStyle w:val="BodyText"/>
            </w:pPr>
            <w:r w:rsidRPr="00541CF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rPr>
                <w:rStyle w:val="SpecialBold"/>
              </w:rPr>
              <w:t>Remove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 xml:space="preserve">Remove parts in a manner that minimises damage 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Remove any flash from the die surface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Store parts in a manner that minimises damage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F9" w:rsidP="00541CF9">
            <w:pPr>
              <w:pStyle w:val="BodyText"/>
            </w:pPr>
            <w:r w:rsidRPr="00541CF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rPr>
                <w:rStyle w:val="SpecialBold"/>
              </w:rPr>
              <w:t>Clean die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Operate shot blaster according to procedures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 xml:space="preserve">Take chemical analysis of melt and apply remedial action as required 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Dross and/or degas furnace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 xml:space="preserve">Clean work area of coating and shot residue </w:t>
            </w:r>
          </w:p>
        </w:tc>
      </w:tr>
      <w:tr w:rsidTr="00541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F9" w:rsidP="00541CF9">
            <w:pPr>
              <w:pStyle w:val="BodyText"/>
            </w:pPr>
            <w:r w:rsidRPr="00541CF9">
              <w:t xml:space="preserve">Complete reports/records in accordance with SOPs </w:t>
            </w:r>
          </w:p>
        </w:tc>
      </w:tr>
    </w:tbl>
    <w:p w:rsidR="00000000" w:rsidRPr="00541CF9" w:rsidP="00541CF9">
      <w:pPr>
        <w:pStyle w:val="BodyText"/>
      </w:pPr>
    </w:p>
    <w:p w:rsidR="00000000" w:rsidRPr="00541CF9" w:rsidP="00541CF9">
      <w:pPr>
        <w:pStyle w:val="AllowPageBreak"/>
      </w:pPr>
    </w:p>
    <w:p w:rsidR="00000000" w:rsidRPr="00541CF9" w:rsidP="00541CF9">
      <w:pPr>
        <w:pStyle w:val="Heading1"/>
      </w:pPr>
      <w:bookmarkStart w:id="6" w:name="O_942912"/>
      <w:bookmarkEnd w:id="6"/>
      <w:r w:rsidRPr="00541CF9">
        <w:t>Foundation Skills</w:t>
      </w:r>
    </w:p>
    <w:p w:rsidR="00000000" w:rsidRPr="00541CF9" w:rsidP="00351FCD">
      <w:pPr>
        <w:pStyle w:val="BodyText"/>
      </w:pPr>
      <w:r w:rsidRPr="00541CF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41CF9" w:rsidP="00351FCD">
      <w:pPr>
        <w:pStyle w:val="BodyText"/>
      </w:pPr>
      <w:r w:rsidRPr="00541CF9">
        <w:t xml:space="preserve">Foundation skills essential to performance are explicit in the performance criteria </w:t>
      </w:r>
      <w:r w:rsidRPr="00541CF9">
        <w:t>of this unit of competency.</w:t>
      </w:r>
    </w:p>
    <w:p w:rsidR="00000000" w:rsidRPr="00541CF9" w:rsidP="00541CF9">
      <w:pPr>
        <w:pStyle w:val="Heading1"/>
      </w:pPr>
      <w:bookmarkStart w:id="7" w:name="O_942911"/>
      <w:bookmarkEnd w:id="7"/>
      <w:r w:rsidRPr="00541CF9">
        <w:t>Range of Conditions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83"/>
        <w:gridCol w:w="5972"/>
      </w:tblGrid>
      <w:tr w:rsidTr="00541CF9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t>This field allows for different work environments and conditions that may affect performance. Essential operating conditions that may be present (depending on the work situation, needs of the</w:t>
            </w:r>
            <w:r w:rsidRPr="00541CF9">
              <w:t xml:space="preserve"> candidate, accessibility of the item, and local industry and regional contexts) are included.</w:t>
            </w:r>
          </w:p>
        </w:tc>
      </w:tr>
      <w:tr w:rsidTr="00541CF9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rPr>
                <w:rStyle w:val="SpecialBold"/>
              </w:rPr>
              <w:t>Metals include one (1) or more of the following:</w:t>
            </w:r>
          </w:p>
        </w:tc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F9" w:rsidP="00541CF9">
            <w:pPr>
              <w:pStyle w:val="ListBullet"/>
            </w:pPr>
            <w:r w:rsidRPr="00541CF9">
              <w:t>aluminium</w:t>
            </w:r>
          </w:p>
          <w:p w:rsidR="00000000" w:rsidRPr="00541CF9" w:rsidP="00541CF9">
            <w:pPr>
              <w:pStyle w:val="ListBullet"/>
            </w:pPr>
            <w:r w:rsidRPr="00541CF9">
              <w:t xml:space="preserve">aluminium alloys </w:t>
            </w:r>
          </w:p>
          <w:p w:rsidR="00000000" w:rsidRPr="00541CF9" w:rsidP="00541CF9">
            <w:pPr>
              <w:pStyle w:val="ListBullet"/>
            </w:pPr>
            <w:r w:rsidRPr="00541CF9">
              <w:t xml:space="preserve">non-ferrous  </w:t>
            </w:r>
          </w:p>
          <w:p w:rsidR="00000000" w:rsidRPr="00541CF9" w:rsidP="00541CF9">
            <w:pPr>
              <w:pStyle w:val="ListBullet"/>
            </w:pPr>
            <w:r w:rsidRPr="00541CF9">
              <w:t xml:space="preserve">ferrous </w:t>
            </w:r>
          </w:p>
          <w:p w:rsidR="00000000" w:rsidP="00541CF9">
            <w:pPr>
              <w:pStyle w:val="BodyText"/>
              <w:rPr>
                <w:lang w:val="en-NZ"/>
              </w:rPr>
            </w:pPr>
          </w:p>
        </w:tc>
      </w:tr>
      <w:tr w:rsidTr="00541CF9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CF9">
            <w:pPr>
              <w:pStyle w:val="BodyText"/>
              <w:rPr>
                <w:lang w:val="en-NZ"/>
              </w:rPr>
            </w:pPr>
            <w:r w:rsidRPr="00541CF9">
              <w:rPr>
                <w:rStyle w:val="SpecialBold"/>
              </w:rPr>
              <w:t>Appropriate safety clothing and apparatus includes one (1) or more of the following:</w:t>
            </w:r>
          </w:p>
        </w:tc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CF9" w:rsidP="00541CF9">
            <w:pPr>
              <w:pStyle w:val="ListBullet"/>
            </w:pPr>
            <w:r w:rsidRPr="00541CF9">
              <w:t>Aluminium Association safety status sheet recommendations</w:t>
            </w:r>
          </w:p>
          <w:p w:rsidR="00000000" w:rsidRPr="00541CF9" w:rsidP="00541CF9">
            <w:pPr>
              <w:pStyle w:val="ListBullet"/>
            </w:pPr>
            <w:r w:rsidRPr="00541CF9">
              <w:t>glasses</w:t>
            </w:r>
          </w:p>
          <w:p w:rsidR="00000000" w:rsidRPr="00541CF9" w:rsidP="00541CF9">
            <w:pPr>
              <w:pStyle w:val="ListBullet"/>
            </w:pPr>
            <w:r w:rsidRPr="00541CF9">
              <w:t>aluminised suits</w:t>
            </w:r>
          </w:p>
          <w:p w:rsidR="00000000" w:rsidRPr="00541CF9" w:rsidP="00541CF9">
            <w:pPr>
              <w:pStyle w:val="ListBullet"/>
            </w:pPr>
            <w:r w:rsidRPr="00541CF9">
              <w:t>masks</w:t>
            </w:r>
          </w:p>
          <w:p w:rsidR="00000000" w:rsidRPr="00541CF9" w:rsidP="00541CF9">
            <w:pPr>
              <w:pStyle w:val="ListBullet"/>
            </w:pPr>
            <w:r w:rsidRPr="00541CF9">
              <w:t>gloves</w:t>
            </w:r>
          </w:p>
          <w:p w:rsidR="00000000" w:rsidRPr="00541CF9" w:rsidP="00541CF9">
            <w:pPr>
              <w:pStyle w:val="ListBullet"/>
            </w:pPr>
            <w:r w:rsidRPr="00541CF9">
              <w:t>gauntlet</w:t>
            </w:r>
          </w:p>
          <w:p w:rsidR="00000000" w:rsidRPr="00541CF9" w:rsidP="00541CF9">
            <w:pPr>
              <w:pStyle w:val="BodyText"/>
            </w:pPr>
          </w:p>
        </w:tc>
      </w:tr>
    </w:tbl>
    <w:p w:rsidR="00351FCD" w:rsidP="00541CF9">
      <w:pPr>
        <w:pStyle w:val="BodyText"/>
      </w:pPr>
    </w:p>
    <w:p w:rsidR="00351FCD" w:rsidP="00541CF9">
      <w:pPr>
        <w:pStyle w:val="BodyText"/>
      </w:pPr>
    </w:p>
    <w:p w:rsidR="00000000" w:rsidRPr="00541CF9" w:rsidP="00541CF9">
      <w:pPr>
        <w:pStyle w:val="Heading1"/>
      </w:pPr>
      <w:bookmarkStart w:id="8" w:name="O_942910"/>
      <w:bookmarkEnd w:id="8"/>
      <w:r w:rsidRPr="00541CF9">
        <w:t>Unit Mapping Information</w:t>
      </w:r>
    </w:p>
    <w:p w:rsidR="00000000" w:rsidRPr="00541CF9" w:rsidP="00351FCD">
      <w:pPr>
        <w:pStyle w:val="BodyText"/>
      </w:pPr>
      <w:r w:rsidRPr="00541CF9">
        <w:t xml:space="preserve">Release 1. Supersedes and is equivalent to MEM04002B Perform gravity die casting </w:t>
      </w:r>
    </w:p>
    <w:p w:rsidR="00000000" w:rsidRPr="00541CF9" w:rsidP="00541CF9">
      <w:pPr>
        <w:pStyle w:val="Heading1"/>
      </w:pPr>
      <w:bookmarkStart w:id="9" w:name="O_942903"/>
      <w:bookmarkEnd w:id="9"/>
      <w:r w:rsidRPr="00541CF9">
        <w:t>Links</w:t>
      </w:r>
    </w:p>
    <w:p w:rsidR="00000000" w:rsidRPr="00541CF9" w:rsidP="00351FCD">
      <w:pPr>
        <w:pStyle w:val="BodyText"/>
      </w:pPr>
      <w:r w:rsidRPr="00541C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A75D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41CF9" w:rsidP="00541CF9"/>
    <w:sectPr w:rsidSect="00541C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F9" w:rsidRPr="00351FCD" w:rsidP="00351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CD" w:rsidP="00541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FCD" w:rsidP="00541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1FCD" w:rsidP="00541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CF9" w:rsidRPr="00351FCD" w:rsidP="00351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CD" w:rsidRPr="002D2AF8" w:rsidP="00541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MEM04002 Perform gravity die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51FCD" w:rsidP="00541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AC9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A07A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CF9"/>
  </w:style>
  <w:style w:type="character" w:customStyle="1" w:styleId="Heading1Char">
    <w:name w:val="Heading 1 Char"/>
    <w:basedOn w:val="DefaultParagraphFont"/>
    <w:link w:val="Heading1"/>
    <w:rsid w:val="00541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C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C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CF9"/>
    <w:rPr>
      <w:b/>
      <w:spacing w:val="0"/>
    </w:rPr>
  </w:style>
  <w:style w:type="paragraph" w:customStyle="1" w:styleId="SuperHeading">
    <w:name w:val="SuperHeading"/>
    <w:basedOn w:val="Normal"/>
    <w:rsid w:val="00541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C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C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CF9"/>
    <w:rPr>
      <w:i/>
    </w:rPr>
  </w:style>
  <w:style w:type="paragraph" w:styleId="Caption">
    <w:name w:val="caption"/>
    <w:basedOn w:val="BodyText"/>
    <w:next w:val="Normal"/>
    <w:qFormat/>
    <w:rsid w:val="00541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CF9"/>
  </w:style>
  <w:style w:type="paragraph" w:styleId="TableofFigures">
    <w:name w:val="table of figures"/>
    <w:basedOn w:val="Normal"/>
    <w:next w:val="Normal"/>
    <w:semiHidden/>
    <w:rsid w:val="00541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C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CF9"/>
    <w:rPr>
      <w:rFonts w:ascii="Wingdings" w:hAnsi="Wingdings"/>
    </w:rPr>
  </w:style>
  <w:style w:type="paragraph" w:customStyle="1" w:styleId="TableHeading">
    <w:name w:val="Table Heading"/>
    <w:basedOn w:val="HeadingBase"/>
    <w:rsid w:val="00541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CF9"/>
    <w:rPr>
      <w:color w:val="0033CC"/>
      <w:u w:val="none"/>
    </w:rPr>
  </w:style>
  <w:style w:type="paragraph" w:customStyle="1" w:styleId="BodyTextRight">
    <w:name w:val="Body Text Right"/>
    <w:basedOn w:val="BodyText"/>
    <w:rsid w:val="00541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C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CF9"/>
    <w:rPr>
      <w:sz w:val="32"/>
    </w:rPr>
  </w:style>
  <w:style w:type="paragraph" w:customStyle="1" w:styleId="HeadingProcedure">
    <w:name w:val="Heading Procedure"/>
    <w:basedOn w:val="HeadingBase"/>
    <w:next w:val="Normal"/>
    <w:rsid w:val="00541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CF9"/>
    <w:pPr>
      <w:spacing w:before="60" w:after="60"/>
    </w:pPr>
  </w:style>
  <w:style w:type="paragraph" w:styleId="ListContinue">
    <w:name w:val="List Continue"/>
    <w:basedOn w:val="List"/>
    <w:rsid w:val="00541CF9"/>
    <w:pPr>
      <w:ind w:firstLine="0"/>
    </w:pPr>
  </w:style>
  <w:style w:type="paragraph" w:customStyle="1" w:styleId="ListNote">
    <w:name w:val="List Note"/>
    <w:basedOn w:val="List"/>
    <w:rsid w:val="00541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CF9"/>
    <w:rPr>
      <w:rFonts w:ascii="Courier New" w:hAnsi="Courier New"/>
    </w:rPr>
  </w:style>
  <w:style w:type="paragraph" w:customStyle="1" w:styleId="NoteBullet">
    <w:name w:val="Note Bullet"/>
    <w:basedOn w:val="Note"/>
    <w:rsid w:val="00541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C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CF9"/>
    <w:rPr>
      <w:b/>
      <w:smallCaps/>
    </w:rPr>
  </w:style>
  <w:style w:type="paragraph" w:customStyle="1" w:styleId="TableListNumber">
    <w:name w:val="Table List Number"/>
    <w:basedOn w:val="ListNumber"/>
    <w:rsid w:val="00541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CF9"/>
    <w:pPr>
      <w:numPr>
        <w:numId w:val="8"/>
      </w:numPr>
    </w:pPr>
  </w:style>
  <w:style w:type="paragraph" w:customStyle="1" w:styleId="ListAlpha2">
    <w:name w:val="List Alpha 2"/>
    <w:basedOn w:val="List2"/>
    <w:rsid w:val="00541CF9"/>
    <w:pPr>
      <w:numPr>
        <w:numId w:val="7"/>
      </w:numPr>
    </w:pPr>
  </w:style>
  <w:style w:type="paragraph" w:styleId="List2">
    <w:name w:val="List 2"/>
    <w:basedOn w:val="BodyText"/>
    <w:rsid w:val="00541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C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C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CF9"/>
    <w:pPr>
      <w:numPr>
        <w:numId w:val="3"/>
      </w:numPr>
    </w:pPr>
  </w:style>
  <w:style w:type="paragraph" w:styleId="ListContinue2">
    <w:name w:val="List Continue 2"/>
    <w:basedOn w:val="List2"/>
    <w:rsid w:val="00541CF9"/>
    <w:pPr>
      <w:ind w:firstLine="0"/>
    </w:pPr>
  </w:style>
  <w:style w:type="paragraph" w:styleId="ListContinue3">
    <w:name w:val="List Continue 3"/>
    <w:basedOn w:val="List3"/>
    <w:rsid w:val="00541CF9"/>
    <w:pPr>
      <w:ind w:left="1021" w:firstLine="0"/>
    </w:pPr>
  </w:style>
  <w:style w:type="paragraph" w:styleId="ListContinue4">
    <w:name w:val="List Continue 4"/>
    <w:basedOn w:val="List4"/>
    <w:rsid w:val="00541CF9"/>
    <w:pPr>
      <w:ind w:firstLine="0"/>
    </w:pPr>
  </w:style>
  <w:style w:type="paragraph" w:styleId="ListContinue5">
    <w:name w:val="List Continue 5"/>
    <w:basedOn w:val="List5"/>
    <w:rsid w:val="00541CF9"/>
    <w:pPr>
      <w:ind w:firstLine="0"/>
    </w:pPr>
  </w:style>
  <w:style w:type="paragraph" w:styleId="ListNumber3">
    <w:name w:val="List Number 3"/>
    <w:basedOn w:val="List3"/>
    <w:rsid w:val="00541CF9"/>
    <w:pPr>
      <w:numPr>
        <w:numId w:val="4"/>
      </w:numPr>
    </w:pPr>
  </w:style>
  <w:style w:type="paragraph" w:styleId="ListNumber4">
    <w:name w:val="List Number 4"/>
    <w:basedOn w:val="List4"/>
    <w:rsid w:val="00541CF9"/>
    <w:pPr>
      <w:numPr>
        <w:numId w:val="5"/>
      </w:numPr>
    </w:pPr>
  </w:style>
  <w:style w:type="paragraph" w:styleId="ListNumber5">
    <w:name w:val="List Number 5"/>
    <w:basedOn w:val="List5"/>
    <w:rsid w:val="00541CF9"/>
    <w:pPr>
      <w:numPr>
        <w:numId w:val="6"/>
      </w:numPr>
    </w:pPr>
  </w:style>
  <w:style w:type="paragraph" w:styleId="BlockText">
    <w:name w:val="Block Text"/>
    <w:basedOn w:val="Normal"/>
    <w:rsid w:val="00541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CF9"/>
    <w:rPr>
      <w:sz w:val="16"/>
      <w:vertAlign w:val="superscript"/>
    </w:rPr>
  </w:style>
  <w:style w:type="character" w:customStyle="1" w:styleId="Symbols">
    <w:name w:val="Symbols"/>
    <w:basedOn w:val="DefaultParagraphFont"/>
    <w:rsid w:val="00541CF9"/>
    <w:rPr>
      <w:rFonts w:ascii="Symbol" w:hAnsi="Symbol"/>
    </w:rPr>
  </w:style>
  <w:style w:type="character" w:customStyle="1" w:styleId="MenuOptions">
    <w:name w:val="Menu Options"/>
    <w:basedOn w:val="DefaultParagraphFont"/>
    <w:rsid w:val="00541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CF9"/>
    <w:rPr>
      <w:b/>
    </w:rPr>
  </w:style>
  <w:style w:type="character" w:customStyle="1" w:styleId="Underlined">
    <w:name w:val="Underlined"/>
    <w:basedOn w:val="DefaultParagraphFont"/>
    <w:rsid w:val="00541CF9"/>
    <w:rPr>
      <w:u w:val="single"/>
    </w:rPr>
  </w:style>
  <w:style w:type="paragraph" w:customStyle="1" w:styleId="TableBodyTextRight">
    <w:name w:val="Table Body Text Right"/>
    <w:basedOn w:val="TableBodyText"/>
    <w:rsid w:val="00541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CF9"/>
    <w:rPr>
      <w:sz w:val="18"/>
    </w:rPr>
  </w:style>
  <w:style w:type="paragraph" w:customStyle="1" w:styleId="BodySmallRight">
    <w:name w:val="Body Small Right"/>
    <w:basedOn w:val="BodyTextRight"/>
    <w:rsid w:val="00541CF9"/>
    <w:rPr>
      <w:sz w:val="18"/>
      <w:szCs w:val="18"/>
    </w:rPr>
  </w:style>
  <w:style w:type="paragraph" w:customStyle="1" w:styleId="MarginEdition">
    <w:name w:val="Margin Edition"/>
    <w:basedOn w:val="MarginNote"/>
    <w:rsid w:val="00541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CF9"/>
    <w:rPr>
      <w:sz w:val="2"/>
      <w:szCs w:val="2"/>
    </w:rPr>
  </w:style>
  <w:style w:type="character" w:customStyle="1" w:styleId="Small">
    <w:name w:val="Small"/>
    <w:basedOn w:val="DefaultParagraphFont"/>
    <w:rsid w:val="00541CF9"/>
    <w:rPr>
      <w:sz w:val="16"/>
    </w:rPr>
  </w:style>
  <w:style w:type="paragraph" w:customStyle="1" w:styleId="WideTable">
    <w:name w:val="Wide Table"/>
    <w:basedOn w:val="Normal"/>
    <w:rsid w:val="00541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CF9"/>
  </w:style>
  <w:style w:type="paragraph" w:styleId="Quote">
    <w:name w:val="Quote"/>
    <w:basedOn w:val="Heading1"/>
    <w:link w:val="QuoteChar"/>
    <w:qFormat/>
    <w:rsid w:val="00541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CF9"/>
    <w:pPr>
      <w:pageBreakBefore/>
    </w:pPr>
  </w:style>
  <w:style w:type="paragraph" w:customStyle="1" w:styleId="Border">
    <w:name w:val="Border"/>
    <w:basedOn w:val="Normal"/>
    <w:qFormat/>
    <w:rsid w:val="00541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CF9"/>
    <w:rPr>
      <w:u w:val="single"/>
    </w:rPr>
  </w:style>
  <w:style w:type="character" w:customStyle="1" w:styleId="BoldandItalics">
    <w:name w:val="Bold and Italics"/>
    <w:qFormat/>
    <w:rsid w:val="00541CF9"/>
    <w:rPr>
      <w:b/>
      <w:i/>
      <w:u w:val="none"/>
    </w:rPr>
  </w:style>
  <w:style w:type="paragraph" w:styleId="BalloonText">
    <w:name w:val="Balloon Text"/>
    <w:basedOn w:val="Normal"/>
    <w:link w:val="BalloonTextChar"/>
    <w:rsid w:val="00541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CF9"/>
    <w:pPr>
      <w:spacing w:before="0" w:after="0"/>
    </w:pPr>
  </w:style>
  <w:style w:type="paragraph" w:customStyle="1" w:styleId="BodyTextBold">
    <w:name w:val="Body Text Bold"/>
    <w:basedOn w:val="BodyText"/>
    <w:qFormat/>
    <w:rsid w:val="00541CF9"/>
    <w:rPr>
      <w:b/>
    </w:rPr>
  </w:style>
  <w:style w:type="character" w:styleId="Hyperlink">
    <w:name w:val="Hyperlink"/>
    <w:basedOn w:val="DefaultParagraphFont"/>
    <w:uiPriority w:val="99"/>
    <w:unhideWhenUsed/>
    <w:rsid w:val="00351F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3574</Characters>
  <Application>Microsoft Office Word</Application>
  <DocSecurity>0</DocSecurity>
  <Lines>210</Lines>
  <Paragraphs>126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MEM04002 Perform gravity die casting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