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55D0" w:rsidP="00D855D0">
      <w:pPr>
        <w:pStyle w:val="Title"/>
      </w:pPr>
      <w:r>
        <w:fldChar w:fldCharType="begin"/>
      </w:r>
      <w:r>
        <w:instrText xml:space="preserve"> TITLE   \* MERGEFORMAT </w:instrText>
      </w:r>
      <w:r>
        <w:fldChar w:fldCharType="separate"/>
      </w:r>
      <w:r>
        <w:t>MEM04002 Perform gravity die casting</w:t>
      </w:r>
      <w:r>
        <w:fldChar w:fldCharType="end"/>
      </w:r>
    </w:p>
    <w:p w:rsidR="00D855D0" w:rsidP="00D855D0">
      <w:pPr>
        <w:pStyle w:val="Version"/>
        <w:sectPr w:rsidSect="00CC01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019C" w:rsidP="00CC019C">
      <w:pPr>
        <w:pStyle w:val="SuperHeading"/>
      </w:pPr>
      <w:r w:rsidRPr="00CC019C">
        <w:t>MEM04002 Perform gravity die casting</w:t>
      </w:r>
    </w:p>
    <w:p w:rsidR="00000000" w:rsidRPr="00CC019C" w:rsidP="00CC019C">
      <w:pPr>
        <w:pStyle w:val="Heading1"/>
      </w:pPr>
      <w:bookmarkStart w:id="1" w:name="O_942909"/>
      <w:bookmarkEnd w:id="1"/>
      <w:r w:rsidRPr="00CC019C">
        <w:t>Modification History</w:t>
      </w:r>
    </w:p>
    <w:p w:rsidR="00000000" w:rsidRPr="00CC019C" w:rsidP="00D855D0">
      <w:pPr>
        <w:pStyle w:val="BodyText"/>
      </w:pPr>
      <w:r w:rsidRPr="00CC019C">
        <w:t xml:space="preserve">Release 1. Supersedes and is equivalent to MEM04002B Perform gravity die casting </w:t>
      </w:r>
    </w:p>
    <w:p w:rsidR="00000000" w:rsidRPr="00CC019C" w:rsidP="00CC019C">
      <w:pPr>
        <w:pStyle w:val="Heading1"/>
      </w:pPr>
      <w:bookmarkStart w:id="2" w:name="O_942917"/>
      <w:bookmarkEnd w:id="2"/>
      <w:r w:rsidRPr="00CC019C">
        <w:t>Application</w:t>
      </w:r>
    </w:p>
    <w:p w:rsidR="00000000" w:rsidRPr="00CC019C" w:rsidP="00D855D0">
      <w:pPr>
        <w:pStyle w:val="BodyText"/>
      </w:pPr>
      <w:r w:rsidRPr="00CC019C">
        <w:t>This unit of competency defines the skills and knowledge required to perform gravity die casting into permanent dies.</w:t>
      </w:r>
    </w:p>
    <w:p w:rsidR="00000000" w:rsidRPr="00CC019C" w:rsidP="00D855D0">
      <w:pPr>
        <w:pStyle w:val="BodyText"/>
      </w:pPr>
      <w:r w:rsidRPr="00CC019C">
        <w:t>Where</w:t>
      </w:r>
      <w:r w:rsidRPr="00CC019C">
        <w:t xml:space="preserve"> the interpretation of technical drawings is required unit MEM09002 Interpret technical drawing should also be selected.</w:t>
      </w:r>
    </w:p>
    <w:p w:rsidR="00000000" w:rsidRPr="00CC019C" w:rsidP="00D855D0">
      <w:pPr>
        <w:pStyle w:val="BodyText"/>
      </w:pPr>
      <w:r w:rsidRPr="00CC019C">
        <w:t xml:space="preserve">Where the selection and use of engineering measuring equipment is required unit MEM12023 Perform engineering measurements should also </w:t>
      </w:r>
      <w:r w:rsidRPr="00CC019C">
        <w:t>be selected.</w:t>
      </w:r>
    </w:p>
    <w:p w:rsidR="00000000" w:rsidRPr="00CC019C" w:rsidP="00D855D0">
      <w:pPr>
        <w:pStyle w:val="BodyText"/>
      </w:pPr>
      <w:r w:rsidRPr="00CC019C">
        <w:t>Where the selection and use of tools is required unit MEM18001 Use hand tools and unit MEM18002 Use power tools/hand held operations, should also be selected as appropriate.</w:t>
      </w:r>
    </w:p>
    <w:p w:rsidR="00000000" w:rsidRPr="00CC019C" w:rsidP="00D855D0">
      <w:pPr>
        <w:pStyle w:val="BodyText"/>
      </w:pPr>
      <w:r w:rsidRPr="00CC019C">
        <w:t>No licensing, legislative or certification requirements apply to th</w:t>
      </w:r>
      <w:r w:rsidRPr="00CC019C">
        <w:t>is unit at the time of publication.</w:t>
      </w:r>
    </w:p>
    <w:p w:rsidR="00000000" w:rsidRPr="00CC019C" w:rsidP="00CC019C">
      <w:pPr>
        <w:pStyle w:val="BodyText"/>
      </w:pPr>
      <w:r w:rsidRPr="00CC019C">
        <w:rPr>
          <w:rStyle w:val="SpecialBold"/>
        </w:rPr>
        <w:t>Band:</w:t>
      </w:r>
      <w:r w:rsidRPr="00CC019C">
        <w:rPr>
          <w:rStyle w:val="SpecialBold"/>
        </w:rPr>
        <w:tab/>
        <w:t>A</w:t>
      </w:r>
    </w:p>
    <w:p w:rsidR="00000000" w:rsidRPr="00CC019C" w:rsidP="00CC019C">
      <w:pPr>
        <w:pStyle w:val="BodyText"/>
      </w:pPr>
      <w:r w:rsidRPr="00CC019C">
        <w:rPr>
          <w:rStyle w:val="SpecialBold"/>
        </w:rPr>
        <w:t>Unit Weight:</w:t>
      </w:r>
      <w:r w:rsidRPr="00CC019C">
        <w:rPr>
          <w:rStyle w:val="SpecialBold"/>
        </w:rPr>
        <w:tab/>
        <w:t>2</w:t>
      </w:r>
    </w:p>
    <w:p w:rsidR="00000000" w:rsidRPr="00CC019C" w:rsidP="00CC019C">
      <w:pPr>
        <w:pStyle w:val="AllowPageBreak"/>
      </w:pPr>
    </w:p>
    <w:p w:rsidR="00000000" w:rsidRPr="00CC019C" w:rsidP="00CC019C">
      <w:pPr>
        <w:pStyle w:val="Heading1"/>
      </w:pPr>
      <w:bookmarkStart w:id="3" w:name="O_942916"/>
      <w:bookmarkEnd w:id="3"/>
      <w:r w:rsidRPr="00CC019C">
        <w:t>Pre-requisite Unit</w:t>
      </w:r>
    </w:p>
    <w:tbl>
      <w:tblPr>
        <w:tblW w:w="0" w:type="auto"/>
        <w:tblLayout w:type="fixed"/>
        <w:tblCellMar>
          <w:left w:w="62" w:type="dxa"/>
          <w:right w:w="62" w:type="dxa"/>
        </w:tblCellMar>
        <w:tblLook w:val="0000"/>
      </w:tblPr>
      <w:tblGrid>
        <w:gridCol w:w="2235"/>
        <w:gridCol w:w="6446"/>
      </w:tblGrid>
      <w:tr w:rsidTr="00CC019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MEM11011</w:t>
            </w:r>
          </w:p>
        </w:tc>
        <w:tc>
          <w:tcPr>
            <w:tcW w:w="6446"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Undertake manual handling</w:t>
            </w:r>
          </w:p>
        </w:tc>
      </w:tr>
      <w:tr w:rsidTr="00CC019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MEM13004</w:t>
            </w:r>
          </w:p>
        </w:tc>
        <w:tc>
          <w:tcPr>
            <w:tcW w:w="6446"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Work safely with molten metals/glass</w:t>
            </w:r>
          </w:p>
        </w:tc>
      </w:tr>
      <w:tr w:rsidTr="00CC019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MEM13015</w:t>
            </w:r>
          </w:p>
        </w:tc>
        <w:tc>
          <w:tcPr>
            <w:tcW w:w="6446"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Work safely and effectively in manufacturing and engineering</w:t>
            </w:r>
          </w:p>
        </w:tc>
      </w:tr>
      <w:tr w:rsidTr="00CC019C">
        <w:tblPrEx>
          <w:tblW w:w="0" w:type="auto"/>
          <w:tblLayout w:type="fixed"/>
          <w:tblCellMar>
            <w:left w:w="62" w:type="dxa"/>
            <w:right w:w="62" w:type="dxa"/>
          </w:tblCellMar>
          <w:tblLook w:val="0000"/>
        </w:tblPrEx>
        <w:tc>
          <w:tcPr>
            <w:tcW w:w="2235"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MEM16006</w:t>
            </w:r>
          </w:p>
        </w:tc>
        <w:tc>
          <w:tcPr>
            <w:tcW w:w="6446" w:type="dxa"/>
            <w:tcBorders>
              <w:top w:val="nil"/>
              <w:left w:val="nil"/>
              <w:bottom w:val="nil"/>
              <w:right w:val="nil"/>
            </w:tcBorders>
            <w:tcMar>
              <w:top w:w="0" w:type="dxa"/>
              <w:left w:w="62" w:type="dxa"/>
              <w:bottom w:w="0" w:type="dxa"/>
              <w:right w:w="62" w:type="dxa"/>
            </w:tcMar>
          </w:tcPr>
          <w:p w:rsidR="00000000" w:rsidRPr="00CC019C" w:rsidP="00CC019C">
            <w:pPr>
              <w:pStyle w:val="BodyText"/>
            </w:pPr>
            <w:r w:rsidRPr="00CC019C">
              <w:t>Organise and communicate information</w:t>
            </w:r>
          </w:p>
        </w:tc>
      </w:tr>
    </w:tbl>
    <w:p w:rsidR="00000000" w:rsidRPr="00CC019C" w:rsidP="00CC019C">
      <w:pPr>
        <w:pStyle w:val="BodyText"/>
      </w:pPr>
    </w:p>
    <w:p w:rsidR="00000000" w:rsidRPr="00CC019C" w:rsidP="00CC019C">
      <w:pPr>
        <w:pStyle w:val="AllowPageBreak"/>
      </w:pPr>
    </w:p>
    <w:p w:rsidR="00000000" w:rsidRPr="00CC019C" w:rsidP="00CC019C">
      <w:pPr>
        <w:pStyle w:val="Heading1"/>
      </w:pPr>
      <w:bookmarkStart w:id="4" w:name="O_942915"/>
      <w:bookmarkEnd w:id="4"/>
      <w:r w:rsidRPr="00CC019C">
        <w:t>Competency Field</w:t>
      </w:r>
    </w:p>
    <w:p w:rsidR="00000000" w:rsidRPr="00CC019C" w:rsidP="00D855D0">
      <w:pPr>
        <w:pStyle w:val="BodyText"/>
      </w:pPr>
      <w:r w:rsidRPr="00CC019C">
        <w:t>Casting and moulding</w:t>
      </w:r>
    </w:p>
    <w:p w:rsidR="00000000" w:rsidRPr="00CC019C" w:rsidP="00CC019C">
      <w:pPr>
        <w:pStyle w:val="Heading1"/>
      </w:pPr>
      <w:bookmarkStart w:id="5" w:name="O_942913"/>
      <w:bookmarkEnd w:id="5"/>
      <w:r w:rsidRPr="00CC019C">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CC019C">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Performance criteria describe the performance needed to dem</w:t>
            </w:r>
            <w:r w:rsidRPr="00CC019C">
              <w:t>onstrate achievement of the element.</w:t>
            </w: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C019C" w:rsidP="00CC019C">
            <w:pPr>
              <w:pStyle w:val="BodyText"/>
            </w:pPr>
            <w:r w:rsidRPr="00CC019C">
              <w:t>1</w:t>
            </w:r>
          </w:p>
        </w:tc>
        <w:tc>
          <w:tcPr>
            <w:tcW w:w="1986" w:type="dxa"/>
            <w:vMerge w:val="restart"/>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1.1</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Follow standard operating procedures (SOPs)</w:t>
            </w: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1.2</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Comply with work health and safety (WHS) requirements at all times</w:t>
            </w: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1.3</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Use app</w:t>
            </w:r>
            <w:r w:rsidRPr="00CC019C">
              <w:t>ropriate personal protective equipment (PPE) and apparatus in accordance with SOPs</w:t>
            </w: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1.4</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Identify job requirements from specifications, job sheets or work instructions</w:t>
            </w:r>
          </w:p>
        </w:tc>
      </w:tr>
      <w:tr w:rsidTr="00CC019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C019C">
            <w:pPr>
              <w:pStyle w:val="BodyText"/>
              <w:rPr>
                <w:lang w:val="en-NZ"/>
              </w:rPr>
            </w:pP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C019C" w:rsidP="00CC019C">
            <w:pPr>
              <w:pStyle w:val="BodyText"/>
            </w:pPr>
            <w:r w:rsidRPr="00CC019C">
              <w:t>2</w:t>
            </w:r>
          </w:p>
        </w:tc>
        <w:tc>
          <w:tcPr>
            <w:tcW w:w="1986" w:type="dxa"/>
            <w:vMerge w:val="restart"/>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rPr>
                <w:rStyle w:val="SpecialBold"/>
              </w:rPr>
              <w:t>Prepare equipment</w:t>
            </w: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2.1</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Mix die coat in correct proportion in accordance with SOPs</w:t>
            </w: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2.2</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Lift and maintain die temperatures at the appropriate level</w:t>
            </w: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2.3</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 xml:space="preserve">Apply die coat in the correct sequence </w:t>
            </w: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2.4</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 xml:space="preserve">Locate and close die </w:t>
            </w: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2.5</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Place die on machine and attach and tighten toggle clamps to required torque</w:t>
            </w: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2.6</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Attach air cooling to the die as specified if required</w:t>
            </w:r>
          </w:p>
        </w:tc>
      </w:tr>
      <w:tr w:rsidTr="00CC019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C019C">
            <w:pPr>
              <w:pStyle w:val="BodyText"/>
              <w:rPr>
                <w:lang w:val="en-NZ"/>
              </w:rPr>
            </w:pP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C019C" w:rsidP="00CC019C">
            <w:pPr>
              <w:pStyle w:val="BodyText"/>
            </w:pPr>
            <w:r w:rsidRPr="00CC019C">
              <w:t>3</w:t>
            </w:r>
          </w:p>
        </w:tc>
        <w:tc>
          <w:tcPr>
            <w:tcW w:w="1986" w:type="dxa"/>
            <w:vMerge w:val="restart"/>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rPr>
                <w:rStyle w:val="SpecialBold"/>
              </w:rPr>
              <w:t>Carry out manual pouring</w:t>
            </w: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3.1</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Undertake pour in a manner which reduces porosity and lamination</w:t>
            </w: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3.2</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Identify conditions that contribute to inferior castings or rejects</w:t>
            </w: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3.3</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Allow adequate cooling time</w:t>
            </w: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3.4</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Pour at a continuous and appropriate rate during filling</w:t>
            </w: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3.5</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Monitor condition of die coating condition and re-spray as required</w:t>
            </w:r>
          </w:p>
        </w:tc>
      </w:tr>
      <w:tr w:rsidTr="00CC019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C019C">
            <w:pPr>
              <w:pStyle w:val="BodyText"/>
              <w:rPr>
                <w:lang w:val="en-NZ"/>
              </w:rPr>
            </w:pP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C019C" w:rsidP="00CC019C">
            <w:pPr>
              <w:pStyle w:val="BodyText"/>
            </w:pPr>
            <w:r w:rsidRPr="00CC019C">
              <w:t>4</w:t>
            </w:r>
          </w:p>
        </w:tc>
        <w:tc>
          <w:tcPr>
            <w:tcW w:w="1986" w:type="dxa"/>
            <w:vMerge w:val="restart"/>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rPr>
                <w:rStyle w:val="SpecialBold"/>
              </w:rPr>
              <w:t>Remove materials</w:t>
            </w: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4.1</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 xml:space="preserve">Remove parts in a manner that minimises damage </w:t>
            </w: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4.2</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Remove any flash from the die surface</w:t>
            </w: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4.3</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Store parts in a manner that minimises damage</w:t>
            </w:r>
          </w:p>
        </w:tc>
      </w:tr>
      <w:tr w:rsidTr="00CC019C">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CC019C">
            <w:pPr>
              <w:pStyle w:val="BodyText"/>
              <w:rPr>
                <w:lang w:val="en-NZ"/>
              </w:rPr>
            </w:pP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CC019C" w:rsidP="00CC019C">
            <w:pPr>
              <w:pStyle w:val="BodyText"/>
            </w:pPr>
            <w:r w:rsidRPr="00CC019C">
              <w:t>5</w:t>
            </w:r>
          </w:p>
        </w:tc>
        <w:tc>
          <w:tcPr>
            <w:tcW w:w="1986" w:type="dxa"/>
            <w:vMerge w:val="restart"/>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rPr>
                <w:rStyle w:val="SpecialBold"/>
              </w:rPr>
              <w:t>Clean die</w:t>
            </w: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5.1</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Operate shot blaster according to procedures</w:t>
            </w: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5.2</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 xml:space="preserve">Take chemical analysis of melt and apply remedial action as required </w:t>
            </w: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5.3</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Dross and/or degas furnace</w:t>
            </w: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5.4</w:t>
            </w:r>
          </w:p>
        </w:tc>
        <w:tc>
          <w:tcPr>
            <w:tcW w:w="5678"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 xml:space="preserve">Clean work area of coating and shot residue </w:t>
            </w:r>
          </w:p>
        </w:tc>
      </w:tr>
      <w:tr w:rsidTr="00CC019C">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5.5</w:t>
            </w:r>
          </w:p>
        </w:tc>
        <w:tc>
          <w:tcPr>
            <w:tcW w:w="5678" w:type="dxa"/>
            <w:tcBorders>
              <w:top w:val="nil"/>
              <w:left w:val="nil"/>
              <w:bottom w:val="nil"/>
              <w:right w:val="nil"/>
            </w:tcBorders>
            <w:tcMar>
              <w:top w:w="0" w:type="dxa"/>
              <w:left w:w="62" w:type="dxa"/>
              <w:bottom w:w="0" w:type="dxa"/>
              <w:right w:w="62" w:type="dxa"/>
            </w:tcMar>
          </w:tcPr>
          <w:p w:rsidR="00000000" w:rsidRPr="00CC019C" w:rsidP="00CC019C">
            <w:pPr>
              <w:pStyle w:val="BodyText"/>
            </w:pPr>
            <w:r w:rsidRPr="00CC019C">
              <w:t xml:space="preserve">Complete reports/records in accordance with SOPs </w:t>
            </w:r>
          </w:p>
        </w:tc>
      </w:tr>
    </w:tbl>
    <w:p w:rsidR="00000000" w:rsidRPr="00CC019C" w:rsidP="00CC019C">
      <w:pPr>
        <w:pStyle w:val="BodyText"/>
      </w:pPr>
    </w:p>
    <w:p w:rsidR="00000000" w:rsidRPr="00CC019C" w:rsidP="00CC019C">
      <w:pPr>
        <w:pStyle w:val="AllowPageBreak"/>
      </w:pPr>
    </w:p>
    <w:p w:rsidR="00000000" w:rsidRPr="00CC019C" w:rsidP="00CC019C">
      <w:pPr>
        <w:pStyle w:val="Heading1"/>
      </w:pPr>
      <w:bookmarkStart w:id="6" w:name="O_942912"/>
      <w:bookmarkEnd w:id="6"/>
      <w:r w:rsidRPr="00CC019C">
        <w:t>Foundation Skills</w:t>
      </w:r>
    </w:p>
    <w:p w:rsidR="00000000" w:rsidRPr="00CC019C" w:rsidP="00D855D0">
      <w:pPr>
        <w:pStyle w:val="BodyText"/>
      </w:pPr>
      <w:r w:rsidRPr="00CC019C">
        <w:t xml:space="preserve">This section describes those required skills (reading, writing, oral communication and numeracy) that are essential to workplace performance in this unit of competency.  </w:t>
      </w:r>
    </w:p>
    <w:p w:rsidR="00000000" w:rsidRPr="00CC019C" w:rsidP="00D855D0">
      <w:pPr>
        <w:pStyle w:val="BodyText"/>
      </w:pPr>
      <w:r w:rsidRPr="00CC019C">
        <w:t xml:space="preserve">Foundation skills essential to performance are explicit in the performance criteria </w:t>
      </w:r>
      <w:r w:rsidRPr="00CC019C">
        <w:t>of this unit of competency.</w:t>
      </w:r>
    </w:p>
    <w:p w:rsidR="00000000" w:rsidRPr="00CC019C" w:rsidP="00CC019C">
      <w:pPr>
        <w:pStyle w:val="Heading1"/>
      </w:pPr>
      <w:bookmarkStart w:id="7" w:name="O_942911"/>
      <w:bookmarkEnd w:id="7"/>
      <w:r w:rsidRPr="00CC019C">
        <w:t>Range of Conditions</w:t>
      </w:r>
    </w:p>
    <w:tbl>
      <w:tblPr>
        <w:tblW w:w="9255" w:type="dxa"/>
        <w:tblLayout w:type="fixed"/>
        <w:tblCellMar>
          <w:left w:w="62" w:type="dxa"/>
          <w:right w:w="62" w:type="dxa"/>
        </w:tblCellMar>
        <w:tblLook w:val="0000"/>
      </w:tblPr>
      <w:tblGrid>
        <w:gridCol w:w="3283"/>
        <w:gridCol w:w="5972"/>
      </w:tblGrid>
      <w:tr w:rsidTr="00CC019C">
        <w:tblPrEx>
          <w:tblW w:w="9255" w:type="dxa"/>
          <w:tblLayout w:type="fixed"/>
          <w:tblCellMar>
            <w:left w:w="62" w:type="dxa"/>
            <w:right w:w="62" w:type="dxa"/>
          </w:tblCellMar>
          <w:tblLook w:val="0000"/>
        </w:tblPrEx>
        <w:trPr>
          <w:tblHeader/>
        </w:trPr>
        <w:tc>
          <w:tcPr>
            <w:tcW w:w="9255" w:type="dxa"/>
            <w:gridSpan w:val="2"/>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t>This field allows for different work environments and conditions that may affect performance. Essential operating conditions that may be present (depending on the work situation, needs of the</w:t>
            </w:r>
            <w:r w:rsidRPr="00CC019C">
              <w:t xml:space="preserve"> candidate, accessibility of the item, and local industry and regional contexts) are included.</w:t>
            </w:r>
          </w:p>
        </w:tc>
      </w:tr>
      <w:tr w:rsidTr="00CC019C">
        <w:tblPrEx>
          <w:tblW w:w="9255" w:type="dxa"/>
          <w:tblLayout w:type="fixed"/>
          <w:tblCellMar>
            <w:left w:w="62" w:type="dxa"/>
            <w:right w:w="62" w:type="dxa"/>
          </w:tblCellMar>
          <w:tblLook w:val="0000"/>
        </w:tblPrEx>
        <w:tc>
          <w:tcPr>
            <w:tcW w:w="3283"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rPr>
                <w:rStyle w:val="SpecialBold"/>
              </w:rPr>
              <w:t>Metals include one (1) or more of the following:</w:t>
            </w:r>
          </w:p>
        </w:tc>
        <w:tc>
          <w:tcPr>
            <w:tcW w:w="5972" w:type="dxa"/>
            <w:tcBorders>
              <w:top w:val="nil"/>
              <w:left w:val="nil"/>
              <w:bottom w:val="nil"/>
              <w:right w:val="nil"/>
            </w:tcBorders>
            <w:tcMar>
              <w:top w:w="0" w:type="dxa"/>
              <w:left w:w="62" w:type="dxa"/>
              <w:bottom w:w="0" w:type="dxa"/>
              <w:right w:w="62" w:type="dxa"/>
            </w:tcMar>
          </w:tcPr>
          <w:p w:rsidR="00000000" w:rsidRPr="00CC019C" w:rsidP="00CC019C">
            <w:pPr>
              <w:pStyle w:val="ListBullet"/>
            </w:pPr>
            <w:r w:rsidRPr="00CC019C">
              <w:t>aluminium</w:t>
            </w:r>
          </w:p>
          <w:p w:rsidR="00000000" w:rsidRPr="00CC019C" w:rsidP="00CC019C">
            <w:pPr>
              <w:pStyle w:val="ListBullet"/>
            </w:pPr>
            <w:r w:rsidRPr="00CC019C">
              <w:t xml:space="preserve">aluminium alloys </w:t>
            </w:r>
          </w:p>
          <w:p w:rsidR="00000000" w:rsidRPr="00CC019C" w:rsidP="00CC019C">
            <w:pPr>
              <w:pStyle w:val="ListBullet"/>
            </w:pPr>
            <w:r w:rsidRPr="00CC019C">
              <w:t xml:space="preserve">non-ferrous  </w:t>
            </w:r>
          </w:p>
          <w:p w:rsidR="00000000" w:rsidRPr="00CC019C" w:rsidP="00CC019C">
            <w:pPr>
              <w:pStyle w:val="ListBullet"/>
            </w:pPr>
            <w:r w:rsidRPr="00CC019C">
              <w:t xml:space="preserve">ferrous </w:t>
            </w:r>
          </w:p>
          <w:p w:rsidR="00000000" w:rsidP="00CC019C">
            <w:pPr>
              <w:pStyle w:val="BodyText"/>
              <w:rPr>
                <w:lang w:val="en-NZ"/>
              </w:rPr>
            </w:pPr>
          </w:p>
        </w:tc>
      </w:tr>
      <w:tr w:rsidTr="00CC019C">
        <w:tblPrEx>
          <w:tblW w:w="9255" w:type="dxa"/>
          <w:tblLayout w:type="fixed"/>
          <w:tblCellMar>
            <w:left w:w="62" w:type="dxa"/>
            <w:right w:w="62" w:type="dxa"/>
          </w:tblCellMar>
          <w:tblLook w:val="0000"/>
        </w:tblPrEx>
        <w:tc>
          <w:tcPr>
            <w:tcW w:w="3283" w:type="dxa"/>
            <w:tcBorders>
              <w:top w:val="nil"/>
              <w:left w:val="nil"/>
              <w:bottom w:val="nil"/>
              <w:right w:val="nil"/>
            </w:tcBorders>
            <w:tcMar>
              <w:top w:w="0" w:type="dxa"/>
              <w:left w:w="62" w:type="dxa"/>
              <w:bottom w:w="0" w:type="dxa"/>
              <w:right w:w="62" w:type="dxa"/>
            </w:tcMar>
          </w:tcPr>
          <w:p w:rsidR="00000000" w:rsidP="00CC019C">
            <w:pPr>
              <w:pStyle w:val="BodyText"/>
              <w:rPr>
                <w:lang w:val="en-NZ"/>
              </w:rPr>
            </w:pPr>
            <w:r w:rsidRPr="00CC019C">
              <w:rPr>
                <w:rStyle w:val="SpecialBold"/>
              </w:rPr>
              <w:t>Appropriate safety clothing and apparatus includes one (1) or more of the following:</w:t>
            </w:r>
          </w:p>
        </w:tc>
        <w:tc>
          <w:tcPr>
            <w:tcW w:w="5972" w:type="dxa"/>
            <w:tcBorders>
              <w:top w:val="nil"/>
              <w:left w:val="nil"/>
              <w:bottom w:val="nil"/>
              <w:right w:val="nil"/>
            </w:tcBorders>
            <w:tcMar>
              <w:top w:w="0" w:type="dxa"/>
              <w:left w:w="62" w:type="dxa"/>
              <w:bottom w:w="0" w:type="dxa"/>
              <w:right w:w="62" w:type="dxa"/>
            </w:tcMar>
          </w:tcPr>
          <w:p w:rsidR="00000000" w:rsidRPr="00CC019C" w:rsidP="00CC019C">
            <w:pPr>
              <w:pStyle w:val="ListBullet"/>
            </w:pPr>
            <w:r w:rsidRPr="00CC019C">
              <w:t>Aluminium Association safety status sheet recommendations</w:t>
            </w:r>
          </w:p>
          <w:p w:rsidR="00000000" w:rsidRPr="00CC019C" w:rsidP="00CC019C">
            <w:pPr>
              <w:pStyle w:val="ListBullet"/>
            </w:pPr>
            <w:r w:rsidRPr="00CC019C">
              <w:t>glasses</w:t>
            </w:r>
          </w:p>
          <w:p w:rsidR="00000000" w:rsidRPr="00CC019C" w:rsidP="00CC019C">
            <w:pPr>
              <w:pStyle w:val="ListBullet"/>
            </w:pPr>
            <w:r w:rsidRPr="00CC019C">
              <w:t>aluminised suits</w:t>
            </w:r>
          </w:p>
          <w:p w:rsidR="00000000" w:rsidRPr="00CC019C" w:rsidP="00CC019C">
            <w:pPr>
              <w:pStyle w:val="ListBullet"/>
            </w:pPr>
            <w:r w:rsidRPr="00CC019C">
              <w:t>masks</w:t>
            </w:r>
          </w:p>
          <w:p w:rsidR="00000000" w:rsidRPr="00CC019C" w:rsidP="00CC019C">
            <w:pPr>
              <w:pStyle w:val="ListBullet"/>
            </w:pPr>
            <w:r w:rsidRPr="00CC019C">
              <w:t>gloves</w:t>
            </w:r>
          </w:p>
          <w:p w:rsidR="00000000" w:rsidRPr="00CC019C" w:rsidP="00CC019C">
            <w:pPr>
              <w:pStyle w:val="ListBullet"/>
            </w:pPr>
            <w:r w:rsidRPr="00CC019C">
              <w:t>gauntlet</w:t>
            </w:r>
          </w:p>
          <w:p w:rsidR="00000000" w:rsidRPr="00CC019C" w:rsidP="00CC019C">
            <w:pPr>
              <w:pStyle w:val="BodyText"/>
            </w:pPr>
          </w:p>
        </w:tc>
      </w:tr>
    </w:tbl>
    <w:p w:rsidR="00D855D0" w:rsidP="00CC019C">
      <w:pPr>
        <w:pStyle w:val="BodyText"/>
      </w:pPr>
    </w:p>
    <w:p w:rsidR="00D855D0" w:rsidP="00CC019C">
      <w:pPr>
        <w:pStyle w:val="BodyText"/>
      </w:pPr>
    </w:p>
    <w:p w:rsidR="00000000" w:rsidRPr="00CC019C" w:rsidP="00CC019C">
      <w:pPr>
        <w:pStyle w:val="Heading1"/>
      </w:pPr>
      <w:bookmarkStart w:id="8" w:name="O_942910"/>
      <w:bookmarkEnd w:id="8"/>
      <w:r w:rsidRPr="00CC019C">
        <w:t>Unit Mapping Information</w:t>
      </w:r>
    </w:p>
    <w:p w:rsidR="00000000" w:rsidRPr="00CC019C" w:rsidP="00D855D0">
      <w:pPr>
        <w:pStyle w:val="BodyText"/>
      </w:pPr>
      <w:r w:rsidRPr="00CC019C">
        <w:t xml:space="preserve">Release 1. Supersedes and is equivalent to MEM04002B Perform gravity die casting </w:t>
      </w:r>
    </w:p>
    <w:p w:rsidR="00000000" w:rsidRPr="00CC019C" w:rsidP="00CC019C">
      <w:pPr>
        <w:pStyle w:val="Heading1"/>
      </w:pPr>
      <w:bookmarkStart w:id="9" w:name="O_942903"/>
      <w:bookmarkEnd w:id="9"/>
      <w:r w:rsidRPr="00CC019C">
        <w:t>Links</w:t>
      </w:r>
    </w:p>
    <w:p w:rsidR="00000000" w:rsidRPr="00CC019C" w:rsidP="00D855D0">
      <w:pPr>
        <w:pStyle w:val="BodyText"/>
      </w:pPr>
      <w:r w:rsidRPr="00CC019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86BF8">
        <w:rPr>
          <w:rStyle w:val="Hyperlink"/>
        </w:rPr>
        <w:t>https://vetnet.gov.au/Pages/TrainingDocs.aspx?q=b7050d37-5fd0-4740-8f7d-3b7a49c10bb2</w:t>
      </w:r>
      <w:r>
        <w:fldChar w:fldCharType="end"/>
      </w:r>
    </w:p>
    <w:p w:rsidR="00000000" w:rsidRPr="00CC019C" w:rsidP="00D855D0">
      <w:pPr>
        <w:pStyle w:val="BodyText"/>
        <w:sectPr w:rsidSect="00CC019C">
          <w:headerReference w:type="default" r:id="rId10"/>
          <w:footerReference w:type="default" r:id="rId11"/>
          <w:pgSz w:w="11908" w:h="16833"/>
          <w:pgMar w:top="1702" w:right="1418" w:bottom="1702" w:left="1418" w:header="992" w:footer="992" w:gutter="0"/>
          <w:cols w:space="720"/>
          <w:noEndnote/>
          <w:docGrid w:linePitch="299"/>
        </w:sectPr>
      </w:pPr>
    </w:p>
    <w:p w:rsidR="00000000" w:rsidRPr="00CC019C" w:rsidP="00CC019C">
      <w:pPr>
        <w:pStyle w:val="SuperHeading"/>
      </w:pPr>
      <w:r w:rsidRPr="00CC019C">
        <w:t>Assessment Requirements for MEM04002 Perform gravity die casting</w:t>
      </w:r>
    </w:p>
    <w:p w:rsidR="00000000" w:rsidRPr="00CC019C" w:rsidP="00CC019C">
      <w:pPr>
        <w:pStyle w:val="Heading1"/>
      </w:pPr>
      <w:bookmarkStart w:id="10" w:name="O_942905"/>
      <w:bookmarkEnd w:id="10"/>
      <w:r w:rsidRPr="00CC019C">
        <w:t>Modification History</w:t>
      </w:r>
    </w:p>
    <w:p w:rsidR="00000000" w:rsidRPr="00CC019C" w:rsidP="00D855D0">
      <w:pPr>
        <w:pStyle w:val="BodyText"/>
      </w:pPr>
      <w:r w:rsidRPr="00CC019C">
        <w:t xml:space="preserve">Release 1. Supersedes and is equivalent to MEM04002B Perform gravity die casting </w:t>
      </w:r>
    </w:p>
    <w:p w:rsidR="00000000" w:rsidRPr="00CC019C" w:rsidP="00CC019C">
      <w:pPr>
        <w:pStyle w:val="Heading1"/>
      </w:pPr>
      <w:bookmarkStart w:id="11" w:name="O_942908"/>
      <w:bookmarkEnd w:id="11"/>
      <w:r w:rsidRPr="00CC019C">
        <w:t>Performance Evidence</w:t>
      </w:r>
    </w:p>
    <w:p w:rsidR="00000000" w:rsidRPr="00CC019C" w:rsidP="00D855D0">
      <w:pPr>
        <w:pStyle w:val="BodyText"/>
      </w:pPr>
      <w:r w:rsidRPr="00CC019C">
        <w:t>Evidence required to demonstrate competence in this unit must be relevant to and satisfy the requirements of the elements and performance criteria on at least two (2) occasions and include:</w:t>
      </w:r>
    </w:p>
    <w:p w:rsidR="00000000" w:rsidRPr="00CC019C" w:rsidP="00CC019C">
      <w:pPr>
        <w:pStyle w:val="ListBullet"/>
      </w:pPr>
      <w:r w:rsidRPr="00CC019C">
        <w:t>following work instructions, standard operat</w:t>
      </w:r>
      <w:r w:rsidRPr="00CC019C">
        <w:t xml:space="preserve">ing procedures (SOPs) and safe work practices </w:t>
      </w:r>
    </w:p>
    <w:p w:rsidR="00000000" w:rsidRPr="00CC019C" w:rsidP="00CC019C">
      <w:pPr>
        <w:pStyle w:val="ListBullet"/>
      </w:pPr>
      <w:r w:rsidRPr="00CC019C">
        <w:t>identifying and interpreting specifications and other applicable reference documents for gravity die casting operation</w:t>
      </w:r>
    </w:p>
    <w:p w:rsidR="00000000" w:rsidRPr="00CC019C" w:rsidP="00CC019C">
      <w:pPr>
        <w:pStyle w:val="ListBullet"/>
      </w:pPr>
      <w:r w:rsidRPr="00CC019C">
        <w:t>preparing equipment for gravity die casting, including:</w:t>
      </w:r>
    </w:p>
    <w:p w:rsidR="00000000" w:rsidRPr="00CC019C" w:rsidP="00CC019C">
      <w:pPr>
        <w:pStyle w:val="ListBullet2"/>
      </w:pPr>
      <w:r w:rsidRPr="00CC019C">
        <w:t>mixing and applying die coat in c</w:t>
      </w:r>
      <w:r w:rsidRPr="00CC019C">
        <w:t xml:space="preserve">orrect proportion and sequence </w:t>
      </w:r>
    </w:p>
    <w:p w:rsidR="00000000" w:rsidRPr="00CC019C" w:rsidP="00CC019C">
      <w:pPr>
        <w:pStyle w:val="ListBullet2"/>
      </w:pPr>
      <w:r w:rsidRPr="00CC019C">
        <w:t>lifting and maintaining die temperatures at the correct level</w:t>
      </w:r>
    </w:p>
    <w:p w:rsidR="00000000" w:rsidRPr="00CC019C" w:rsidP="00CC019C">
      <w:pPr>
        <w:pStyle w:val="ListBullet2"/>
      </w:pPr>
      <w:r w:rsidRPr="00CC019C">
        <w:t>locating, placing securing die on machine and attaching air cooling if required</w:t>
      </w:r>
    </w:p>
    <w:p w:rsidR="00000000" w:rsidRPr="00CC019C" w:rsidP="00CC019C">
      <w:pPr>
        <w:pStyle w:val="ListBullet"/>
      </w:pPr>
      <w:r w:rsidRPr="00CC019C">
        <w:t>carrying out manual pouring in a continuous and appropriate rate that reduces porosity and lamination, avoiding conditions that can contribute to inferior castings or rejects</w:t>
      </w:r>
    </w:p>
    <w:p w:rsidR="00000000" w:rsidRPr="00CC019C" w:rsidP="00CC019C">
      <w:pPr>
        <w:pStyle w:val="ListBullet"/>
      </w:pPr>
      <w:r w:rsidRPr="00CC019C">
        <w:t>removing and storing components and removing any flash from the die surface</w:t>
      </w:r>
    </w:p>
    <w:p w:rsidR="00000000" w:rsidRPr="00CC019C" w:rsidP="00CC019C">
      <w:pPr>
        <w:pStyle w:val="ListBullet"/>
      </w:pPr>
      <w:r w:rsidRPr="00CC019C">
        <w:t>clean</w:t>
      </w:r>
      <w:r w:rsidRPr="00CC019C">
        <w:t>ing die using a shot blaster in a safe manner</w:t>
      </w:r>
    </w:p>
    <w:p w:rsidR="00000000" w:rsidRPr="00CC019C" w:rsidP="00CC019C">
      <w:pPr>
        <w:pStyle w:val="ListBullet"/>
      </w:pPr>
      <w:r w:rsidRPr="00CC019C">
        <w:t>taking chemical analysis of melt and applying remedial action as required</w:t>
      </w:r>
    </w:p>
    <w:p w:rsidR="00000000" w:rsidRPr="00CC019C" w:rsidP="00CC019C">
      <w:pPr>
        <w:pStyle w:val="ListBullet"/>
      </w:pPr>
      <w:r w:rsidRPr="00CC019C">
        <w:t>drossing and/or degassing furnace to SOPs</w:t>
      </w:r>
    </w:p>
    <w:p w:rsidR="00000000" w:rsidRPr="00CC019C" w:rsidP="00CC019C">
      <w:pPr>
        <w:pStyle w:val="ListBullet"/>
      </w:pPr>
      <w:r w:rsidRPr="00CC019C">
        <w:t>completing records as required.</w:t>
      </w:r>
    </w:p>
    <w:p w:rsidR="00000000" w:rsidRPr="00CC019C" w:rsidP="00CC019C">
      <w:pPr>
        <w:pStyle w:val="AllowPageBreak"/>
      </w:pPr>
    </w:p>
    <w:p w:rsidR="00000000" w:rsidRPr="00CC019C" w:rsidP="00CC019C">
      <w:pPr>
        <w:pStyle w:val="Heading1"/>
      </w:pPr>
      <w:bookmarkStart w:id="12" w:name="O_942907"/>
      <w:bookmarkEnd w:id="12"/>
      <w:r w:rsidRPr="00CC019C">
        <w:t>Knowledge Evidence</w:t>
      </w:r>
    </w:p>
    <w:p w:rsidR="00000000" w:rsidRPr="00CC019C" w:rsidP="00D855D0">
      <w:pPr>
        <w:pStyle w:val="BodyText"/>
      </w:pPr>
      <w:r w:rsidRPr="00CC019C">
        <w:t>Evidence required to demon</w:t>
      </w:r>
      <w:r w:rsidRPr="00CC019C">
        <w:t>strate the required knowledge for this unit must be relevant to and satisfy the requirements of the elements and performance criteria and include knowledge of:</w:t>
      </w:r>
    </w:p>
    <w:p w:rsidR="00000000" w:rsidRPr="00CC019C" w:rsidP="00CC019C">
      <w:pPr>
        <w:pStyle w:val="ListBullet"/>
      </w:pPr>
      <w:r w:rsidRPr="00CC019C">
        <w:t>safe work practices and procedures and use of personal protective equipment (PPE) and apparatus</w:t>
      </w:r>
    </w:p>
    <w:p w:rsidR="00000000" w:rsidRPr="00CC019C" w:rsidP="00CC019C">
      <w:pPr>
        <w:pStyle w:val="ListBullet"/>
      </w:pPr>
      <w:r w:rsidRPr="00CC019C">
        <w:t xml:space="preserve">die coat function(s) in gravity die casting </w:t>
      </w:r>
    </w:p>
    <w:p w:rsidR="00000000" w:rsidRPr="00CC019C" w:rsidP="00CC019C">
      <w:pPr>
        <w:pStyle w:val="ListBullet"/>
      </w:pPr>
      <w:r w:rsidRPr="00CC019C">
        <w:t xml:space="preserve">correct proportions and consistency of die coats as determined by manufacturers’ specifications </w:t>
      </w:r>
    </w:p>
    <w:p w:rsidR="00000000" w:rsidRPr="00CC019C" w:rsidP="00CC019C">
      <w:pPr>
        <w:pStyle w:val="ListBullet"/>
      </w:pPr>
      <w:r w:rsidRPr="00CC019C">
        <w:t xml:space="preserve">correct identification of die coat materials </w:t>
      </w:r>
    </w:p>
    <w:p w:rsidR="00000000" w:rsidRPr="00CC019C" w:rsidP="00CC019C">
      <w:pPr>
        <w:pStyle w:val="ListBullet"/>
      </w:pPr>
      <w:r w:rsidRPr="00CC019C">
        <w:t xml:space="preserve">procedures for raising the temperature of the die to the correct level and maintaining the required temperature in accordance with SOPs </w:t>
      </w:r>
    </w:p>
    <w:p w:rsidR="00000000" w:rsidRPr="00CC019C" w:rsidP="00CC019C">
      <w:pPr>
        <w:pStyle w:val="ListBullet"/>
      </w:pPr>
      <w:r w:rsidRPr="00CC019C">
        <w:t xml:space="preserve">procedures to be followed when pouring molten metal to produce sound castings </w:t>
      </w:r>
    </w:p>
    <w:p w:rsidR="00000000" w:rsidRPr="00CC019C" w:rsidP="00CC019C">
      <w:pPr>
        <w:pStyle w:val="ListBullet"/>
      </w:pPr>
      <w:r w:rsidRPr="00CC019C">
        <w:t>causes of defects in castings</w:t>
      </w:r>
    </w:p>
    <w:p w:rsidR="00000000" w:rsidRPr="00CC019C" w:rsidP="00CC019C">
      <w:pPr>
        <w:pStyle w:val="ListBullet"/>
      </w:pPr>
      <w:r w:rsidRPr="00CC019C">
        <w:t>curing tim</w:t>
      </w:r>
      <w:r w:rsidRPr="00CC019C">
        <w:t xml:space="preserve">es for castings of various volumes and materials </w:t>
      </w:r>
    </w:p>
    <w:p w:rsidR="00000000" w:rsidRPr="00CC019C" w:rsidP="00CC019C">
      <w:pPr>
        <w:pStyle w:val="ListBullet"/>
      </w:pPr>
      <w:r w:rsidRPr="00CC019C">
        <w:t>timing of die coat application and quantity of die coat to be used for different applications</w:t>
      </w:r>
    </w:p>
    <w:p w:rsidR="00000000" w:rsidRPr="00CC019C" w:rsidP="00CC019C">
      <w:pPr>
        <w:pStyle w:val="ListBullet"/>
      </w:pPr>
      <w:r w:rsidRPr="00CC019C">
        <w:t xml:space="preserve">correct procedures for removing castings from the die and storing of castings </w:t>
      </w:r>
    </w:p>
    <w:p w:rsidR="00000000" w:rsidRPr="00CC019C" w:rsidP="00CC019C">
      <w:pPr>
        <w:pStyle w:val="ListBullet"/>
      </w:pPr>
      <w:r w:rsidRPr="00CC019C">
        <w:t>die condition and need for shot b</w:t>
      </w:r>
      <w:r w:rsidRPr="00CC019C">
        <w:t>lasting</w:t>
      </w:r>
    </w:p>
    <w:p w:rsidR="00000000" w:rsidRPr="00CC019C" w:rsidP="00CC019C">
      <w:pPr>
        <w:pStyle w:val="ListBullet"/>
      </w:pPr>
      <w:r w:rsidRPr="00CC019C">
        <w:t>shot blaster operating procedures.</w:t>
      </w:r>
    </w:p>
    <w:p w:rsidR="00000000" w:rsidRPr="00CC019C" w:rsidP="00CC019C">
      <w:pPr>
        <w:pStyle w:val="AllowPageBreak"/>
      </w:pPr>
    </w:p>
    <w:p w:rsidR="00000000" w:rsidRPr="00CC019C" w:rsidP="00CC019C">
      <w:pPr>
        <w:pStyle w:val="Heading1"/>
      </w:pPr>
      <w:bookmarkStart w:id="13" w:name="O_942906"/>
      <w:bookmarkEnd w:id="13"/>
      <w:r w:rsidRPr="00CC019C">
        <w:t>Assessment Conditions</w:t>
      </w:r>
    </w:p>
    <w:p w:rsidR="00000000" w:rsidRPr="00CC019C" w:rsidP="00CC019C">
      <w:pPr>
        <w:pStyle w:val="ListBullet"/>
      </w:pPr>
      <w:r w:rsidRPr="00CC019C">
        <w:t>Assessors must:</w:t>
      </w:r>
    </w:p>
    <w:p w:rsidR="00000000" w:rsidRPr="00CC019C" w:rsidP="00CC019C">
      <w:pPr>
        <w:pStyle w:val="ListBullet2"/>
      </w:pPr>
      <w:r w:rsidRPr="00CC019C">
        <w:t>have vocational competency in performing gravity die casting at least to the level being assessed with relevant industry knowledge and experience</w:t>
      </w:r>
    </w:p>
    <w:p w:rsidR="00000000" w:rsidRPr="00CC019C" w:rsidP="00CC019C">
      <w:pPr>
        <w:pStyle w:val="ListBullet2"/>
      </w:pPr>
      <w:r w:rsidRPr="00CC019C">
        <w:t>satisfy</w:t>
      </w:r>
      <w:r w:rsidRPr="00CC019C">
        <w:t xml:space="preserve"> the assessor requirements in the </w:t>
      </w:r>
      <w:r w:rsidRPr="00CC019C">
        <w:rPr>
          <w:rStyle w:val="Emphasis"/>
        </w:rPr>
        <w:t xml:space="preserve">Standards for Registered Training Organisations 2015 </w:t>
      </w:r>
      <w:r w:rsidRPr="00CC019C">
        <w:t>or its replacement</w:t>
      </w:r>
      <w:r w:rsidRPr="00CC019C">
        <w:rPr>
          <w:rStyle w:val="Emphasis"/>
        </w:rPr>
        <w:t xml:space="preserve"> </w:t>
      </w:r>
      <w:r w:rsidRPr="00CC019C">
        <w:t xml:space="preserve">and comply with the </w:t>
      </w:r>
      <w:r w:rsidRPr="00CC019C">
        <w:rPr>
          <w:rStyle w:val="Emphasis"/>
        </w:rPr>
        <w:t xml:space="preserve">National Vocational Education and Training Regulator Act 2011, </w:t>
      </w:r>
      <w:r w:rsidRPr="00CC019C">
        <w:t>its replacement</w:t>
      </w:r>
      <w:r w:rsidRPr="00CC019C">
        <w:rPr>
          <w:rStyle w:val="Emphasis"/>
        </w:rPr>
        <w:t xml:space="preserve"> </w:t>
      </w:r>
      <w:r w:rsidRPr="00CC019C">
        <w:t>or equivalent legislation covering VET regulation i</w:t>
      </w:r>
      <w:r w:rsidRPr="00CC019C">
        <w:t>n a non-referring state/territory as the case requires</w:t>
      </w:r>
    </w:p>
    <w:p w:rsidR="00000000" w:rsidRPr="00CC019C" w:rsidP="00CC019C">
      <w:pPr>
        <w:pStyle w:val="ListBullet"/>
      </w:pPr>
      <w:r w:rsidRPr="00CC019C">
        <w:t>Where possible assessment must occur in operational workplace situations. Where this is not possible or where personal safety or environmental damage are limiting factors, assessment must occur in a s</w:t>
      </w:r>
      <w:r w:rsidRPr="00CC019C">
        <w:t>ufficiently rigorous simulated environment that reflects realistic operational workplace conditions. This must cover all aspects of workplace performance, including environment, task skills, task management skills, contingency management skills and job rol</w:t>
      </w:r>
      <w:r w:rsidRPr="00CC019C">
        <w:t>e environment skills</w:t>
      </w:r>
    </w:p>
    <w:p w:rsidR="00000000" w:rsidRPr="00CC019C" w:rsidP="00CC019C">
      <w:pPr>
        <w:pStyle w:val="ListBullet"/>
      </w:pPr>
      <w:r w:rsidRPr="00CC019C">
        <w:t>Conditions for assessment must include access to all tools, equipment, materials and documentation required, including relevant workplace procedures, product and manufacturing specifications</w:t>
      </w:r>
    </w:p>
    <w:p w:rsidR="00000000" w:rsidRPr="00CC019C" w:rsidP="00CC019C">
      <w:pPr>
        <w:pStyle w:val="ListBullet"/>
      </w:pPr>
      <w:r w:rsidRPr="00CC019C">
        <w:t xml:space="preserve">Assessment processes and techniques must be </w:t>
      </w:r>
      <w:r w:rsidRPr="00CC019C">
        <w:t>appropriate to the language, literacy and numeracy requirements of the work being performed and the needs of the candidate.</w:t>
      </w:r>
    </w:p>
    <w:p w:rsidR="00000000" w:rsidRPr="00CC019C" w:rsidP="00CC019C">
      <w:pPr>
        <w:pStyle w:val="AllowPageBreak"/>
      </w:pPr>
    </w:p>
    <w:p w:rsidR="00000000" w:rsidRPr="00CC019C" w:rsidP="00CC019C">
      <w:pPr>
        <w:pStyle w:val="Heading1"/>
      </w:pPr>
      <w:bookmarkStart w:id="14" w:name="O_942904"/>
      <w:bookmarkEnd w:id="14"/>
      <w:r w:rsidRPr="00CC019C">
        <w:t>Links</w:t>
      </w:r>
    </w:p>
    <w:p w:rsidR="00000000" w:rsidRPr="00CC019C" w:rsidP="00D855D0">
      <w:pPr>
        <w:pStyle w:val="BodyText"/>
      </w:pPr>
      <w:r w:rsidRPr="00CC019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86BF8">
        <w:rPr>
          <w:rStyle w:val="Hyperlink"/>
        </w:rPr>
        <w:t>https://vetnet.gov.au/Pages/TrainingDocs.aspx?q=b7050d37-5fd0-4740-8f7d-3b7a49c10bb2</w:t>
      </w:r>
      <w:r>
        <w:fldChar w:fldCharType="end"/>
      </w:r>
    </w:p>
    <w:p w:rsidR="00000000" w:rsidRPr="00CC019C" w:rsidP="00CC019C"/>
    <w:sectPr w:rsidSect="00CC01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9C" w:rsidRPr="00D855D0" w:rsidP="00D855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D0" w:rsidP="00CC01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55D0" w:rsidP="00CC01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855D0" w:rsidP="00CC01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9C" w:rsidP="00CC019C">
    <w:pPr>
      <w:pStyle w:val="Footer"/>
      <w:framePr w:wrap="around"/>
    </w:pPr>
    <w:r>
      <w:fldChar w:fldCharType="begin"/>
    </w:r>
    <w:r>
      <w:instrText xml:space="preserve"> DOCPROPERTY  Subject  \* MERGEFORMAT </w:instrText>
    </w:r>
    <w:r>
      <w:fldChar w:fldCharType="separate"/>
    </w:r>
    <w:r w:rsidR="00D855D0">
      <w:t>Approved</w:t>
    </w:r>
    <w:r w:rsidR="00D855D0">
      <w:fldChar w:fldCharType="end"/>
    </w:r>
    <w:r>
      <w:tab/>
      <w:t xml:space="preserve">Page </w:t>
    </w:r>
    <w:r>
      <w:fldChar w:fldCharType="begin"/>
    </w:r>
    <w:r>
      <w:instrText xml:space="preserve"> PAGE  \* Arabic  \* MERGEFORMAT </w:instrText>
    </w:r>
    <w:r>
      <w:fldChar w:fldCharType="separate"/>
    </w:r>
    <w:r w:rsidR="00D855D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55D0">
      <w:rPr>
        <w:noProof/>
      </w:rPr>
      <w:t>5</w:t>
    </w:r>
    <w:r>
      <w:rPr>
        <w:noProof/>
      </w:rPr>
      <w:fldChar w:fldCharType="end"/>
    </w:r>
  </w:p>
  <w:p w:rsidR="00CC019C" w:rsidP="00CC019C">
    <w:pPr>
      <w:pStyle w:val="Footer"/>
      <w:framePr w:wrap="around"/>
    </w:pPr>
    <w:r>
      <w:t xml:space="preserve">© Commonwealth of Australia, </w:t>
    </w:r>
    <w:r>
      <w:fldChar w:fldCharType="begin"/>
    </w:r>
    <w:r>
      <w:instrText xml:space="preserve"> DATE  \@ "yyyy"  \* MERGEFORMAT </w:instrText>
    </w:r>
    <w:r>
      <w:fldChar w:fldCharType="separate"/>
    </w:r>
    <w:r w:rsidR="00D855D0">
      <w:rPr>
        <w:noProof/>
      </w:rPr>
      <w:t>2025</w:t>
    </w:r>
    <w:r>
      <w:fldChar w:fldCharType="end"/>
    </w:r>
    <w:r>
      <w:tab/>
    </w:r>
    <w:r>
      <w:fldChar w:fldCharType="begin"/>
    </w:r>
    <w:r>
      <w:instrText xml:space="preserve"> DOCPROPERTY  Author  \* MERGEFORMAT </w:instrText>
    </w:r>
    <w:r>
      <w:fldChar w:fldCharType="separate"/>
    </w:r>
    <w:r w:rsidR="00D855D0">
      <w:t>Manufacturing Industry Skills Alliance</w:t>
    </w:r>
    <w:r w:rsidR="00D855D0">
      <w:fldChar w:fldCharType="end"/>
    </w:r>
  </w:p>
  <w:p w:rsidR="00CC019C" w:rsidP="00CC01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019C" w:rsidRPr="00D855D0" w:rsidP="00D855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D0" w:rsidRPr="002D2AF8" w:rsidP="00CC019C">
    <w:pPr>
      <w:pStyle w:val="Header"/>
      <w:framePr w:wrap="around"/>
    </w:pPr>
    <w:r>
      <w:fldChar w:fldCharType="begin"/>
    </w:r>
    <w:r>
      <w:instrText xml:space="preserve"> TITLE   \* MERGEFORMAT </w:instrText>
    </w:r>
    <w:r>
      <w:fldChar w:fldCharType="separate"/>
    </w:r>
    <w:r>
      <w:t>MEM04002 Perform gravity die casting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855D0" w:rsidP="00CC01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019C" w:rsidRPr="002D2AF8" w:rsidP="00CC019C">
    <w:pPr>
      <w:pStyle w:val="Header"/>
      <w:framePr w:wrap="around"/>
    </w:pPr>
    <w:r>
      <w:fldChar w:fldCharType="begin"/>
    </w:r>
    <w:r>
      <w:instrText xml:space="preserve"> TITLE   \* MERGEFORMAT </w:instrText>
    </w:r>
    <w:r>
      <w:fldChar w:fldCharType="separate"/>
    </w:r>
    <w:r w:rsidR="00D855D0">
      <w:t>MEM04002 Perform gravity die casting</w:t>
    </w:r>
    <w:r w:rsidR="00D855D0">
      <w:fldChar w:fldCharType="end"/>
    </w:r>
    <w:r>
      <w:tab/>
      <w:t xml:space="preserve">Date this document was generated: </w:t>
    </w:r>
    <w:r>
      <w:fldChar w:fldCharType="begin"/>
    </w:r>
    <w:r>
      <w:instrText xml:space="preserve"> CREATEDATE  \@ "d MMMM yyyy"  \* MERGEFORMAT </w:instrText>
    </w:r>
    <w:r>
      <w:fldChar w:fldCharType="separate"/>
    </w:r>
    <w:r w:rsidR="00D855D0">
      <w:rPr>
        <w:noProof/>
      </w:rPr>
      <w:t>1 March 2025</w:t>
    </w:r>
    <w:r>
      <w:fldChar w:fldCharType="end"/>
    </w:r>
  </w:p>
  <w:p w:rsidR="00CC019C" w:rsidP="00CC01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140B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54B1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6EA7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1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019C"/>
    <w:pPr>
      <w:spacing w:before="360" w:after="60"/>
      <w:outlineLvl w:val="0"/>
    </w:pPr>
    <w:rPr>
      <w:sz w:val="32"/>
    </w:rPr>
  </w:style>
  <w:style w:type="paragraph" w:styleId="Heading2">
    <w:name w:val="heading 2"/>
    <w:basedOn w:val="HeadingBase"/>
    <w:next w:val="BodyText"/>
    <w:link w:val="Heading2Char"/>
    <w:qFormat/>
    <w:rsid w:val="00CC019C"/>
    <w:pPr>
      <w:keepLines/>
      <w:spacing w:before="240" w:after="120"/>
      <w:outlineLvl w:val="1"/>
    </w:pPr>
    <w:rPr>
      <w:sz w:val="28"/>
      <w:szCs w:val="40"/>
    </w:rPr>
  </w:style>
  <w:style w:type="paragraph" w:styleId="Heading3">
    <w:name w:val="heading 3"/>
    <w:basedOn w:val="HeadingBase"/>
    <w:next w:val="BodyText"/>
    <w:link w:val="Heading3Char"/>
    <w:qFormat/>
    <w:rsid w:val="00CC019C"/>
    <w:pPr>
      <w:spacing w:before="180" w:after="120"/>
      <w:outlineLvl w:val="2"/>
    </w:pPr>
    <w:rPr>
      <w:spacing w:val="-10"/>
      <w:kern w:val="32"/>
    </w:rPr>
  </w:style>
  <w:style w:type="paragraph" w:styleId="Heading4">
    <w:name w:val="heading 4"/>
    <w:basedOn w:val="HeadingBase"/>
    <w:next w:val="BodyText"/>
    <w:link w:val="Heading4Char"/>
    <w:qFormat/>
    <w:rsid w:val="00CC019C"/>
    <w:pPr>
      <w:spacing w:before="160" w:after="120"/>
      <w:outlineLvl w:val="3"/>
    </w:pPr>
    <w:rPr>
      <w:sz w:val="22"/>
    </w:rPr>
  </w:style>
  <w:style w:type="paragraph" w:styleId="Heading5">
    <w:name w:val="heading 5"/>
    <w:basedOn w:val="HeadingBase"/>
    <w:next w:val="Normal"/>
    <w:link w:val="Heading5Char"/>
    <w:qFormat/>
    <w:rsid w:val="00CC019C"/>
    <w:pPr>
      <w:spacing w:before="80"/>
      <w:outlineLvl w:val="4"/>
    </w:pPr>
    <w:rPr>
      <w:color w:val="918585"/>
      <w:sz w:val="20"/>
    </w:rPr>
  </w:style>
  <w:style w:type="paragraph" w:styleId="Heading6">
    <w:name w:val="heading 6"/>
    <w:basedOn w:val="HeadingBase"/>
    <w:next w:val="Normal"/>
    <w:link w:val="Heading6Char"/>
    <w:qFormat/>
    <w:rsid w:val="00CC019C"/>
    <w:pPr>
      <w:spacing w:before="60"/>
      <w:outlineLvl w:val="5"/>
    </w:pPr>
    <w:rPr>
      <w:color w:val="918585"/>
      <w:sz w:val="20"/>
    </w:rPr>
  </w:style>
  <w:style w:type="paragraph" w:styleId="Heading7">
    <w:name w:val="heading 7"/>
    <w:basedOn w:val="Normal"/>
    <w:next w:val="Normal"/>
    <w:link w:val="Heading7Char"/>
    <w:qFormat/>
    <w:rsid w:val="00CC019C"/>
    <w:pPr>
      <w:ind w:left="720"/>
      <w:outlineLvl w:val="6"/>
    </w:pPr>
    <w:rPr>
      <w:i/>
    </w:rPr>
  </w:style>
  <w:style w:type="paragraph" w:styleId="Heading8">
    <w:name w:val="heading 8"/>
    <w:basedOn w:val="Normal"/>
    <w:next w:val="Normal"/>
    <w:link w:val="Heading8Char"/>
    <w:qFormat/>
    <w:rsid w:val="00CC019C"/>
    <w:pPr>
      <w:ind w:left="720"/>
      <w:outlineLvl w:val="7"/>
    </w:pPr>
    <w:rPr>
      <w:i/>
    </w:rPr>
  </w:style>
  <w:style w:type="paragraph" w:styleId="Heading9">
    <w:name w:val="heading 9"/>
    <w:basedOn w:val="Normal"/>
    <w:next w:val="Normal"/>
    <w:link w:val="Heading9Char"/>
    <w:qFormat/>
    <w:rsid w:val="00CC019C"/>
    <w:pPr>
      <w:ind w:left="720"/>
      <w:outlineLvl w:val="8"/>
    </w:pPr>
    <w:rPr>
      <w:i/>
    </w:rPr>
  </w:style>
  <w:style w:type="character" w:default="1" w:styleId="DefaultParagraphFont">
    <w:name w:val="Default Paragraph Font"/>
    <w:uiPriority w:val="1"/>
    <w:unhideWhenUsed/>
    <w:rsid w:val="00CC01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019C"/>
  </w:style>
  <w:style w:type="character" w:customStyle="1" w:styleId="Heading1Char">
    <w:name w:val="Heading 1 Char"/>
    <w:basedOn w:val="DefaultParagraphFont"/>
    <w:link w:val="Heading1"/>
    <w:rsid w:val="00CC019C"/>
    <w:rPr>
      <w:rFonts w:ascii="Times New Roman" w:eastAsia="Times New Roman" w:hAnsi="Times New Roman" w:cs="Times New Roman"/>
      <w:b/>
      <w:sz w:val="32"/>
      <w:szCs w:val="20"/>
      <w:lang w:eastAsia="en-US"/>
    </w:rPr>
  </w:style>
  <w:style w:type="paragraph" w:styleId="BodyText">
    <w:name w:val="Body Text"/>
    <w:basedOn w:val="Normal"/>
    <w:link w:val="BodyTextChar"/>
    <w:rsid w:val="00CC01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019C"/>
    <w:rPr>
      <w:rFonts w:ascii="Times New Roman" w:eastAsia="Times New Roman" w:hAnsi="Times New Roman" w:cs="Times New Roman"/>
      <w:sz w:val="24"/>
      <w:lang w:eastAsia="en-US"/>
    </w:rPr>
  </w:style>
  <w:style w:type="paragraph" w:styleId="ListBullet">
    <w:name w:val="List Bullet"/>
    <w:basedOn w:val="List"/>
    <w:rsid w:val="00CC019C"/>
    <w:pPr>
      <w:numPr>
        <w:numId w:val="12"/>
      </w:numPr>
      <w:tabs>
        <w:tab w:val="clear" w:pos="340"/>
      </w:tabs>
      <w:spacing w:before="40" w:after="40"/>
    </w:pPr>
  </w:style>
  <w:style w:type="character" w:customStyle="1" w:styleId="SpecialBold">
    <w:name w:val="Special Bold"/>
    <w:basedOn w:val="DefaultParagraphFont"/>
    <w:rsid w:val="00CC019C"/>
    <w:rPr>
      <w:b/>
      <w:spacing w:val="0"/>
    </w:rPr>
  </w:style>
  <w:style w:type="paragraph" w:styleId="ListBullet2">
    <w:name w:val="List Bullet 2"/>
    <w:basedOn w:val="List2"/>
    <w:rsid w:val="00CC019C"/>
    <w:pPr>
      <w:numPr>
        <w:numId w:val="13"/>
      </w:numPr>
      <w:tabs>
        <w:tab w:val="clear" w:pos="680"/>
      </w:tabs>
    </w:pPr>
  </w:style>
  <w:style w:type="character" w:styleId="Emphasis">
    <w:name w:val="Emphasis"/>
    <w:basedOn w:val="DefaultParagraphFont"/>
    <w:qFormat/>
    <w:rsid w:val="00CC019C"/>
    <w:rPr>
      <w:i/>
    </w:rPr>
  </w:style>
  <w:style w:type="paragraph" w:customStyle="1" w:styleId="SuperHeading">
    <w:name w:val="SuperHeading"/>
    <w:basedOn w:val="Normal"/>
    <w:rsid w:val="00CC019C"/>
    <w:pPr>
      <w:spacing w:before="240" w:after="120"/>
      <w:outlineLvl w:val="0"/>
    </w:pPr>
    <w:rPr>
      <w:rFonts w:ascii="Times New Roman" w:hAnsi="Times New Roman"/>
      <w:b/>
      <w:sz w:val="32"/>
    </w:rPr>
  </w:style>
  <w:style w:type="paragraph" w:customStyle="1" w:styleId="AllowPageBreak">
    <w:name w:val="AllowPageBreak"/>
    <w:rsid w:val="00CC01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01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01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01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01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01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01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01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019C"/>
    <w:rPr>
      <w:rFonts w:ascii="Courier New" w:eastAsia="Times New Roman" w:hAnsi="Courier New" w:cs="Times New Roman"/>
      <w:i/>
      <w:szCs w:val="20"/>
      <w:lang w:eastAsia="en-US"/>
    </w:rPr>
  </w:style>
  <w:style w:type="paragraph" w:customStyle="1" w:styleId="HeadingBase">
    <w:name w:val="Heading Base"/>
    <w:rsid w:val="00CC01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019C"/>
    <w:pPr>
      <w:tabs>
        <w:tab w:val="right" w:leader="dot" w:pos="9072"/>
      </w:tabs>
      <w:ind w:left="567"/>
    </w:pPr>
    <w:rPr>
      <w:szCs w:val="22"/>
    </w:rPr>
  </w:style>
  <w:style w:type="paragraph" w:customStyle="1" w:styleId="TOCBase">
    <w:name w:val="TOC Base"/>
    <w:rsid w:val="00CC01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019C"/>
    <w:pPr>
      <w:tabs>
        <w:tab w:val="right" w:leader="dot" w:pos="9072"/>
      </w:tabs>
      <w:spacing w:before="40" w:after="40"/>
      <w:ind w:left="284"/>
    </w:pPr>
    <w:rPr>
      <w:rFonts w:ascii="Times New Roman" w:hAnsi="Times New Roman"/>
    </w:rPr>
  </w:style>
  <w:style w:type="paragraph" w:styleId="TOC1">
    <w:name w:val="toc 1"/>
    <w:basedOn w:val="TOCBase"/>
    <w:next w:val="Normal"/>
    <w:rsid w:val="00CC01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01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019C"/>
    <w:rPr>
      <w:rFonts w:ascii="Times New Roman" w:eastAsia="Times New Roman" w:hAnsi="Times New Roman" w:cs="Times New Roman"/>
      <w:sz w:val="16"/>
      <w:lang w:eastAsia="en-US"/>
    </w:rPr>
  </w:style>
  <w:style w:type="paragraph" w:styleId="Title">
    <w:name w:val="Title"/>
    <w:basedOn w:val="HeadingBase"/>
    <w:link w:val="TitleChar"/>
    <w:qFormat/>
    <w:rsid w:val="00CC019C"/>
    <w:pPr>
      <w:spacing w:before="5040"/>
      <w:jc w:val="center"/>
    </w:pPr>
    <w:rPr>
      <w:sz w:val="48"/>
      <w:szCs w:val="72"/>
      <w:lang w:val="en-US"/>
    </w:rPr>
  </w:style>
  <w:style w:type="character" w:customStyle="1" w:styleId="TitleChar">
    <w:name w:val="Title Char"/>
    <w:basedOn w:val="DefaultParagraphFont"/>
    <w:link w:val="Title"/>
    <w:rsid w:val="00CC01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019C"/>
    <w:pPr>
      <w:tabs>
        <w:tab w:val="left" w:pos="3600"/>
        <w:tab w:val="left" w:pos="3958"/>
      </w:tabs>
    </w:pPr>
  </w:style>
  <w:style w:type="paragraph" w:styleId="List">
    <w:name w:val="List"/>
    <w:basedOn w:val="BodyText"/>
    <w:next w:val="BodyText"/>
    <w:rsid w:val="00CC019C"/>
    <w:pPr>
      <w:tabs>
        <w:tab w:val="left" w:pos="340"/>
      </w:tabs>
      <w:spacing w:before="60" w:after="60"/>
      <w:ind w:left="340" w:hanging="340"/>
    </w:pPr>
  </w:style>
  <w:style w:type="paragraph" w:customStyle="1" w:styleId="Note">
    <w:name w:val="Note"/>
    <w:basedOn w:val="BodyText"/>
    <w:rsid w:val="00CC01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019C"/>
    <w:pPr>
      <w:framePr w:wrap="auto" w:hAnchor="text" w:y="6049"/>
    </w:pPr>
    <w:rPr>
      <w:color w:val="000000"/>
      <w:sz w:val="40"/>
    </w:rPr>
  </w:style>
  <w:style w:type="paragraph" w:customStyle="1" w:styleId="TOCTitle">
    <w:name w:val="TOCTitle"/>
    <w:basedOn w:val="Heading1"/>
    <w:rsid w:val="00CC019C"/>
    <w:pPr>
      <w:spacing w:after="240"/>
      <w:jc w:val="center"/>
      <w:outlineLvl w:val="9"/>
    </w:pPr>
    <w:rPr>
      <w:caps/>
    </w:rPr>
  </w:style>
  <w:style w:type="paragraph" w:customStyle="1" w:styleId="Version">
    <w:name w:val="Version"/>
    <w:rsid w:val="00CC01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019C"/>
    <w:pPr>
      <w:keepNext w:val="0"/>
      <w:tabs>
        <w:tab w:val="right" w:pos="4176"/>
      </w:tabs>
      <w:ind w:left="198" w:hanging="198"/>
    </w:pPr>
    <w:rPr>
      <w:rFonts w:ascii="Garamond" w:hAnsi="Garamond"/>
    </w:rPr>
  </w:style>
  <w:style w:type="paragraph" w:styleId="IndexHeading">
    <w:name w:val="index heading"/>
    <w:basedOn w:val="Normal"/>
    <w:next w:val="Index1"/>
    <w:semiHidden/>
    <w:rsid w:val="00CC019C"/>
    <w:pPr>
      <w:spacing w:before="120" w:after="120"/>
    </w:pPr>
    <w:rPr>
      <w:rFonts w:ascii="Arial" w:hAnsi="Arial"/>
      <w:b/>
      <w:color w:val="918585"/>
      <w:sz w:val="24"/>
    </w:rPr>
  </w:style>
  <w:style w:type="paragraph" w:styleId="Header">
    <w:name w:val="header"/>
    <w:basedOn w:val="Normal"/>
    <w:link w:val="HeaderChar"/>
    <w:rsid w:val="00CC01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019C"/>
    <w:rPr>
      <w:rFonts w:ascii="Times New Roman" w:eastAsia="Times New Roman" w:hAnsi="Times New Roman" w:cs="Times New Roman"/>
      <w:sz w:val="16"/>
      <w:szCs w:val="20"/>
      <w:lang w:val="en-GB" w:eastAsia="en-US"/>
    </w:rPr>
  </w:style>
  <w:style w:type="paragraph" w:customStyle="1" w:styleId="Chapter">
    <w:name w:val="Chapter"/>
    <w:basedOn w:val="Normal"/>
    <w:rsid w:val="00CC019C"/>
    <w:pPr>
      <w:spacing w:before="240"/>
    </w:pPr>
    <w:rPr>
      <w:rFonts w:ascii="Times New Roman" w:hAnsi="Times New Roman"/>
      <w:smallCaps/>
      <w:spacing w:val="80"/>
      <w:sz w:val="28"/>
    </w:rPr>
  </w:style>
  <w:style w:type="paragraph" w:customStyle="1" w:styleId="InChapter">
    <w:name w:val="InChapter"/>
    <w:basedOn w:val="Heading3"/>
    <w:rsid w:val="00CC019C"/>
    <w:pPr>
      <w:spacing w:after="240"/>
      <w:outlineLvl w:val="9"/>
    </w:pPr>
    <w:rPr>
      <w:noProof/>
    </w:rPr>
  </w:style>
  <w:style w:type="paragraph" w:styleId="Index2">
    <w:name w:val="index 2"/>
    <w:basedOn w:val="Normal"/>
    <w:next w:val="Normal"/>
    <w:semiHidden/>
    <w:rsid w:val="00CC019C"/>
    <w:pPr>
      <w:tabs>
        <w:tab w:val="right" w:pos="4176"/>
      </w:tabs>
      <w:ind w:left="568" w:hanging="284"/>
    </w:pPr>
    <w:rPr>
      <w:rFonts w:ascii="Garamond" w:hAnsi="Garamond"/>
    </w:rPr>
  </w:style>
  <w:style w:type="paragraph" w:customStyle="1" w:styleId="Byline">
    <w:name w:val="Byline"/>
    <w:rsid w:val="00CC01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019C"/>
    <w:pPr>
      <w:tabs>
        <w:tab w:val="clear" w:pos="3600"/>
        <w:tab w:val="clear" w:pos="3958"/>
      </w:tabs>
      <w:jc w:val="right"/>
    </w:pPr>
  </w:style>
  <w:style w:type="paragraph" w:styleId="Caption">
    <w:name w:val="caption"/>
    <w:basedOn w:val="BodyText"/>
    <w:next w:val="Normal"/>
    <w:qFormat/>
    <w:rsid w:val="00CC019C"/>
    <w:pPr>
      <w:framePr w:w="2268" w:hSpace="181" w:vSpace="181" w:wrap="around" w:vAnchor="text" w:hAnchor="page" w:x="1135" w:y="285" w:anchorLock="1"/>
    </w:pPr>
    <w:rPr>
      <w:i/>
    </w:rPr>
  </w:style>
  <w:style w:type="paragraph" w:customStyle="1" w:styleId="MiniTOCTitle">
    <w:name w:val="MiniTOCTitle"/>
    <w:basedOn w:val="Heading4"/>
    <w:rsid w:val="00CC019C"/>
    <w:pPr>
      <w:spacing w:before="240"/>
      <w:outlineLvl w:val="9"/>
    </w:pPr>
    <w:rPr>
      <w:noProof/>
      <w:sz w:val="24"/>
    </w:rPr>
  </w:style>
  <w:style w:type="paragraph" w:customStyle="1" w:styleId="MiniTOCItem">
    <w:name w:val="MiniTOCItem"/>
    <w:basedOn w:val="ListBullet"/>
    <w:rsid w:val="00CC019C"/>
    <w:pPr>
      <w:numPr>
        <w:numId w:val="0"/>
      </w:numPr>
      <w:tabs>
        <w:tab w:val="right" w:leader="dot" w:pos="6521"/>
      </w:tabs>
      <w:spacing w:before="0" w:after="0"/>
    </w:pPr>
  </w:style>
  <w:style w:type="paragraph" w:customStyle="1" w:styleId="TOFTitle">
    <w:name w:val="TOFTitle"/>
    <w:basedOn w:val="TOCTitle"/>
    <w:rsid w:val="00CC019C"/>
  </w:style>
  <w:style w:type="paragraph" w:styleId="TableofFigures">
    <w:name w:val="table of figures"/>
    <w:basedOn w:val="Normal"/>
    <w:next w:val="Normal"/>
    <w:semiHidden/>
    <w:rsid w:val="00CC019C"/>
    <w:pPr>
      <w:tabs>
        <w:tab w:val="right" w:leader="dot" w:pos="9072"/>
      </w:tabs>
      <w:ind w:left="970" w:hanging="403"/>
    </w:pPr>
    <w:rPr>
      <w:rFonts w:ascii="Times New Roman" w:hAnsi="Times New Roman"/>
      <w:b/>
    </w:rPr>
  </w:style>
  <w:style w:type="paragraph" w:styleId="ListNumber">
    <w:name w:val="List Number"/>
    <w:basedOn w:val="List"/>
    <w:rsid w:val="00CC019C"/>
    <w:pPr>
      <w:numPr>
        <w:numId w:val="15"/>
      </w:numPr>
      <w:tabs>
        <w:tab w:val="clear" w:pos="340"/>
      </w:tabs>
    </w:pPr>
  </w:style>
  <w:style w:type="character" w:customStyle="1" w:styleId="WingdingSymbols">
    <w:name w:val="Wingding Symbols"/>
    <w:rsid w:val="00CC019C"/>
    <w:rPr>
      <w:rFonts w:ascii="Wingdings" w:hAnsi="Wingdings"/>
    </w:rPr>
  </w:style>
  <w:style w:type="paragraph" w:customStyle="1" w:styleId="TableHeading">
    <w:name w:val="Table Heading"/>
    <w:basedOn w:val="HeadingBase"/>
    <w:rsid w:val="00CC019C"/>
    <w:pPr>
      <w:keepLines/>
      <w:pBdr>
        <w:bottom w:val="single" w:sz="6" w:space="1" w:color="918585"/>
      </w:pBdr>
      <w:spacing w:before="240"/>
    </w:pPr>
  </w:style>
  <w:style w:type="character" w:customStyle="1" w:styleId="HotSpot">
    <w:name w:val="HotSpot"/>
    <w:rsid w:val="00CC019C"/>
    <w:rPr>
      <w:color w:val="0033CC"/>
      <w:u w:val="none"/>
    </w:rPr>
  </w:style>
  <w:style w:type="paragraph" w:customStyle="1" w:styleId="BodyTextRight">
    <w:name w:val="Body Text Right"/>
    <w:basedOn w:val="BodyText"/>
    <w:rsid w:val="00CC019C"/>
    <w:pPr>
      <w:spacing w:before="0" w:after="0"/>
      <w:jc w:val="right"/>
    </w:pPr>
  </w:style>
  <w:style w:type="paragraph" w:styleId="Index3">
    <w:name w:val="index 3"/>
    <w:basedOn w:val="ListNumber2"/>
    <w:next w:val="Normal"/>
    <w:semiHidden/>
    <w:rsid w:val="00CC019C"/>
    <w:pPr>
      <w:numPr>
        <w:numId w:val="0"/>
      </w:numPr>
      <w:tabs>
        <w:tab w:val="right" w:leader="dot" w:pos="4176"/>
      </w:tabs>
    </w:pPr>
  </w:style>
  <w:style w:type="paragraph" w:styleId="ListNumber2">
    <w:name w:val="List Number 2"/>
    <w:basedOn w:val="List2"/>
    <w:rsid w:val="00CC019C"/>
    <w:pPr>
      <w:numPr>
        <w:numId w:val="10"/>
      </w:numPr>
      <w:tabs>
        <w:tab w:val="clear" w:pos="1060"/>
      </w:tabs>
    </w:pPr>
  </w:style>
  <w:style w:type="paragraph" w:customStyle="1" w:styleId="MarginNote">
    <w:name w:val="Margin Note"/>
    <w:basedOn w:val="BodyText"/>
    <w:rsid w:val="00CC01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01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01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019C"/>
    <w:rPr>
      <w:sz w:val="32"/>
    </w:rPr>
  </w:style>
  <w:style w:type="paragraph" w:customStyle="1" w:styleId="HeadingProcedure">
    <w:name w:val="Heading Procedure"/>
    <w:basedOn w:val="HeadingBase"/>
    <w:next w:val="Normal"/>
    <w:rsid w:val="00CC019C"/>
    <w:pPr>
      <w:tabs>
        <w:tab w:val="left" w:pos="0"/>
      </w:tabs>
      <w:spacing w:before="120" w:after="60"/>
    </w:pPr>
    <w:rPr>
      <w:i/>
      <w:color w:val="918585"/>
      <w:sz w:val="22"/>
    </w:rPr>
  </w:style>
  <w:style w:type="paragraph" w:customStyle="1" w:styleId="TableBodyText">
    <w:name w:val="Table Body Text"/>
    <w:basedOn w:val="BodyText"/>
    <w:rsid w:val="00CC019C"/>
    <w:pPr>
      <w:spacing w:before="60" w:after="60"/>
    </w:pPr>
  </w:style>
  <w:style w:type="paragraph" w:styleId="ListContinue">
    <w:name w:val="List Continue"/>
    <w:basedOn w:val="List"/>
    <w:rsid w:val="00CC019C"/>
    <w:pPr>
      <w:ind w:firstLine="0"/>
    </w:pPr>
  </w:style>
  <w:style w:type="paragraph" w:customStyle="1" w:styleId="ListNote">
    <w:name w:val="List Note"/>
    <w:basedOn w:val="List"/>
    <w:rsid w:val="00CC019C"/>
    <w:pPr>
      <w:pBdr>
        <w:top w:val="single" w:sz="6" w:space="2" w:color="918585"/>
        <w:bottom w:val="single" w:sz="6" w:space="2" w:color="918585"/>
      </w:pBdr>
      <w:tabs>
        <w:tab w:val="left" w:pos="1021"/>
      </w:tabs>
      <w:ind w:firstLine="0"/>
    </w:pPr>
  </w:style>
  <w:style w:type="paragraph" w:customStyle="1" w:styleId="Warning">
    <w:name w:val="Warning"/>
    <w:basedOn w:val="BodyText"/>
    <w:rsid w:val="00CC019C"/>
    <w:pPr>
      <w:shd w:val="clear" w:color="auto" w:fill="D9D9D9"/>
      <w:tabs>
        <w:tab w:val="left" w:pos="992"/>
      </w:tabs>
      <w:ind w:left="119" w:right="119"/>
    </w:pPr>
    <w:rPr>
      <w:sz w:val="20"/>
    </w:rPr>
  </w:style>
  <w:style w:type="paragraph" w:customStyle="1" w:styleId="MarginIcons">
    <w:name w:val="Margin Icons"/>
    <w:basedOn w:val="BodyText"/>
    <w:rsid w:val="00CC01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019C"/>
    <w:rPr>
      <w:rFonts w:ascii="Courier New" w:hAnsi="Courier New"/>
    </w:rPr>
  </w:style>
  <w:style w:type="paragraph" w:customStyle="1" w:styleId="NoteBullet">
    <w:name w:val="Note Bullet"/>
    <w:basedOn w:val="Note"/>
    <w:rsid w:val="00CC019C"/>
    <w:pPr>
      <w:tabs>
        <w:tab w:val="clear" w:pos="680"/>
      </w:tabs>
      <w:spacing w:before="60" w:after="60"/>
    </w:pPr>
  </w:style>
  <w:style w:type="paragraph" w:customStyle="1" w:styleId="SubHeading2">
    <w:name w:val="SubHeading2"/>
    <w:basedOn w:val="HeadingBase"/>
    <w:rsid w:val="00CC019C"/>
    <w:pPr>
      <w:spacing w:before="240" w:after="60"/>
    </w:pPr>
    <w:rPr>
      <w:sz w:val="20"/>
    </w:rPr>
  </w:style>
  <w:style w:type="paragraph" w:customStyle="1" w:styleId="SubHeading1">
    <w:name w:val="SubHeading1"/>
    <w:basedOn w:val="HeadingBase"/>
    <w:rsid w:val="00CC019C"/>
    <w:pPr>
      <w:spacing w:before="240" w:after="60"/>
    </w:pPr>
    <w:rPr>
      <w:color w:val="918585"/>
      <w:sz w:val="22"/>
    </w:rPr>
  </w:style>
  <w:style w:type="paragraph" w:customStyle="1" w:styleId="SideHeading">
    <w:name w:val="Side Heading"/>
    <w:basedOn w:val="HeadingBase"/>
    <w:rsid w:val="00CC01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019C"/>
    <w:pPr>
      <w:tabs>
        <w:tab w:val="num" w:pos="360"/>
      </w:tabs>
    </w:pPr>
  </w:style>
  <w:style w:type="paragraph" w:styleId="PlainText">
    <w:name w:val="Plain Text"/>
    <w:basedOn w:val="Normal"/>
    <w:link w:val="PlainTextChar"/>
    <w:rsid w:val="00CC019C"/>
    <w:rPr>
      <w:sz w:val="20"/>
    </w:rPr>
  </w:style>
  <w:style w:type="character" w:customStyle="1" w:styleId="PlainTextChar">
    <w:name w:val="Plain Text Char"/>
    <w:basedOn w:val="DefaultParagraphFont"/>
    <w:link w:val="PlainText"/>
    <w:rsid w:val="00CC019C"/>
    <w:rPr>
      <w:rFonts w:ascii="Courier New" w:eastAsia="Times New Roman" w:hAnsi="Courier New" w:cs="Times New Roman"/>
      <w:sz w:val="20"/>
      <w:szCs w:val="20"/>
      <w:lang w:eastAsia="en-US"/>
    </w:rPr>
  </w:style>
  <w:style w:type="character" w:customStyle="1" w:styleId="MenuOption">
    <w:name w:val="Menu Option"/>
    <w:basedOn w:val="DefaultParagraphFont"/>
    <w:rsid w:val="00CC019C"/>
    <w:rPr>
      <w:b/>
      <w:smallCaps/>
    </w:rPr>
  </w:style>
  <w:style w:type="paragraph" w:customStyle="1" w:styleId="TableListNumber">
    <w:name w:val="Table List Number"/>
    <w:basedOn w:val="ListNumber"/>
    <w:rsid w:val="00CC019C"/>
    <w:pPr>
      <w:numPr>
        <w:numId w:val="0"/>
      </w:numPr>
    </w:pPr>
  </w:style>
  <w:style w:type="paragraph" w:styleId="TOC4">
    <w:name w:val="toc 4"/>
    <w:basedOn w:val="TOCBase"/>
    <w:next w:val="Normal"/>
    <w:semiHidden/>
    <w:rsid w:val="00CC019C"/>
    <w:pPr>
      <w:tabs>
        <w:tab w:val="right" w:leader="dot" w:pos="9071"/>
      </w:tabs>
      <w:ind w:left="1701"/>
    </w:pPr>
  </w:style>
  <w:style w:type="paragraph" w:customStyle="1" w:styleId="ListAlpha">
    <w:name w:val="List Alpha"/>
    <w:basedOn w:val="List"/>
    <w:rsid w:val="00CC019C"/>
    <w:pPr>
      <w:numPr>
        <w:numId w:val="9"/>
      </w:numPr>
    </w:pPr>
  </w:style>
  <w:style w:type="paragraph" w:customStyle="1" w:styleId="ListAlpha2">
    <w:name w:val="List Alpha 2"/>
    <w:basedOn w:val="List2"/>
    <w:rsid w:val="00CC019C"/>
    <w:pPr>
      <w:numPr>
        <w:numId w:val="8"/>
      </w:numPr>
    </w:pPr>
  </w:style>
  <w:style w:type="paragraph" w:styleId="List2">
    <w:name w:val="List 2"/>
    <w:basedOn w:val="BodyText"/>
    <w:rsid w:val="00CC019C"/>
    <w:pPr>
      <w:tabs>
        <w:tab w:val="left" w:pos="680"/>
      </w:tabs>
      <w:spacing w:before="60" w:after="60"/>
      <w:ind w:left="680" w:hanging="340"/>
    </w:pPr>
  </w:style>
  <w:style w:type="paragraph" w:styleId="List3">
    <w:name w:val="List 3"/>
    <w:basedOn w:val="BodyText"/>
    <w:rsid w:val="00CC019C"/>
    <w:pPr>
      <w:tabs>
        <w:tab w:val="left" w:pos="1021"/>
      </w:tabs>
      <w:spacing w:before="60" w:after="60"/>
      <w:ind w:left="1020" w:hanging="340"/>
    </w:pPr>
  </w:style>
  <w:style w:type="paragraph" w:styleId="List4">
    <w:name w:val="List 4"/>
    <w:basedOn w:val="BodyText"/>
    <w:rsid w:val="00CC019C"/>
    <w:pPr>
      <w:tabs>
        <w:tab w:val="left" w:pos="1361"/>
      </w:tabs>
      <w:spacing w:before="60" w:after="60"/>
      <w:ind w:left="1361" w:hanging="340"/>
    </w:pPr>
  </w:style>
  <w:style w:type="paragraph" w:styleId="List5">
    <w:name w:val="List 5"/>
    <w:basedOn w:val="BodyText"/>
    <w:rsid w:val="00CC019C"/>
    <w:pPr>
      <w:tabs>
        <w:tab w:val="left" w:pos="1701"/>
      </w:tabs>
      <w:spacing w:before="60" w:after="60"/>
      <w:ind w:left="1701" w:hanging="340"/>
    </w:pPr>
  </w:style>
  <w:style w:type="paragraph" w:styleId="ListBullet3">
    <w:name w:val="List Bullet 3"/>
    <w:basedOn w:val="List3"/>
    <w:rsid w:val="00CC019C"/>
    <w:pPr>
      <w:numPr>
        <w:numId w:val="14"/>
      </w:numPr>
      <w:tabs>
        <w:tab w:val="clear" w:pos="1021"/>
      </w:tabs>
      <w:ind w:left="1037" w:hanging="357"/>
    </w:pPr>
  </w:style>
  <w:style w:type="paragraph" w:styleId="ListBullet4">
    <w:name w:val="List Bullet 4"/>
    <w:basedOn w:val="List4"/>
    <w:rsid w:val="00CC019C"/>
    <w:pPr>
      <w:numPr>
        <w:numId w:val="3"/>
      </w:numPr>
      <w:tabs>
        <w:tab w:val="clear" w:pos="1361"/>
      </w:tabs>
    </w:pPr>
  </w:style>
  <w:style w:type="paragraph" w:styleId="ListBullet5">
    <w:name w:val="List Bullet 5"/>
    <w:basedOn w:val="List5"/>
    <w:rsid w:val="00CC019C"/>
    <w:pPr>
      <w:numPr>
        <w:numId w:val="4"/>
      </w:numPr>
    </w:pPr>
  </w:style>
  <w:style w:type="paragraph" w:styleId="ListContinue2">
    <w:name w:val="List Continue 2"/>
    <w:basedOn w:val="List2"/>
    <w:rsid w:val="00CC019C"/>
    <w:pPr>
      <w:ind w:firstLine="0"/>
    </w:pPr>
  </w:style>
  <w:style w:type="paragraph" w:styleId="ListContinue3">
    <w:name w:val="List Continue 3"/>
    <w:basedOn w:val="List3"/>
    <w:rsid w:val="00CC019C"/>
    <w:pPr>
      <w:ind w:left="1021" w:firstLine="0"/>
    </w:pPr>
  </w:style>
  <w:style w:type="paragraph" w:styleId="ListContinue4">
    <w:name w:val="List Continue 4"/>
    <w:basedOn w:val="List4"/>
    <w:rsid w:val="00CC019C"/>
    <w:pPr>
      <w:ind w:firstLine="0"/>
    </w:pPr>
  </w:style>
  <w:style w:type="paragraph" w:styleId="ListContinue5">
    <w:name w:val="List Continue 5"/>
    <w:basedOn w:val="List5"/>
    <w:rsid w:val="00CC019C"/>
    <w:pPr>
      <w:ind w:firstLine="0"/>
    </w:pPr>
  </w:style>
  <w:style w:type="paragraph" w:styleId="ListNumber3">
    <w:name w:val="List Number 3"/>
    <w:basedOn w:val="List3"/>
    <w:rsid w:val="00CC019C"/>
    <w:pPr>
      <w:numPr>
        <w:numId w:val="5"/>
      </w:numPr>
    </w:pPr>
  </w:style>
  <w:style w:type="paragraph" w:styleId="ListNumber4">
    <w:name w:val="List Number 4"/>
    <w:basedOn w:val="List4"/>
    <w:rsid w:val="00CC019C"/>
    <w:pPr>
      <w:numPr>
        <w:numId w:val="6"/>
      </w:numPr>
    </w:pPr>
  </w:style>
  <w:style w:type="paragraph" w:styleId="ListNumber5">
    <w:name w:val="List Number 5"/>
    <w:basedOn w:val="List5"/>
    <w:rsid w:val="00CC019C"/>
    <w:pPr>
      <w:numPr>
        <w:numId w:val="7"/>
      </w:numPr>
    </w:pPr>
  </w:style>
  <w:style w:type="paragraph" w:styleId="BlockText">
    <w:name w:val="Block Text"/>
    <w:basedOn w:val="Normal"/>
    <w:rsid w:val="00CC019C"/>
    <w:pPr>
      <w:spacing w:after="120"/>
      <w:ind w:left="1440" w:right="1440"/>
    </w:pPr>
  </w:style>
  <w:style w:type="character" w:customStyle="1" w:styleId="Subscript">
    <w:name w:val="Subscript"/>
    <w:basedOn w:val="DefaultParagraphFont"/>
    <w:rsid w:val="00CC019C"/>
    <w:rPr>
      <w:sz w:val="16"/>
      <w:vertAlign w:val="subscript"/>
    </w:rPr>
  </w:style>
  <w:style w:type="character" w:customStyle="1" w:styleId="Superscript">
    <w:name w:val="Superscript"/>
    <w:basedOn w:val="DefaultParagraphFont"/>
    <w:rsid w:val="00CC019C"/>
    <w:rPr>
      <w:sz w:val="16"/>
      <w:vertAlign w:val="superscript"/>
    </w:rPr>
  </w:style>
  <w:style w:type="character" w:customStyle="1" w:styleId="Symbols">
    <w:name w:val="Symbols"/>
    <w:basedOn w:val="DefaultParagraphFont"/>
    <w:rsid w:val="00CC019C"/>
    <w:rPr>
      <w:rFonts w:ascii="Symbol" w:hAnsi="Symbol"/>
    </w:rPr>
  </w:style>
  <w:style w:type="character" w:customStyle="1" w:styleId="MenuOptions">
    <w:name w:val="Menu Options"/>
    <w:basedOn w:val="DefaultParagraphFont"/>
    <w:rsid w:val="00CC019C"/>
    <w:rPr>
      <w:rFonts w:ascii="Arial Narrow" w:hAnsi="Arial Narrow"/>
      <w:smallCaps/>
    </w:rPr>
  </w:style>
  <w:style w:type="character" w:customStyle="1" w:styleId="Buttons">
    <w:name w:val="Buttons"/>
    <w:basedOn w:val="DefaultParagraphFont"/>
    <w:rsid w:val="00CC019C"/>
    <w:rPr>
      <w:b/>
    </w:rPr>
  </w:style>
  <w:style w:type="character" w:customStyle="1" w:styleId="Underlined">
    <w:name w:val="Underlined"/>
    <w:basedOn w:val="DefaultParagraphFont"/>
    <w:rsid w:val="00CC019C"/>
    <w:rPr>
      <w:u w:val="single"/>
    </w:rPr>
  </w:style>
  <w:style w:type="paragraph" w:customStyle="1" w:styleId="TableBodyTextRight">
    <w:name w:val="Table Body Text Right"/>
    <w:basedOn w:val="TableBodyText"/>
    <w:rsid w:val="00CC019C"/>
    <w:pPr>
      <w:widowControl w:val="0"/>
      <w:autoSpaceDE w:val="0"/>
      <w:autoSpaceDN w:val="0"/>
      <w:adjustRightInd w:val="0"/>
      <w:jc w:val="right"/>
    </w:pPr>
    <w:rPr>
      <w:rFonts w:cs="Arial"/>
      <w:szCs w:val="18"/>
    </w:rPr>
  </w:style>
  <w:style w:type="paragraph" w:customStyle="1" w:styleId="CopyrightText">
    <w:name w:val="Copyright Text"/>
    <w:basedOn w:val="BodyText"/>
    <w:rsid w:val="00CC019C"/>
    <w:rPr>
      <w:sz w:val="18"/>
    </w:rPr>
  </w:style>
  <w:style w:type="paragraph" w:customStyle="1" w:styleId="BodySmallRight">
    <w:name w:val="Body Small Right"/>
    <w:basedOn w:val="BodyTextRight"/>
    <w:rsid w:val="00CC019C"/>
    <w:rPr>
      <w:sz w:val="18"/>
      <w:szCs w:val="18"/>
    </w:rPr>
  </w:style>
  <w:style w:type="paragraph" w:customStyle="1" w:styleId="MarginEdition">
    <w:name w:val="Margin Edition"/>
    <w:basedOn w:val="MarginNote"/>
    <w:rsid w:val="00CC019C"/>
    <w:pPr>
      <w:spacing w:before="0" w:after="0"/>
    </w:pPr>
    <w:rPr>
      <w:rFonts w:ascii="Times New Roman" w:hAnsi="Times New Roman"/>
      <w:color w:val="999999"/>
    </w:rPr>
  </w:style>
  <w:style w:type="paragraph" w:customStyle="1" w:styleId="Spacer">
    <w:name w:val="Spacer"/>
    <w:basedOn w:val="Normal"/>
    <w:rsid w:val="00CC019C"/>
    <w:rPr>
      <w:sz w:val="2"/>
      <w:szCs w:val="2"/>
    </w:rPr>
  </w:style>
  <w:style w:type="character" w:customStyle="1" w:styleId="Small">
    <w:name w:val="Small"/>
    <w:basedOn w:val="DefaultParagraphFont"/>
    <w:rsid w:val="00CC019C"/>
    <w:rPr>
      <w:sz w:val="16"/>
    </w:rPr>
  </w:style>
  <w:style w:type="paragraph" w:customStyle="1" w:styleId="WideTable">
    <w:name w:val="Wide Table"/>
    <w:basedOn w:val="Normal"/>
    <w:rsid w:val="00CC019C"/>
    <w:pPr>
      <w:ind w:left="-1418"/>
    </w:pPr>
    <w:rPr>
      <w:sz w:val="2"/>
      <w:szCs w:val="2"/>
    </w:rPr>
  </w:style>
  <w:style w:type="character" w:styleId="PageNumber">
    <w:name w:val="page number"/>
    <w:basedOn w:val="DefaultParagraphFont"/>
    <w:rsid w:val="00CC019C"/>
  </w:style>
  <w:style w:type="paragraph" w:styleId="Quote">
    <w:name w:val="Quote"/>
    <w:basedOn w:val="Heading1"/>
    <w:link w:val="QuoteChar"/>
    <w:qFormat/>
    <w:rsid w:val="00CC019C"/>
    <w:rPr>
      <w:b w:val="0"/>
      <w:sz w:val="72"/>
      <w:szCs w:val="72"/>
      <w:lang w:val="en-NZ"/>
    </w:rPr>
  </w:style>
  <w:style w:type="character" w:customStyle="1" w:styleId="QuoteChar">
    <w:name w:val="Quote Char"/>
    <w:basedOn w:val="DefaultParagraphFont"/>
    <w:link w:val="Quote"/>
    <w:rsid w:val="00CC01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019C"/>
    <w:pPr>
      <w:pageBreakBefore/>
    </w:pPr>
  </w:style>
  <w:style w:type="paragraph" w:customStyle="1" w:styleId="Border">
    <w:name w:val="Border"/>
    <w:basedOn w:val="Normal"/>
    <w:qFormat/>
    <w:rsid w:val="00CC01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019C"/>
    <w:rPr>
      <w:b/>
      <w:bCs/>
      <w:i/>
      <w:iCs/>
      <w:color w:val="auto"/>
    </w:rPr>
  </w:style>
  <w:style w:type="paragraph" w:styleId="IntenseQuote">
    <w:name w:val="Intense Quote"/>
    <w:basedOn w:val="Normal"/>
    <w:next w:val="Normal"/>
    <w:link w:val="IntenseQuoteChar"/>
    <w:uiPriority w:val="30"/>
    <w:qFormat/>
    <w:rsid w:val="00CC01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01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019C"/>
    <w:rPr>
      <w:smallCaps/>
      <w:color w:val="auto"/>
      <w:u w:val="single"/>
    </w:rPr>
  </w:style>
  <w:style w:type="character" w:styleId="IntenseReference">
    <w:name w:val="Intense Reference"/>
    <w:basedOn w:val="DefaultParagraphFont"/>
    <w:uiPriority w:val="32"/>
    <w:qFormat/>
    <w:rsid w:val="00CC019C"/>
    <w:rPr>
      <w:b/>
      <w:bCs/>
      <w:smallCaps/>
      <w:color w:val="auto"/>
      <w:spacing w:val="5"/>
      <w:u w:val="single"/>
    </w:rPr>
  </w:style>
  <w:style w:type="paragraph" w:customStyle="1" w:styleId="2ColumnHeading">
    <w:name w:val="2Column Heading"/>
    <w:basedOn w:val="BodyText"/>
    <w:qFormat/>
    <w:rsid w:val="00CC019C"/>
    <w:pPr>
      <w:spacing w:after="60"/>
      <w:ind w:left="-2268"/>
    </w:pPr>
    <w:rPr>
      <w:b/>
    </w:rPr>
  </w:style>
  <w:style w:type="paragraph" w:customStyle="1" w:styleId="Heading1TOC">
    <w:name w:val="Heading1 TOC"/>
    <w:basedOn w:val="Normal"/>
    <w:qFormat/>
    <w:rsid w:val="00CC019C"/>
    <w:pPr>
      <w:spacing w:before="240" w:after="120"/>
    </w:pPr>
    <w:rPr>
      <w:rFonts w:ascii="Times New Roman" w:hAnsi="Times New Roman"/>
      <w:b/>
      <w:sz w:val="32"/>
    </w:rPr>
  </w:style>
  <w:style w:type="paragraph" w:customStyle="1" w:styleId="Heading2TOC">
    <w:name w:val="Heading2 TOC"/>
    <w:basedOn w:val="Normal"/>
    <w:qFormat/>
    <w:rsid w:val="00CC019C"/>
    <w:pPr>
      <w:spacing w:before="240" w:after="60"/>
    </w:pPr>
    <w:rPr>
      <w:rFonts w:ascii="Times New Roman" w:hAnsi="Times New Roman"/>
      <w:b/>
      <w:sz w:val="28"/>
    </w:rPr>
  </w:style>
  <w:style w:type="character" w:customStyle="1" w:styleId="Underline">
    <w:name w:val="Underline"/>
    <w:basedOn w:val="DefaultParagraphFont"/>
    <w:qFormat/>
    <w:rsid w:val="00CC019C"/>
    <w:rPr>
      <w:u w:val="single"/>
    </w:rPr>
  </w:style>
  <w:style w:type="character" w:customStyle="1" w:styleId="BoldandItalics">
    <w:name w:val="Bold and Italics"/>
    <w:qFormat/>
    <w:rsid w:val="00CC019C"/>
    <w:rPr>
      <w:b/>
      <w:i/>
      <w:u w:val="none"/>
    </w:rPr>
  </w:style>
  <w:style w:type="paragraph" w:styleId="BalloonText">
    <w:name w:val="Balloon Text"/>
    <w:basedOn w:val="Normal"/>
    <w:link w:val="BalloonTextChar"/>
    <w:rsid w:val="00CC019C"/>
    <w:rPr>
      <w:rFonts w:ascii="Tahoma" w:hAnsi="Tahoma" w:cs="Tahoma"/>
      <w:sz w:val="16"/>
      <w:szCs w:val="16"/>
    </w:rPr>
  </w:style>
  <w:style w:type="character" w:customStyle="1" w:styleId="BalloonTextChar">
    <w:name w:val="Balloon Text Char"/>
    <w:basedOn w:val="DefaultParagraphFont"/>
    <w:link w:val="BalloonText"/>
    <w:rsid w:val="00CC01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01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01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019C"/>
    <w:rPr>
      <w:b/>
      <w:color w:val="660033"/>
      <w:spacing w:val="0"/>
    </w:rPr>
  </w:style>
  <w:style w:type="paragraph" w:customStyle="1" w:styleId="Nameditemlist">
    <w:name w:val="Named item list"/>
    <w:basedOn w:val="BodyText"/>
    <w:qFormat/>
    <w:rsid w:val="00CC019C"/>
    <w:pPr>
      <w:tabs>
        <w:tab w:val="left" w:pos="2835"/>
      </w:tabs>
      <w:ind w:left="2835" w:hanging="2835"/>
    </w:pPr>
  </w:style>
  <w:style w:type="paragraph" w:customStyle="1" w:styleId="BodyTextnopadding">
    <w:name w:val="Body Text no padding"/>
    <w:basedOn w:val="BodyText"/>
    <w:qFormat/>
    <w:rsid w:val="00CC019C"/>
    <w:pPr>
      <w:spacing w:before="0" w:after="0"/>
    </w:pPr>
  </w:style>
  <w:style w:type="paragraph" w:customStyle="1" w:styleId="BodyTextBold">
    <w:name w:val="Body Text Bold"/>
    <w:basedOn w:val="BodyText"/>
    <w:qFormat/>
    <w:rsid w:val="00CC019C"/>
    <w:rPr>
      <w:b/>
    </w:rPr>
  </w:style>
  <w:style w:type="character" w:styleId="Hyperlink">
    <w:name w:val="Hyperlink"/>
    <w:basedOn w:val="DefaultParagraphFont"/>
    <w:uiPriority w:val="99"/>
    <w:unhideWhenUsed/>
    <w:rsid w:val="00D855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1141</Words>
  <Characters>6975</Characters>
  <Application>Microsoft Office Word</Application>
  <DocSecurity>0</DocSecurity>
  <Lines>279</Lines>
  <Paragraphs>172</Paragraphs>
  <ScaleCrop>false</ScaleCrop>
  <Company>Author-it Software Corporation Ltd.</Company>
  <LinksUpToDate>false</LinksUpToDate>
  <CharactersWithSpaces>7944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MEM04002 Perform gravity die casting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2025-03-01T11:35:00Z</dcterms:created>
  <dcterms:modified xsi:type="dcterms:W3CDTF">2025-03-01T11:35:00Z</dcterms:modified>
</cp:coreProperties>
</file>