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A84" w:rsidP="00505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MEM04002 Perform gravity die casting</w:t>
      </w:r>
      <w:r>
        <w:fldChar w:fldCharType="end"/>
      </w:r>
    </w:p>
    <w:p w:rsidR="00505A84" w:rsidP="00505A84">
      <w:pPr>
        <w:pStyle w:val="Version"/>
        <w:sectPr w:rsidSect="00A30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7BC" w:rsidP="00A307BC">
      <w:pPr>
        <w:pStyle w:val="SuperHeading"/>
      </w:pPr>
      <w:r w:rsidRPr="00A307BC">
        <w:t>Assessment Requirements for MEM04002 Perform gravity die casting</w:t>
      </w:r>
    </w:p>
    <w:p w:rsidR="00000000" w:rsidRPr="00A307BC" w:rsidP="00A307BC">
      <w:pPr>
        <w:pStyle w:val="Heading1"/>
      </w:pPr>
      <w:bookmarkStart w:id="1" w:name="O_942905"/>
      <w:bookmarkEnd w:id="1"/>
      <w:r w:rsidRPr="00A307BC">
        <w:t>Modification History</w:t>
      </w:r>
    </w:p>
    <w:p w:rsidR="00000000" w:rsidRPr="00A307BC" w:rsidP="00505A84">
      <w:pPr>
        <w:pStyle w:val="BodyText"/>
      </w:pPr>
      <w:r w:rsidRPr="00A307BC">
        <w:t xml:space="preserve">Release 1. Supersedes and is equivalent to MEM04002B Perform gravity die casting </w:t>
      </w:r>
    </w:p>
    <w:p w:rsidR="00000000" w:rsidRPr="00A307BC" w:rsidP="00A307BC">
      <w:pPr>
        <w:pStyle w:val="Heading1"/>
      </w:pPr>
      <w:bookmarkStart w:id="2" w:name="O_942908"/>
      <w:bookmarkEnd w:id="2"/>
      <w:r w:rsidRPr="00A307BC">
        <w:t>Performance Evidence</w:t>
      </w:r>
    </w:p>
    <w:p w:rsidR="00000000" w:rsidRPr="00A307BC" w:rsidP="00505A84">
      <w:pPr>
        <w:pStyle w:val="BodyText"/>
      </w:pPr>
      <w:r w:rsidRPr="00A307BC">
        <w:t>Evidence required to demonstrate competence in this unit must be relevant to and satisfy the requirements of the elements and performance criteria on at least two (2) occasions and include:</w:t>
      </w:r>
    </w:p>
    <w:p w:rsidR="00000000" w:rsidRPr="00A307BC" w:rsidP="00A307BC">
      <w:pPr>
        <w:pStyle w:val="ListBullet"/>
      </w:pPr>
      <w:r w:rsidRPr="00A307BC">
        <w:t>following work instructions, standard operating procedures (SOPs)</w:t>
      </w:r>
      <w:r w:rsidRPr="00A307BC">
        <w:t xml:space="preserve"> and safe work practices </w:t>
      </w:r>
    </w:p>
    <w:p w:rsidR="00000000" w:rsidRPr="00A307BC" w:rsidP="00A307BC">
      <w:pPr>
        <w:pStyle w:val="ListBullet"/>
      </w:pPr>
      <w:r w:rsidRPr="00A307BC">
        <w:t>identifying and interpreting specifications and other applicable reference documents for gravity die casting operation</w:t>
      </w:r>
    </w:p>
    <w:p w:rsidR="00000000" w:rsidRPr="00A307BC" w:rsidP="00A307BC">
      <w:pPr>
        <w:pStyle w:val="ListBullet"/>
      </w:pPr>
      <w:r w:rsidRPr="00A307BC">
        <w:t>preparing equipment for gravity die casting, including:</w:t>
      </w:r>
    </w:p>
    <w:p w:rsidR="00000000" w:rsidRPr="00A307BC" w:rsidP="00A307BC">
      <w:pPr>
        <w:pStyle w:val="ListBullet2"/>
      </w:pPr>
      <w:r w:rsidRPr="00A307BC">
        <w:t>mixing and applying die coat in correct proportion and</w:t>
      </w:r>
      <w:r w:rsidRPr="00A307BC">
        <w:t xml:space="preserve"> sequence </w:t>
      </w:r>
    </w:p>
    <w:p w:rsidR="00000000" w:rsidRPr="00A307BC" w:rsidP="00A307BC">
      <w:pPr>
        <w:pStyle w:val="ListBullet2"/>
      </w:pPr>
      <w:r w:rsidRPr="00A307BC">
        <w:t>lifting and maintaining die temperatures at the correct level</w:t>
      </w:r>
    </w:p>
    <w:p w:rsidR="00000000" w:rsidRPr="00A307BC" w:rsidP="00A307BC">
      <w:pPr>
        <w:pStyle w:val="ListBullet2"/>
      </w:pPr>
      <w:r w:rsidRPr="00A307BC">
        <w:t>locating, placing securing die on machine and attaching air cooling if required</w:t>
      </w:r>
    </w:p>
    <w:p w:rsidR="00000000" w:rsidRPr="00A307BC" w:rsidP="00A307BC">
      <w:pPr>
        <w:pStyle w:val="ListBullet"/>
      </w:pPr>
      <w:r w:rsidRPr="00A307BC">
        <w:t>carrying out manual pouring in a continuous and appropriate rate that reduces porosity and lamination,</w:t>
      </w:r>
      <w:r w:rsidRPr="00A307BC">
        <w:t xml:space="preserve"> avoiding conditions that can contribute to inferior castings or rejects</w:t>
      </w:r>
    </w:p>
    <w:p w:rsidR="00000000" w:rsidRPr="00A307BC" w:rsidP="00A307BC">
      <w:pPr>
        <w:pStyle w:val="ListBullet"/>
      </w:pPr>
      <w:r w:rsidRPr="00A307BC">
        <w:t>removing and storing components and removing any flash from the die surface</w:t>
      </w:r>
    </w:p>
    <w:p w:rsidR="00000000" w:rsidRPr="00A307BC" w:rsidP="00A307BC">
      <w:pPr>
        <w:pStyle w:val="ListBullet"/>
      </w:pPr>
      <w:r w:rsidRPr="00A307BC">
        <w:t>cleaning die using a shot blaster in a safe manner</w:t>
      </w:r>
    </w:p>
    <w:p w:rsidR="00000000" w:rsidRPr="00A307BC" w:rsidP="00A307BC">
      <w:pPr>
        <w:pStyle w:val="ListBullet"/>
      </w:pPr>
      <w:r w:rsidRPr="00A307BC">
        <w:t>taking chemical analysis of melt and applying remedial action as required</w:t>
      </w:r>
    </w:p>
    <w:p w:rsidR="00000000" w:rsidRPr="00A307BC" w:rsidP="00A307BC">
      <w:pPr>
        <w:pStyle w:val="ListBullet"/>
      </w:pPr>
      <w:r w:rsidRPr="00A307BC">
        <w:t>drossing and/or degassing furnace to SOPs</w:t>
      </w:r>
    </w:p>
    <w:p w:rsidR="00000000" w:rsidRPr="00A307BC" w:rsidP="00A307BC">
      <w:pPr>
        <w:pStyle w:val="ListBullet"/>
      </w:pPr>
      <w:r w:rsidRPr="00A307BC">
        <w:t>completing records as required.</w:t>
      </w:r>
    </w:p>
    <w:p w:rsidR="00000000" w:rsidRPr="00A307BC" w:rsidP="00A307BC">
      <w:pPr>
        <w:pStyle w:val="AllowPageBreak"/>
      </w:pPr>
    </w:p>
    <w:p w:rsidR="00000000" w:rsidRPr="00A307BC" w:rsidP="00A307BC">
      <w:pPr>
        <w:pStyle w:val="Heading1"/>
      </w:pPr>
      <w:bookmarkStart w:id="3" w:name="O_942907"/>
      <w:bookmarkEnd w:id="3"/>
      <w:r w:rsidRPr="00A307BC">
        <w:t>Knowledge Evidence</w:t>
      </w:r>
    </w:p>
    <w:p w:rsidR="00000000" w:rsidRPr="00A307BC" w:rsidP="00505A84">
      <w:pPr>
        <w:pStyle w:val="BodyText"/>
      </w:pPr>
      <w:r w:rsidRPr="00A307BC">
        <w:t>Evidence required to demonstrate the required knowledge for this unit mu</w:t>
      </w:r>
      <w:r w:rsidRPr="00A307BC">
        <w:t>st be relevant to and satisfy the requirements of the elements and performance criteria and include knowledge of:</w:t>
      </w:r>
    </w:p>
    <w:p w:rsidR="00000000" w:rsidRPr="00A307BC" w:rsidP="00A307BC">
      <w:pPr>
        <w:pStyle w:val="ListBullet"/>
      </w:pPr>
      <w:r w:rsidRPr="00A307BC">
        <w:t>safe work practices and procedures and use of personal protective equipment (PPE) and apparatus</w:t>
      </w:r>
    </w:p>
    <w:p w:rsidR="00000000" w:rsidRPr="00A307BC" w:rsidP="00A307BC">
      <w:pPr>
        <w:pStyle w:val="ListBullet"/>
      </w:pPr>
      <w:r w:rsidRPr="00A307BC">
        <w:t xml:space="preserve">die coat function(s) in gravity die casting </w:t>
      </w:r>
    </w:p>
    <w:p w:rsidR="00000000" w:rsidRPr="00A307BC" w:rsidP="00A307BC">
      <w:pPr>
        <w:pStyle w:val="ListBullet"/>
      </w:pPr>
      <w:r w:rsidRPr="00A307BC">
        <w:t xml:space="preserve">correct proportions and consistency of die coats as determined by manufacturers’ specifications </w:t>
      </w:r>
    </w:p>
    <w:p w:rsidR="00000000" w:rsidRPr="00A307BC" w:rsidP="00A307BC">
      <w:pPr>
        <w:pStyle w:val="ListBullet"/>
      </w:pPr>
      <w:r w:rsidRPr="00A307BC">
        <w:t xml:space="preserve">correct identification of die coat materials </w:t>
      </w:r>
    </w:p>
    <w:p w:rsidR="00000000" w:rsidRPr="00A307BC" w:rsidP="00A307BC">
      <w:pPr>
        <w:pStyle w:val="ListBullet"/>
      </w:pPr>
      <w:r w:rsidRPr="00A307BC">
        <w:t>procedures for raising the temperature of the die to the correct level and maintaining the required temperature i</w:t>
      </w:r>
      <w:r w:rsidRPr="00A307BC">
        <w:t xml:space="preserve">n accordance with SOPs </w:t>
      </w:r>
    </w:p>
    <w:p w:rsidR="00000000" w:rsidRPr="00A307BC" w:rsidP="00A307BC">
      <w:pPr>
        <w:pStyle w:val="ListBullet"/>
      </w:pPr>
      <w:r w:rsidRPr="00A307BC">
        <w:t xml:space="preserve">procedures to be followed when pouring molten metal to produce sound castings </w:t>
      </w:r>
    </w:p>
    <w:p w:rsidR="00000000" w:rsidRPr="00A307BC" w:rsidP="00A307BC">
      <w:pPr>
        <w:pStyle w:val="ListBullet"/>
      </w:pPr>
      <w:r w:rsidRPr="00A307BC">
        <w:t>causes of defects in castings</w:t>
      </w:r>
    </w:p>
    <w:p w:rsidR="00000000" w:rsidRPr="00A307BC" w:rsidP="00A307BC">
      <w:pPr>
        <w:pStyle w:val="ListBullet"/>
      </w:pPr>
      <w:r w:rsidRPr="00A307BC">
        <w:t xml:space="preserve">curing times for castings of various volumes and materials </w:t>
      </w:r>
    </w:p>
    <w:p w:rsidR="00000000" w:rsidRPr="00A307BC" w:rsidP="00A307BC">
      <w:pPr>
        <w:pStyle w:val="ListBullet"/>
      </w:pPr>
      <w:r w:rsidRPr="00A307BC">
        <w:t>timing of die coat application and quantity of die coat to be u</w:t>
      </w:r>
      <w:r w:rsidRPr="00A307BC">
        <w:t>sed for different applications</w:t>
      </w:r>
    </w:p>
    <w:p w:rsidR="00000000" w:rsidRPr="00A307BC" w:rsidP="00A307BC">
      <w:pPr>
        <w:pStyle w:val="ListBullet"/>
      </w:pPr>
      <w:r w:rsidRPr="00A307BC">
        <w:t xml:space="preserve">correct procedures for removing castings from the die and storing of castings </w:t>
      </w:r>
    </w:p>
    <w:p w:rsidR="00000000" w:rsidRPr="00A307BC" w:rsidP="00A307BC">
      <w:pPr>
        <w:pStyle w:val="ListBullet"/>
      </w:pPr>
      <w:r w:rsidRPr="00A307BC">
        <w:t>die condition and need for shot blasting</w:t>
      </w:r>
    </w:p>
    <w:p w:rsidR="00000000" w:rsidRPr="00A307BC" w:rsidP="00A307BC">
      <w:pPr>
        <w:pStyle w:val="ListBullet"/>
      </w:pPr>
      <w:r w:rsidRPr="00A307BC">
        <w:t>shot blaster operating procedures.</w:t>
      </w:r>
    </w:p>
    <w:p w:rsidR="00000000" w:rsidRPr="00A307BC" w:rsidP="00A307BC">
      <w:pPr>
        <w:pStyle w:val="AllowPageBreak"/>
      </w:pPr>
    </w:p>
    <w:p w:rsidR="00000000" w:rsidRPr="00A307BC" w:rsidP="00A307BC">
      <w:pPr>
        <w:pStyle w:val="Heading1"/>
      </w:pPr>
      <w:bookmarkStart w:id="4" w:name="O_942906"/>
      <w:bookmarkEnd w:id="4"/>
      <w:r w:rsidRPr="00A307BC">
        <w:t>Assessment Conditions</w:t>
      </w:r>
    </w:p>
    <w:p w:rsidR="00000000" w:rsidRPr="00A307BC" w:rsidP="00A307BC">
      <w:pPr>
        <w:pStyle w:val="ListBullet"/>
      </w:pPr>
      <w:r w:rsidRPr="00A307BC">
        <w:t>Assessors must:</w:t>
      </w:r>
    </w:p>
    <w:p w:rsidR="00000000" w:rsidRPr="00A307BC" w:rsidP="00A307BC">
      <w:pPr>
        <w:pStyle w:val="ListBullet2"/>
      </w:pPr>
      <w:r w:rsidRPr="00A307BC">
        <w:t>have vocational competency in performing gravity die casting at least to the level being assessed with relevant industry knowledge and experience</w:t>
      </w:r>
    </w:p>
    <w:p w:rsidR="00000000" w:rsidRPr="00A307BC" w:rsidP="00A307BC">
      <w:pPr>
        <w:pStyle w:val="ListBullet2"/>
      </w:pPr>
      <w:r w:rsidRPr="00A307BC">
        <w:t xml:space="preserve">satisfy the assessor requirements in the </w:t>
      </w:r>
      <w:r w:rsidRPr="00A307BC">
        <w:rPr>
          <w:rStyle w:val="Emphasis"/>
        </w:rPr>
        <w:t xml:space="preserve">Standards for Registered Training Organisations 2015 </w:t>
      </w:r>
      <w:r w:rsidRPr="00A307BC">
        <w:t>or its replaceme</w:t>
      </w:r>
      <w:r w:rsidRPr="00A307BC">
        <w:t>nt</w:t>
      </w:r>
      <w:r w:rsidRPr="00A307BC">
        <w:rPr>
          <w:rStyle w:val="Emphasis"/>
        </w:rPr>
        <w:t xml:space="preserve"> </w:t>
      </w:r>
      <w:r w:rsidRPr="00A307BC">
        <w:t xml:space="preserve">and comply with the </w:t>
      </w:r>
      <w:r w:rsidRPr="00A307BC">
        <w:rPr>
          <w:rStyle w:val="Emphasis"/>
        </w:rPr>
        <w:t xml:space="preserve">National Vocational Education and Training Regulator Act 2011, </w:t>
      </w:r>
      <w:r w:rsidRPr="00A307BC">
        <w:t>its replacement</w:t>
      </w:r>
      <w:r w:rsidRPr="00A307BC">
        <w:rPr>
          <w:rStyle w:val="Emphasis"/>
        </w:rPr>
        <w:t xml:space="preserve"> </w:t>
      </w:r>
      <w:r w:rsidRPr="00A307BC">
        <w:t>or equivalent legislation covering VET regulation in a non-referring state/territory as the case requires</w:t>
      </w:r>
    </w:p>
    <w:p w:rsidR="00000000" w:rsidRPr="00A307BC" w:rsidP="00A307BC">
      <w:pPr>
        <w:pStyle w:val="ListBullet"/>
      </w:pPr>
      <w:r w:rsidRPr="00A307BC">
        <w:t>Where possible assessment must occur in operati</w:t>
      </w:r>
      <w:r w:rsidRPr="00A307BC">
        <w:t>onal workplace situations. Where this is not possible or where personal safety or environmental damage are limiting factors, assessment must occur in a sufficiently rigorous simulated environment that reflects realistic operational workplace conditions. Th</w:t>
      </w:r>
      <w:r w:rsidRPr="00A307BC">
        <w:t>is must cover all aspects of workplace performance, including environment, task skills, task management skills, contingency management skills and job role environment skills</w:t>
      </w:r>
    </w:p>
    <w:p w:rsidR="00000000" w:rsidRPr="00A307BC" w:rsidP="00A307BC">
      <w:pPr>
        <w:pStyle w:val="ListBullet"/>
      </w:pPr>
      <w:r w:rsidRPr="00A307BC">
        <w:t>Conditions for assessment must include access to all tools, equipment, materials a</w:t>
      </w:r>
      <w:r w:rsidRPr="00A307BC">
        <w:t>nd documentation required, including relevant workplace procedures, product and manufacturing specifications</w:t>
      </w:r>
    </w:p>
    <w:p w:rsidR="00000000" w:rsidRPr="00A307BC" w:rsidP="00A307BC">
      <w:pPr>
        <w:pStyle w:val="ListBullet"/>
      </w:pPr>
      <w:r w:rsidRPr="00A307BC">
        <w:t>Assessment processes and techniques must be appropriate to the language, literacy and numeracy requirements of the work being performed and the nee</w:t>
      </w:r>
      <w:r w:rsidRPr="00A307BC">
        <w:t>ds of the candidate.</w:t>
      </w:r>
    </w:p>
    <w:p w:rsidR="00000000" w:rsidRPr="00A307BC" w:rsidP="00A307BC">
      <w:pPr>
        <w:pStyle w:val="AllowPageBreak"/>
      </w:pPr>
    </w:p>
    <w:p w:rsidR="00000000" w:rsidRPr="00A307BC" w:rsidP="00A307BC">
      <w:pPr>
        <w:pStyle w:val="Heading1"/>
      </w:pPr>
      <w:bookmarkStart w:id="5" w:name="O_942904"/>
      <w:bookmarkEnd w:id="5"/>
      <w:r w:rsidRPr="00A307BC">
        <w:t>Links</w:t>
      </w:r>
    </w:p>
    <w:p w:rsidR="00000000" w:rsidRPr="00A307BC" w:rsidP="00505A84">
      <w:pPr>
        <w:pStyle w:val="BodyText"/>
      </w:pPr>
      <w:r w:rsidRPr="00A307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255F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07BC" w:rsidP="00A307BC"/>
    <w:sectPr w:rsidSect="00A30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C" w:rsidRPr="00505A84" w:rsidP="00505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A84" w:rsidP="00A30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5A84" w:rsidP="00A30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5A84" w:rsidP="00A30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7BC" w:rsidRPr="00505A84" w:rsidP="00505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A84" w:rsidRPr="002D2AF8" w:rsidP="00A30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MEM04002 Perform gravity die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5A84" w:rsidP="00A30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86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007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9C6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7BC"/>
  </w:style>
  <w:style w:type="character" w:customStyle="1" w:styleId="Heading1Char">
    <w:name w:val="Heading 1 Char"/>
    <w:basedOn w:val="DefaultParagraphFont"/>
    <w:link w:val="Heading1"/>
    <w:rsid w:val="00A30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7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7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07BC"/>
    <w:rPr>
      <w:i/>
    </w:rPr>
  </w:style>
  <w:style w:type="paragraph" w:customStyle="1" w:styleId="SuperHeading">
    <w:name w:val="SuperHeading"/>
    <w:basedOn w:val="Normal"/>
    <w:rsid w:val="00A30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7BC"/>
    <w:rPr>
      <w:b/>
      <w:spacing w:val="0"/>
    </w:rPr>
  </w:style>
  <w:style w:type="paragraph" w:customStyle="1" w:styleId="SuperTitle">
    <w:name w:val="SuperTitle"/>
    <w:basedOn w:val="Title"/>
    <w:rsid w:val="00A30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7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7BC"/>
  </w:style>
  <w:style w:type="paragraph" w:styleId="TableofFigures">
    <w:name w:val="table of figures"/>
    <w:basedOn w:val="Normal"/>
    <w:next w:val="Normal"/>
    <w:semiHidden/>
    <w:rsid w:val="00A30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7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7BC"/>
    <w:rPr>
      <w:rFonts w:ascii="Wingdings" w:hAnsi="Wingdings"/>
    </w:rPr>
  </w:style>
  <w:style w:type="paragraph" w:customStyle="1" w:styleId="TableHeading">
    <w:name w:val="Table Heading"/>
    <w:basedOn w:val="HeadingBase"/>
    <w:rsid w:val="00A30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7BC"/>
    <w:rPr>
      <w:color w:val="0033CC"/>
      <w:u w:val="none"/>
    </w:rPr>
  </w:style>
  <w:style w:type="paragraph" w:customStyle="1" w:styleId="BodyTextRight">
    <w:name w:val="Body Text Right"/>
    <w:basedOn w:val="BodyText"/>
    <w:rsid w:val="00A30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7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7BC"/>
    <w:rPr>
      <w:sz w:val="32"/>
    </w:rPr>
  </w:style>
  <w:style w:type="paragraph" w:customStyle="1" w:styleId="HeadingProcedure">
    <w:name w:val="Heading Procedure"/>
    <w:basedOn w:val="HeadingBase"/>
    <w:next w:val="Normal"/>
    <w:rsid w:val="00A30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7BC"/>
    <w:pPr>
      <w:spacing w:before="60" w:after="60"/>
    </w:pPr>
  </w:style>
  <w:style w:type="paragraph" w:styleId="ListContinue">
    <w:name w:val="List Continue"/>
    <w:basedOn w:val="List"/>
    <w:rsid w:val="00A307BC"/>
    <w:pPr>
      <w:ind w:firstLine="0"/>
    </w:pPr>
  </w:style>
  <w:style w:type="paragraph" w:customStyle="1" w:styleId="ListNote">
    <w:name w:val="List Note"/>
    <w:basedOn w:val="List"/>
    <w:rsid w:val="00A30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7BC"/>
    <w:rPr>
      <w:rFonts w:ascii="Courier New" w:hAnsi="Courier New"/>
    </w:rPr>
  </w:style>
  <w:style w:type="paragraph" w:customStyle="1" w:styleId="NoteBullet">
    <w:name w:val="Note Bullet"/>
    <w:basedOn w:val="Note"/>
    <w:rsid w:val="00A30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7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7BC"/>
    <w:rPr>
      <w:b/>
      <w:smallCaps/>
    </w:rPr>
  </w:style>
  <w:style w:type="paragraph" w:customStyle="1" w:styleId="TableListNumber">
    <w:name w:val="Table List Number"/>
    <w:basedOn w:val="ListNumber"/>
    <w:rsid w:val="00A30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7BC"/>
    <w:pPr>
      <w:numPr>
        <w:numId w:val="9"/>
      </w:numPr>
    </w:pPr>
  </w:style>
  <w:style w:type="paragraph" w:customStyle="1" w:styleId="ListAlpha2">
    <w:name w:val="List Alpha 2"/>
    <w:basedOn w:val="List2"/>
    <w:rsid w:val="00A307BC"/>
    <w:pPr>
      <w:numPr>
        <w:numId w:val="8"/>
      </w:numPr>
    </w:pPr>
  </w:style>
  <w:style w:type="paragraph" w:styleId="List2">
    <w:name w:val="List 2"/>
    <w:basedOn w:val="BodyText"/>
    <w:rsid w:val="00A30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7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7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7BC"/>
    <w:pPr>
      <w:numPr>
        <w:numId w:val="4"/>
      </w:numPr>
    </w:pPr>
  </w:style>
  <w:style w:type="paragraph" w:styleId="ListContinue2">
    <w:name w:val="List Continue 2"/>
    <w:basedOn w:val="List2"/>
    <w:rsid w:val="00A307BC"/>
    <w:pPr>
      <w:ind w:firstLine="0"/>
    </w:pPr>
  </w:style>
  <w:style w:type="paragraph" w:styleId="ListContinue3">
    <w:name w:val="List Continue 3"/>
    <w:basedOn w:val="List3"/>
    <w:rsid w:val="00A307BC"/>
    <w:pPr>
      <w:ind w:left="1021" w:firstLine="0"/>
    </w:pPr>
  </w:style>
  <w:style w:type="paragraph" w:styleId="ListContinue4">
    <w:name w:val="List Continue 4"/>
    <w:basedOn w:val="List4"/>
    <w:rsid w:val="00A307BC"/>
    <w:pPr>
      <w:ind w:firstLine="0"/>
    </w:pPr>
  </w:style>
  <w:style w:type="paragraph" w:styleId="ListContinue5">
    <w:name w:val="List Continue 5"/>
    <w:basedOn w:val="List5"/>
    <w:rsid w:val="00A307BC"/>
    <w:pPr>
      <w:ind w:firstLine="0"/>
    </w:pPr>
  </w:style>
  <w:style w:type="paragraph" w:styleId="ListNumber3">
    <w:name w:val="List Number 3"/>
    <w:basedOn w:val="List3"/>
    <w:rsid w:val="00A307BC"/>
    <w:pPr>
      <w:numPr>
        <w:numId w:val="5"/>
      </w:numPr>
    </w:pPr>
  </w:style>
  <w:style w:type="paragraph" w:styleId="ListNumber4">
    <w:name w:val="List Number 4"/>
    <w:basedOn w:val="List4"/>
    <w:rsid w:val="00A307BC"/>
    <w:pPr>
      <w:numPr>
        <w:numId w:val="6"/>
      </w:numPr>
    </w:pPr>
  </w:style>
  <w:style w:type="paragraph" w:styleId="ListNumber5">
    <w:name w:val="List Number 5"/>
    <w:basedOn w:val="List5"/>
    <w:rsid w:val="00A307BC"/>
    <w:pPr>
      <w:numPr>
        <w:numId w:val="7"/>
      </w:numPr>
    </w:pPr>
  </w:style>
  <w:style w:type="paragraph" w:styleId="BlockText">
    <w:name w:val="Block Text"/>
    <w:basedOn w:val="Normal"/>
    <w:rsid w:val="00A30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7BC"/>
    <w:rPr>
      <w:sz w:val="16"/>
      <w:vertAlign w:val="superscript"/>
    </w:rPr>
  </w:style>
  <w:style w:type="character" w:customStyle="1" w:styleId="Symbols">
    <w:name w:val="Symbols"/>
    <w:basedOn w:val="DefaultParagraphFont"/>
    <w:rsid w:val="00A307BC"/>
    <w:rPr>
      <w:rFonts w:ascii="Symbol" w:hAnsi="Symbol"/>
    </w:rPr>
  </w:style>
  <w:style w:type="character" w:customStyle="1" w:styleId="MenuOptions">
    <w:name w:val="Menu Options"/>
    <w:basedOn w:val="DefaultParagraphFont"/>
    <w:rsid w:val="00A30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7BC"/>
    <w:rPr>
      <w:b/>
    </w:rPr>
  </w:style>
  <w:style w:type="character" w:customStyle="1" w:styleId="Underlined">
    <w:name w:val="Underlined"/>
    <w:basedOn w:val="DefaultParagraphFont"/>
    <w:rsid w:val="00A307BC"/>
    <w:rPr>
      <w:u w:val="single"/>
    </w:rPr>
  </w:style>
  <w:style w:type="paragraph" w:customStyle="1" w:styleId="TableBodyTextRight">
    <w:name w:val="Table Body Text Right"/>
    <w:basedOn w:val="TableBodyText"/>
    <w:rsid w:val="00A30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7BC"/>
    <w:rPr>
      <w:sz w:val="18"/>
    </w:rPr>
  </w:style>
  <w:style w:type="paragraph" w:customStyle="1" w:styleId="BodySmallRight">
    <w:name w:val="Body Small Right"/>
    <w:basedOn w:val="BodyTextRight"/>
    <w:rsid w:val="00A307BC"/>
    <w:rPr>
      <w:sz w:val="18"/>
      <w:szCs w:val="18"/>
    </w:rPr>
  </w:style>
  <w:style w:type="paragraph" w:customStyle="1" w:styleId="MarginEdition">
    <w:name w:val="Margin Edition"/>
    <w:basedOn w:val="MarginNote"/>
    <w:rsid w:val="00A30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7BC"/>
    <w:rPr>
      <w:sz w:val="2"/>
      <w:szCs w:val="2"/>
    </w:rPr>
  </w:style>
  <w:style w:type="character" w:customStyle="1" w:styleId="Small">
    <w:name w:val="Small"/>
    <w:basedOn w:val="DefaultParagraphFont"/>
    <w:rsid w:val="00A307BC"/>
    <w:rPr>
      <w:sz w:val="16"/>
    </w:rPr>
  </w:style>
  <w:style w:type="paragraph" w:customStyle="1" w:styleId="WideTable">
    <w:name w:val="Wide Table"/>
    <w:basedOn w:val="Normal"/>
    <w:rsid w:val="00A30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7BC"/>
  </w:style>
  <w:style w:type="paragraph" w:styleId="Quote">
    <w:name w:val="Quote"/>
    <w:basedOn w:val="Heading1"/>
    <w:link w:val="QuoteChar"/>
    <w:qFormat/>
    <w:rsid w:val="00A30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7BC"/>
    <w:pPr>
      <w:pageBreakBefore/>
    </w:pPr>
  </w:style>
  <w:style w:type="paragraph" w:customStyle="1" w:styleId="Border">
    <w:name w:val="Border"/>
    <w:basedOn w:val="Normal"/>
    <w:qFormat/>
    <w:rsid w:val="00A30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7BC"/>
    <w:rPr>
      <w:u w:val="single"/>
    </w:rPr>
  </w:style>
  <w:style w:type="character" w:customStyle="1" w:styleId="BoldandItalics">
    <w:name w:val="Bold and Italics"/>
    <w:qFormat/>
    <w:rsid w:val="00A307BC"/>
    <w:rPr>
      <w:b/>
      <w:i/>
      <w:u w:val="none"/>
    </w:rPr>
  </w:style>
  <w:style w:type="paragraph" w:styleId="BalloonText">
    <w:name w:val="Balloon Text"/>
    <w:basedOn w:val="Normal"/>
    <w:link w:val="BalloonTextChar"/>
    <w:rsid w:val="00A30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7BC"/>
    <w:pPr>
      <w:spacing w:before="0" w:after="0"/>
    </w:pPr>
  </w:style>
  <w:style w:type="paragraph" w:customStyle="1" w:styleId="BodyTextBold">
    <w:name w:val="Body Text Bold"/>
    <w:basedOn w:val="BodyText"/>
    <w:qFormat/>
    <w:rsid w:val="00A307BC"/>
    <w:rPr>
      <w:b/>
    </w:rPr>
  </w:style>
  <w:style w:type="character" w:styleId="Hyperlink">
    <w:name w:val="Hyperlink"/>
    <w:basedOn w:val="DefaultParagraphFont"/>
    <w:uiPriority w:val="99"/>
    <w:unhideWhenUsed/>
    <w:rsid w:val="00505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3527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MEM04002 Perform gravity die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2023-02-03T07:13:00Z</dcterms:created>
  <dcterms:modified xsi:type="dcterms:W3CDTF">2023-02-03T07:13:00Z</dcterms:modified>
</cp:coreProperties>
</file>