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1A4" w:rsidP="00CB4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MEM03005 Rework and repair (electrical/electronic production)</w:t>
      </w:r>
      <w:r>
        <w:fldChar w:fldCharType="end"/>
      </w:r>
    </w:p>
    <w:p w:rsidR="00CB41A4" w:rsidP="00CB41A4">
      <w:pPr>
        <w:pStyle w:val="Version"/>
        <w:sectPr w:rsidSect="00336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257" w:rsidP="00336257">
      <w:pPr>
        <w:pStyle w:val="SuperHeading"/>
      </w:pPr>
      <w:r w:rsidRPr="00336257">
        <w:t>MEM03005 Rework and repair (electrical/electronic production)</w:t>
      </w:r>
    </w:p>
    <w:p w:rsidR="00000000" w:rsidRPr="00336257" w:rsidP="00336257">
      <w:pPr>
        <w:pStyle w:val="Heading1"/>
      </w:pPr>
      <w:bookmarkStart w:id="1" w:name="O_940819"/>
      <w:bookmarkEnd w:id="1"/>
      <w:r w:rsidRPr="00336257">
        <w:t>Modification History</w:t>
      </w:r>
    </w:p>
    <w:p w:rsidR="00000000" w:rsidRPr="00336257" w:rsidP="00CB41A4">
      <w:pPr>
        <w:pStyle w:val="BodyText"/>
      </w:pPr>
      <w:r w:rsidRPr="00336257">
        <w:t xml:space="preserve">Release 1. Supersedes and is equivalent to MEM03005B Rework and repair (electrical/electronic production) </w:t>
      </w:r>
    </w:p>
    <w:p w:rsidR="00000000" w:rsidRPr="00336257" w:rsidP="00336257">
      <w:pPr>
        <w:pStyle w:val="Heading1"/>
      </w:pPr>
      <w:bookmarkStart w:id="2" w:name="O_940827"/>
      <w:bookmarkEnd w:id="2"/>
      <w:r w:rsidRPr="00336257">
        <w:t>Application</w:t>
      </w:r>
    </w:p>
    <w:p w:rsidR="00000000" w:rsidRPr="00336257" w:rsidP="00CB41A4">
      <w:pPr>
        <w:pStyle w:val="BodyText"/>
      </w:pPr>
      <w:r w:rsidRPr="00336257">
        <w:t>This unit of co</w:t>
      </w:r>
      <w:r w:rsidRPr="00336257">
        <w:t xml:space="preserve">mpetency defines the skills and knowledge required to test electrical/electronic assemblies against functional requirements, identify faults, and repair or rework the assemblies to rectify the faults and applies to work undertaken on a range of components </w:t>
      </w:r>
      <w:r w:rsidRPr="00336257">
        <w:t xml:space="preserve">and printed circuit boards. </w:t>
      </w:r>
    </w:p>
    <w:p w:rsidR="00000000" w:rsidRPr="00336257" w:rsidP="00CB41A4">
      <w:pPr>
        <w:pStyle w:val="BodyText"/>
      </w:pPr>
      <w:r w:rsidRPr="00336257">
        <w:t>Where the interpretation of technical drawings is required unit MEM09002 Interpret technical drawing should also be selected.</w:t>
      </w:r>
    </w:p>
    <w:p w:rsidR="00000000" w:rsidRPr="00336257" w:rsidP="00CB41A4">
      <w:pPr>
        <w:pStyle w:val="BodyText"/>
      </w:pPr>
      <w:r w:rsidRPr="00336257">
        <w:t xml:space="preserve">Where the selection and use of manual handling is required unit MEM11011 Undertake manual handling </w:t>
      </w:r>
      <w:r w:rsidRPr="00336257">
        <w:t>should also be selected.</w:t>
      </w:r>
    </w:p>
    <w:p w:rsidR="00000000" w:rsidRPr="00336257" w:rsidP="00CB41A4">
      <w:pPr>
        <w:pStyle w:val="BodyText"/>
      </w:pPr>
      <w:r w:rsidRPr="00336257">
        <w:t>Where the selection and use of engineering measuring equipment is required unit MEM12023 Perform engineering measurements should also be selected.</w:t>
      </w:r>
    </w:p>
    <w:p w:rsidR="00000000" w:rsidRPr="00336257" w:rsidP="00CB41A4">
      <w:pPr>
        <w:pStyle w:val="BodyText"/>
      </w:pPr>
      <w:r w:rsidRPr="00336257">
        <w:t>Where the selection and use of power tools for hand held operations is required un</w:t>
      </w:r>
      <w:r w:rsidRPr="00336257">
        <w:t>it MEM18002 Use power tools/hand held operations should also be selected.</w:t>
      </w:r>
    </w:p>
    <w:p w:rsidR="00000000" w:rsidRPr="00336257" w:rsidP="00CB41A4">
      <w:pPr>
        <w:pStyle w:val="BodyText"/>
      </w:pPr>
      <w:r w:rsidRPr="00336257">
        <w:t>No licensing, legislative or certification requirements apply to this unit at the time of publication.</w:t>
      </w:r>
    </w:p>
    <w:p w:rsidR="00000000" w:rsidRPr="00336257" w:rsidP="00336257">
      <w:pPr>
        <w:pStyle w:val="BodyText"/>
      </w:pPr>
      <w:r w:rsidRPr="00336257">
        <w:rPr>
          <w:rStyle w:val="SpecialBold"/>
        </w:rPr>
        <w:t>Band:</w:t>
      </w:r>
      <w:r w:rsidRPr="00336257">
        <w:rPr>
          <w:rStyle w:val="SpecialBold"/>
        </w:rPr>
        <w:tab/>
        <w:t>A</w:t>
      </w:r>
    </w:p>
    <w:p w:rsidR="00CB41A4" w:rsidP="00336257">
      <w:pPr>
        <w:pStyle w:val="BodyText"/>
      </w:pPr>
      <w:r w:rsidRPr="00336257">
        <w:rPr>
          <w:rStyle w:val="SpecialBold"/>
        </w:rPr>
        <w:t>Unit Weight:</w:t>
      </w:r>
      <w:r w:rsidRPr="00336257">
        <w:rPr>
          <w:rStyle w:val="SpecialBold"/>
        </w:rPr>
        <w:tab/>
        <w:t>8</w:t>
      </w:r>
    </w:p>
    <w:p w:rsidR="00CB41A4" w:rsidP="00336257">
      <w:pPr>
        <w:pStyle w:val="BodyText"/>
      </w:pPr>
    </w:p>
    <w:p w:rsidR="00000000" w:rsidRPr="00336257" w:rsidP="00336257">
      <w:pPr>
        <w:pStyle w:val="Heading1"/>
      </w:pPr>
      <w:bookmarkStart w:id="3" w:name="O_940826"/>
      <w:bookmarkEnd w:id="3"/>
      <w:r w:rsidRPr="0033625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312"/>
      </w:tblGrid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MEM03004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 xml:space="preserve">Perform </w:t>
            </w:r>
            <w:r w:rsidRPr="00336257">
              <w:t>electronic/electrical assembly (production)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MEM05001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Perform manual soldering/desoldering - electrical/electronic components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MEM13015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Work safely and effectively in manufacturing and engineering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MEM16006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Organise and communicate information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MEM18001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257" w:rsidP="00336257">
            <w:pPr>
              <w:pStyle w:val="BodyText"/>
            </w:pPr>
            <w:r w:rsidRPr="00336257">
              <w:t>Use hand tools</w:t>
            </w:r>
          </w:p>
        </w:tc>
      </w:tr>
    </w:tbl>
    <w:p w:rsidR="00000000" w:rsidRPr="00336257" w:rsidP="00336257">
      <w:pPr>
        <w:pStyle w:val="BodyText"/>
      </w:pPr>
    </w:p>
    <w:p w:rsidR="00000000" w:rsidRPr="00336257" w:rsidP="00336257">
      <w:pPr>
        <w:pStyle w:val="AllowPageBreak"/>
      </w:pPr>
    </w:p>
    <w:p w:rsidR="00000000" w:rsidRPr="00336257" w:rsidP="00336257">
      <w:pPr>
        <w:pStyle w:val="Heading1"/>
      </w:pPr>
      <w:bookmarkStart w:id="4" w:name="O_940825"/>
      <w:bookmarkEnd w:id="4"/>
      <w:r w:rsidRPr="00336257">
        <w:t>Competency Field</w:t>
      </w:r>
    </w:p>
    <w:p w:rsidR="00000000" w:rsidRPr="00336257" w:rsidP="00CB41A4">
      <w:pPr>
        <w:pStyle w:val="BodyText"/>
      </w:pPr>
      <w:r w:rsidRPr="00336257">
        <w:t>Assembly</w:t>
      </w:r>
    </w:p>
    <w:p w:rsidR="00000000" w:rsidRPr="00336257" w:rsidP="00336257">
      <w:pPr>
        <w:pStyle w:val="Heading1"/>
      </w:pPr>
      <w:bookmarkStart w:id="5" w:name="O_940823"/>
      <w:bookmarkEnd w:id="5"/>
      <w:r w:rsidRPr="003362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Performance criteria describe the performance needed to demonstrate achievement of the element.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257" w:rsidP="00336257">
            <w:pPr>
              <w:pStyle w:val="BodyText"/>
            </w:pPr>
            <w:r w:rsidRPr="00336257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Follow standard operating procedures (SOPs)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Comply with work health and safety (WHS) requirements at all times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Use appropriate personal protective equipment (PPE) in accordance with SOPs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Identify job requirements from specifications, sketches, job sheets or work instructions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257" w:rsidP="00336257">
            <w:pPr>
              <w:pStyle w:val="BodyText"/>
            </w:pPr>
            <w:r w:rsidRPr="00336257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rPr>
                <w:rStyle w:val="SpecialBold"/>
              </w:rPr>
              <w:t>Perform tests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Test assembly for functional requirements from job sheets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 xml:space="preserve">Identify faults in assembly or soldering 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257" w:rsidP="00336257">
            <w:pPr>
              <w:pStyle w:val="BodyText"/>
            </w:pPr>
            <w:r w:rsidRPr="00336257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rPr>
                <w:rStyle w:val="SpecialBold"/>
              </w:rPr>
              <w:t>Identify cause of fault and rectify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Identify cause of fault using procedures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Complete repair and/or rework according to instructions from job cards, sketches and assembly specifications</w:t>
            </w:r>
          </w:p>
        </w:tc>
      </w:tr>
      <w:tr w:rsidTr="0033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257">
            <w:pPr>
              <w:pStyle w:val="BodyText"/>
              <w:rPr>
                <w:lang w:val="en-NZ"/>
              </w:rPr>
            </w:pPr>
            <w:r w:rsidRPr="00336257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257" w:rsidP="00336257">
            <w:pPr>
              <w:pStyle w:val="BodyText"/>
            </w:pPr>
            <w:r w:rsidRPr="00336257">
              <w:t>Handle and store components safely using appropriate anti-static handling procedures and techniques</w:t>
            </w:r>
          </w:p>
        </w:tc>
      </w:tr>
    </w:tbl>
    <w:p w:rsidR="00000000" w:rsidRPr="00336257" w:rsidP="00336257">
      <w:pPr>
        <w:pStyle w:val="BodyText"/>
      </w:pPr>
    </w:p>
    <w:p w:rsidR="00000000" w:rsidRPr="00336257" w:rsidP="00336257">
      <w:pPr>
        <w:pStyle w:val="AllowPageBreak"/>
      </w:pPr>
    </w:p>
    <w:p w:rsidR="00000000" w:rsidRPr="00336257" w:rsidP="00336257">
      <w:pPr>
        <w:pStyle w:val="Heading1"/>
      </w:pPr>
      <w:bookmarkStart w:id="6" w:name="O_940822"/>
      <w:bookmarkEnd w:id="6"/>
      <w:r w:rsidRPr="00336257">
        <w:t>Foundation Skills</w:t>
      </w:r>
    </w:p>
    <w:p w:rsidR="00000000" w:rsidRPr="00336257" w:rsidP="00CB41A4">
      <w:pPr>
        <w:pStyle w:val="BodyText"/>
      </w:pPr>
      <w:r w:rsidRPr="00336257">
        <w:t xml:space="preserve">This section describes those required skills (reading, writing, oral communication and numeracy) that are essential to </w:t>
      </w:r>
      <w:r w:rsidRPr="00336257">
        <w:t xml:space="preserve">workplace performance in this unit of competency.  </w:t>
      </w:r>
    </w:p>
    <w:p w:rsidR="00000000" w:rsidRPr="00336257" w:rsidP="00CB41A4">
      <w:pPr>
        <w:pStyle w:val="BodyText"/>
      </w:pPr>
      <w:r w:rsidRPr="00336257">
        <w:t>Foundation skills essential to performance are explicit in the performance criteria of this unit of competency.</w:t>
      </w:r>
    </w:p>
    <w:p w:rsidR="00000000" w:rsidRPr="00336257" w:rsidP="00336257">
      <w:pPr>
        <w:pStyle w:val="Heading1"/>
      </w:pPr>
      <w:bookmarkStart w:id="7" w:name="O_940820"/>
      <w:bookmarkEnd w:id="7"/>
      <w:r w:rsidRPr="00336257">
        <w:t>Unit Mapping Information</w:t>
      </w:r>
    </w:p>
    <w:p w:rsidR="00000000" w:rsidRPr="00336257" w:rsidP="00CB41A4">
      <w:pPr>
        <w:pStyle w:val="BodyText"/>
      </w:pPr>
      <w:r w:rsidRPr="00336257">
        <w:t>Release 1. Supersedes and is equivalent to MEM030</w:t>
      </w:r>
      <w:r w:rsidRPr="00336257">
        <w:t xml:space="preserve">05B Rework and repair (electrical/electronic production) </w:t>
      </w:r>
    </w:p>
    <w:p w:rsidR="00000000" w:rsidRPr="00336257" w:rsidP="00336257">
      <w:pPr>
        <w:pStyle w:val="Heading1"/>
      </w:pPr>
      <w:bookmarkStart w:id="8" w:name="O_940813"/>
      <w:bookmarkEnd w:id="8"/>
      <w:r w:rsidRPr="00336257">
        <w:t>Links</w:t>
      </w:r>
    </w:p>
    <w:p w:rsidR="00000000" w:rsidRPr="00336257" w:rsidP="00CB41A4">
      <w:pPr>
        <w:pStyle w:val="BodyText"/>
      </w:pPr>
      <w:r w:rsidRPr="003362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4A5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36257" w:rsidP="00CB41A4">
      <w:pPr>
        <w:pStyle w:val="BodyText"/>
        <w:sectPr w:rsidSect="003362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6257" w:rsidP="00336257">
      <w:pPr>
        <w:pStyle w:val="SuperHeading"/>
      </w:pPr>
      <w:r w:rsidRPr="00336257">
        <w:t>Assessment Requirements for MEM03005 Rework and repair (electrical/electronic production)</w:t>
      </w:r>
    </w:p>
    <w:p w:rsidR="00000000" w:rsidRPr="00336257" w:rsidP="00336257">
      <w:pPr>
        <w:pStyle w:val="Heading1"/>
      </w:pPr>
      <w:bookmarkStart w:id="9" w:name="O_940815"/>
      <w:bookmarkEnd w:id="9"/>
      <w:r w:rsidRPr="00336257">
        <w:t>Modification History</w:t>
      </w:r>
    </w:p>
    <w:p w:rsidR="00000000" w:rsidRPr="00336257" w:rsidP="00CB41A4">
      <w:pPr>
        <w:pStyle w:val="BodyText"/>
      </w:pPr>
      <w:r w:rsidRPr="00336257">
        <w:t xml:space="preserve">Release 1. Supersedes and is equivalent to MEM03005B Rework and repair (electrical/electronic production) </w:t>
      </w:r>
    </w:p>
    <w:p w:rsidR="00000000" w:rsidRPr="00336257" w:rsidP="00336257">
      <w:pPr>
        <w:pStyle w:val="Heading1"/>
      </w:pPr>
      <w:bookmarkStart w:id="10" w:name="O_940818"/>
      <w:bookmarkEnd w:id="10"/>
      <w:r w:rsidRPr="00336257">
        <w:t>Performance Evidence</w:t>
      </w:r>
    </w:p>
    <w:p w:rsidR="00000000" w:rsidRPr="00336257" w:rsidP="00CB41A4">
      <w:pPr>
        <w:pStyle w:val="BodyText"/>
      </w:pPr>
      <w:r w:rsidRPr="00336257">
        <w:t>Evidence required to demonstrate competence in this unit must be relevant to and satisfy the requirements of the elements and performance criteria on at least two (2) occasions and include:</w:t>
      </w:r>
    </w:p>
    <w:p w:rsidR="00000000" w:rsidRPr="00336257" w:rsidP="00336257">
      <w:pPr>
        <w:pStyle w:val="ListBullet"/>
      </w:pPr>
      <w:r w:rsidRPr="00336257">
        <w:t>following work instructions,</w:t>
      </w:r>
      <w:r w:rsidRPr="00336257">
        <w:t xml:space="preserve"> standard operating procedures (SOPs) and safe work practices </w:t>
      </w:r>
    </w:p>
    <w:p w:rsidR="00000000" w:rsidRPr="00336257" w:rsidP="00336257">
      <w:pPr>
        <w:pStyle w:val="ListBullet"/>
      </w:pPr>
      <w:r w:rsidRPr="00336257">
        <w:t xml:space="preserve">following SOPs to test assembly for functional requirements and identify faults to be rectified </w:t>
      </w:r>
    </w:p>
    <w:p w:rsidR="00000000" w:rsidRPr="00336257" w:rsidP="00336257">
      <w:pPr>
        <w:pStyle w:val="ListBullet"/>
      </w:pPr>
      <w:r w:rsidRPr="00336257">
        <w:t>rectifying faults and completing repair and/or rework according to appropriate instructions from</w:t>
      </w:r>
      <w:r w:rsidRPr="00336257">
        <w:t xml:space="preserve"> job cards, sketches and assembly specifications</w:t>
      </w:r>
    </w:p>
    <w:p w:rsidR="00000000" w:rsidRPr="00336257" w:rsidP="00336257">
      <w:pPr>
        <w:pStyle w:val="ListBullet"/>
      </w:pPr>
      <w:r w:rsidRPr="00336257">
        <w:t>using appropriate anti-static handling procedures and techniques to handle and store components safely.</w:t>
      </w:r>
    </w:p>
    <w:p w:rsidR="00000000" w:rsidRPr="00336257" w:rsidP="00336257">
      <w:pPr>
        <w:pStyle w:val="AllowPageBreak"/>
      </w:pPr>
    </w:p>
    <w:p w:rsidR="00000000" w:rsidRPr="00336257" w:rsidP="00336257">
      <w:pPr>
        <w:pStyle w:val="Heading1"/>
      </w:pPr>
      <w:bookmarkStart w:id="11" w:name="O_940817"/>
      <w:bookmarkEnd w:id="11"/>
      <w:r w:rsidRPr="00336257">
        <w:t>Knowledge Evidence</w:t>
      </w:r>
    </w:p>
    <w:p w:rsidR="00000000" w:rsidRPr="00336257" w:rsidP="00CB41A4">
      <w:pPr>
        <w:pStyle w:val="BodyText"/>
      </w:pPr>
      <w:r w:rsidRPr="00336257">
        <w:t>Evidence required to demonstrate the required knowledge for this un</w:t>
      </w:r>
      <w:r w:rsidRPr="00336257">
        <w:t>it must be relevant to and satisfy the requirements of the elements and performance criteria and include knowledge of:</w:t>
      </w:r>
    </w:p>
    <w:p w:rsidR="00000000" w:rsidRPr="00336257" w:rsidP="00336257">
      <w:pPr>
        <w:pStyle w:val="ListBullet"/>
      </w:pPr>
      <w:r w:rsidRPr="00336257">
        <w:t>safe work practices and procedures and use of personal protective equipment (PPE)</w:t>
      </w:r>
    </w:p>
    <w:p w:rsidR="00000000" w:rsidRPr="00336257" w:rsidP="00336257">
      <w:pPr>
        <w:pStyle w:val="ListBullet"/>
      </w:pPr>
      <w:r w:rsidRPr="00336257">
        <w:t>functional requirements of the assembly</w:t>
      </w:r>
    </w:p>
    <w:p w:rsidR="00000000" w:rsidRPr="00336257" w:rsidP="00336257">
      <w:pPr>
        <w:pStyle w:val="ListBullet"/>
      </w:pPr>
      <w:r w:rsidRPr="00336257">
        <w:t>assembly tests</w:t>
      </w:r>
      <w:r w:rsidRPr="00336257">
        <w:t xml:space="preserve"> and methods</w:t>
      </w:r>
    </w:p>
    <w:p w:rsidR="00000000" w:rsidRPr="00336257" w:rsidP="00336257">
      <w:pPr>
        <w:pStyle w:val="ListBullet"/>
      </w:pPr>
      <w:r w:rsidRPr="00336257">
        <w:t>common causes of faults in connections and components and their symptoms</w:t>
      </w:r>
    </w:p>
    <w:p w:rsidR="00000000" w:rsidRPr="00336257" w:rsidP="00336257">
      <w:pPr>
        <w:pStyle w:val="ListBullet"/>
      </w:pPr>
      <w:r w:rsidRPr="00336257">
        <w:t>dangers of static electricity to electrical and electronic components</w:t>
      </w:r>
    </w:p>
    <w:p w:rsidR="00000000" w:rsidRPr="00336257" w:rsidP="00336257">
      <w:pPr>
        <w:pStyle w:val="ListBullet"/>
      </w:pPr>
      <w:r w:rsidRPr="00336257">
        <w:t>anti-static procedures and techniques and the safe handling and storage requirements of electrical and electronic components.</w:t>
      </w:r>
    </w:p>
    <w:p w:rsidR="00000000" w:rsidRPr="00336257" w:rsidP="00336257">
      <w:pPr>
        <w:pStyle w:val="AllowPageBreak"/>
      </w:pPr>
    </w:p>
    <w:p w:rsidR="00000000" w:rsidRPr="00336257" w:rsidP="00336257">
      <w:pPr>
        <w:pStyle w:val="Heading1"/>
      </w:pPr>
      <w:bookmarkStart w:id="12" w:name="O_940816"/>
      <w:bookmarkEnd w:id="12"/>
      <w:r w:rsidRPr="00336257">
        <w:t>Assessment Conditions</w:t>
      </w:r>
    </w:p>
    <w:p w:rsidR="00000000" w:rsidRPr="00336257" w:rsidP="00336257">
      <w:pPr>
        <w:pStyle w:val="ListBullet"/>
      </w:pPr>
      <w:r w:rsidRPr="00336257">
        <w:t>Assessors must:</w:t>
      </w:r>
    </w:p>
    <w:p w:rsidR="00000000" w:rsidRPr="00336257" w:rsidP="00336257">
      <w:pPr>
        <w:pStyle w:val="ListBullet2"/>
      </w:pPr>
      <w:r w:rsidRPr="00336257">
        <w:t>have vocational competency in reworking and repairing (electrical/electronic production) at least to the level being assessed with relevant industry knowledge and experience</w:t>
      </w:r>
    </w:p>
    <w:p w:rsidR="00000000" w:rsidRPr="00336257" w:rsidP="00336257">
      <w:pPr>
        <w:pStyle w:val="ListBullet2"/>
      </w:pPr>
      <w:r w:rsidRPr="00336257">
        <w:t xml:space="preserve">satisfy the assessor requirements in the </w:t>
      </w:r>
      <w:r w:rsidRPr="00336257">
        <w:rPr>
          <w:rStyle w:val="Emphasis"/>
        </w:rPr>
        <w:t>Standards for Registered Training Organis</w:t>
      </w:r>
      <w:r w:rsidRPr="00336257">
        <w:rPr>
          <w:rStyle w:val="Emphasis"/>
        </w:rPr>
        <w:t xml:space="preserve">ations 2015 </w:t>
      </w:r>
      <w:r w:rsidRPr="00336257">
        <w:t>or its replacement</w:t>
      </w:r>
      <w:r w:rsidRPr="00336257">
        <w:rPr>
          <w:rStyle w:val="Emphasis"/>
        </w:rPr>
        <w:t xml:space="preserve"> </w:t>
      </w:r>
      <w:r w:rsidRPr="00336257">
        <w:t xml:space="preserve">and comply with the </w:t>
      </w:r>
      <w:r w:rsidRPr="00336257">
        <w:rPr>
          <w:rStyle w:val="Emphasis"/>
        </w:rPr>
        <w:t xml:space="preserve">National Vocational Education and Training Regulator Act 2011, </w:t>
      </w:r>
      <w:r w:rsidRPr="00336257">
        <w:t>its replacement</w:t>
      </w:r>
      <w:r w:rsidRPr="00336257">
        <w:rPr>
          <w:rStyle w:val="Emphasis"/>
        </w:rPr>
        <w:t xml:space="preserve"> </w:t>
      </w:r>
      <w:r w:rsidRPr="00336257">
        <w:t>or equivalent legislation covering VET regulation in a non-referring state/territory as the case requires</w:t>
      </w:r>
    </w:p>
    <w:p w:rsidR="00000000" w:rsidRPr="00336257" w:rsidP="00336257">
      <w:pPr>
        <w:pStyle w:val="ListBullet"/>
      </w:pPr>
      <w:r w:rsidRPr="00336257">
        <w:t>Where possible asse</w:t>
      </w:r>
      <w:r w:rsidRPr="00336257">
        <w:t>ssment must occur in operational workplace situations. Where this is not possible or where personal safety or environmental damage are limiting factors, assessment must occur in a sufficiently rigorous simulated environment that reflects realistic operatio</w:t>
      </w:r>
      <w:r w:rsidRPr="00336257">
        <w:t>nal workplace conditions. This must cover all aspects of workplace performance, including environment, task skills, task management skills, contingency management skills and job role environment skills</w:t>
      </w:r>
    </w:p>
    <w:p w:rsidR="00000000" w:rsidRPr="00336257" w:rsidP="00336257">
      <w:pPr>
        <w:pStyle w:val="ListBullet"/>
      </w:pPr>
      <w:r w:rsidRPr="00336257">
        <w:t>Conditions for assessment must include access to all t</w:t>
      </w:r>
      <w:r w:rsidRPr="00336257">
        <w:t>ools, equipment, materials and documentation required, including relevant workplace procedures, product and manufacturing specifications</w:t>
      </w:r>
    </w:p>
    <w:p w:rsidR="00000000" w:rsidRPr="00336257" w:rsidP="00336257">
      <w:pPr>
        <w:pStyle w:val="ListBullet"/>
      </w:pPr>
      <w:r w:rsidRPr="00336257">
        <w:t>Assessment processes and techniques must be appropriate to the language, literacy and numeracy requirements of the work</w:t>
      </w:r>
      <w:r w:rsidRPr="00336257">
        <w:t xml:space="preserve"> being performed and the needs of the candidate.</w:t>
      </w:r>
    </w:p>
    <w:p w:rsidR="00000000" w:rsidRPr="00336257" w:rsidP="00336257">
      <w:pPr>
        <w:pStyle w:val="AllowPageBreak"/>
      </w:pPr>
    </w:p>
    <w:p w:rsidR="00000000" w:rsidRPr="00336257" w:rsidP="00336257">
      <w:pPr>
        <w:pStyle w:val="Heading1"/>
      </w:pPr>
      <w:bookmarkStart w:id="13" w:name="O_940814"/>
      <w:bookmarkEnd w:id="13"/>
      <w:r w:rsidRPr="00336257">
        <w:t>Links</w:t>
      </w:r>
    </w:p>
    <w:p w:rsidR="00000000" w:rsidRPr="00336257" w:rsidP="00CB41A4">
      <w:pPr>
        <w:pStyle w:val="BodyText"/>
      </w:pPr>
      <w:r w:rsidRPr="003362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4A5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36257" w:rsidP="00336257"/>
    <w:sectPr w:rsidSect="003362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57" w:rsidRPr="00CB41A4" w:rsidP="00CB4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A4" w:rsidP="00336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1A4" w:rsidP="00336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41A4" w:rsidP="003362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57" w:rsidP="00336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41A4">
      <w:t>Approved</w:t>
    </w:r>
    <w:r w:rsidR="00CB41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41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41A4">
      <w:rPr>
        <w:noProof/>
      </w:rPr>
      <w:t>4</w:t>
    </w:r>
    <w:r>
      <w:rPr>
        <w:noProof/>
      </w:rPr>
      <w:fldChar w:fldCharType="end"/>
    </w:r>
  </w:p>
  <w:p w:rsidR="00336257" w:rsidP="00336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41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41A4">
      <w:t>Manufacturing Industry Skills Alliance</w:t>
    </w:r>
    <w:r w:rsidR="00CB41A4">
      <w:fldChar w:fldCharType="end"/>
    </w:r>
  </w:p>
  <w:p w:rsidR="00336257" w:rsidP="00336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257" w:rsidRPr="00CB41A4" w:rsidP="00CB4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A4" w:rsidRPr="002D2AF8" w:rsidP="00336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MEM03005 Rework and repair (electrical/electronic production)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41A4" w:rsidP="003362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57" w:rsidRPr="002D2AF8" w:rsidP="00336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41A4">
      <w:t>MEM03005 Rework and repair (electrical/electronic production)</w:t>
    </w:r>
    <w:r w:rsidR="00CB41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41A4">
      <w:rPr>
        <w:noProof/>
      </w:rPr>
      <w:t>2 March 2025</w:t>
    </w:r>
    <w:r>
      <w:fldChar w:fldCharType="end"/>
    </w:r>
  </w:p>
  <w:p w:rsidR="00336257" w:rsidP="00336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20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C06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D81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257"/>
  </w:style>
  <w:style w:type="character" w:customStyle="1" w:styleId="Heading1Char">
    <w:name w:val="Heading 1 Char"/>
    <w:basedOn w:val="DefaultParagraphFont"/>
    <w:link w:val="Heading1"/>
    <w:rsid w:val="00336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2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2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257"/>
    <w:rPr>
      <w:b/>
      <w:spacing w:val="0"/>
    </w:rPr>
  </w:style>
  <w:style w:type="paragraph" w:styleId="ListBullet2">
    <w:name w:val="List Bullet 2"/>
    <w:basedOn w:val="List2"/>
    <w:rsid w:val="003362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6257"/>
    <w:rPr>
      <w:i/>
    </w:rPr>
  </w:style>
  <w:style w:type="paragraph" w:customStyle="1" w:styleId="SuperHeading">
    <w:name w:val="SuperHeading"/>
    <w:basedOn w:val="Normal"/>
    <w:rsid w:val="00336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2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2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257"/>
  </w:style>
  <w:style w:type="paragraph" w:styleId="TableofFigures">
    <w:name w:val="table of figures"/>
    <w:basedOn w:val="Normal"/>
    <w:next w:val="Normal"/>
    <w:semiHidden/>
    <w:rsid w:val="00336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2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257"/>
    <w:rPr>
      <w:rFonts w:ascii="Wingdings" w:hAnsi="Wingdings"/>
    </w:rPr>
  </w:style>
  <w:style w:type="paragraph" w:customStyle="1" w:styleId="TableHeading">
    <w:name w:val="Table Heading"/>
    <w:basedOn w:val="HeadingBase"/>
    <w:rsid w:val="00336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257"/>
    <w:rPr>
      <w:color w:val="0033CC"/>
      <w:u w:val="none"/>
    </w:rPr>
  </w:style>
  <w:style w:type="paragraph" w:customStyle="1" w:styleId="BodyTextRight">
    <w:name w:val="Body Text Right"/>
    <w:basedOn w:val="BodyText"/>
    <w:rsid w:val="00336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2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257"/>
    <w:rPr>
      <w:sz w:val="32"/>
    </w:rPr>
  </w:style>
  <w:style w:type="paragraph" w:customStyle="1" w:styleId="HeadingProcedure">
    <w:name w:val="Heading Procedure"/>
    <w:basedOn w:val="HeadingBase"/>
    <w:next w:val="Normal"/>
    <w:rsid w:val="00336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257"/>
    <w:pPr>
      <w:spacing w:before="60" w:after="60"/>
    </w:pPr>
  </w:style>
  <w:style w:type="paragraph" w:styleId="ListContinue">
    <w:name w:val="List Continue"/>
    <w:basedOn w:val="List"/>
    <w:rsid w:val="00336257"/>
    <w:pPr>
      <w:ind w:firstLine="0"/>
    </w:pPr>
  </w:style>
  <w:style w:type="paragraph" w:customStyle="1" w:styleId="ListNote">
    <w:name w:val="List Note"/>
    <w:basedOn w:val="List"/>
    <w:rsid w:val="00336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257"/>
    <w:rPr>
      <w:rFonts w:ascii="Courier New" w:hAnsi="Courier New"/>
    </w:rPr>
  </w:style>
  <w:style w:type="paragraph" w:customStyle="1" w:styleId="NoteBullet">
    <w:name w:val="Note Bullet"/>
    <w:basedOn w:val="Note"/>
    <w:rsid w:val="00336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2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257"/>
    <w:rPr>
      <w:b/>
      <w:smallCaps/>
    </w:rPr>
  </w:style>
  <w:style w:type="paragraph" w:customStyle="1" w:styleId="TableListNumber">
    <w:name w:val="Table List Number"/>
    <w:basedOn w:val="ListNumber"/>
    <w:rsid w:val="00336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257"/>
    <w:pPr>
      <w:numPr>
        <w:numId w:val="9"/>
      </w:numPr>
    </w:pPr>
  </w:style>
  <w:style w:type="paragraph" w:customStyle="1" w:styleId="ListAlpha2">
    <w:name w:val="List Alpha 2"/>
    <w:basedOn w:val="List2"/>
    <w:rsid w:val="00336257"/>
    <w:pPr>
      <w:numPr>
        <w:numId w:val="8"/>
      </w:numPr>
    </w:pPr>
  </w:style>
  <w:style w:type="paragraph" w:styleId="List2">
    <w:name w:val="List 2"/>
    <w:basedOn w:val="BodyText"/>
    <w:rsid w:val="00336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2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2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257"/>
    <w:pPr>
      <w:numPr>
        <w:numId w:val="4"/>
      </w:numPr>
    </w:pPr>
  </w:style>
  <w:style w:type="paragraph" w:styleId="ListContinue2">
    <w:name w:val="List Continue 2"/>
    <w:basedOn w:val="List2"/>
    <w:rsid w:val="00336257"/>
    <w:pPr>
      <w:ind w:firstLine="0"/>
    </w:pPr>
  </w:style>
  <w:style w:type="paragraph" w:styleId="ListContinue3">
    <w:name w:val="List Continue 3"/>
    <w:basedOn w:val="List3"/>
    <w:rsid w:val="00336257"/>
    <w:pPr>
      <w:ind w:left="1021" w:firstLine="0"/>
    </w:pPr>
  </w:style>
  <w:style w:type="paragraph" w:styleId="ListContinue4">
    <w:name w:val="List Continue 4"/>
    <w:basedOn w:val="List4"/>
    <w:rsid w:val="00336257"/>
    <w:pPr>
      <w:ind w:firstLine="0"/>
    </w:pPr>
  </w:style>
  <w:style w:type="paragraph" w:styleId="ListContinue5">
    <w:name w:val="List Continue 5"/>
    <w:basedOn w:val="List5"/>
    <w:rsid w:val="00336257"/>
    <w:pPr>
      <w:ind w:firstLine="0"/>
    </w:pPr>
  </w:style>
  <w:style w:type="paragraph" w:styleId="ListNumber3">
    <w:name w:val="List Number 3"/>
    <w:basedOn w:val="List3"/>
    <w:rsid w:val="00336257"/>
    <w:pPr>
      <w:numPr>
        <w:numId w:val="5"/>
      </w:numPr>
    </w:pPr>
  </w:style>
  <w:style w:type="paragraph" w:styleId="ListNumber4">
    <w:name w:val="List Number 4"/>
    <w:basedOn w:val="List4"/>
    <w:rsid w:val="00336257"/>
    <w:pPr>
      <w:numPr>
        <w:numId w:val="6"/>
      </w:numPr>
    </w:pPr>
  </w:style>
  <w:style w:type="paragraph" w:styleId="ListNumber5">
    <w:name w:val="List Number 5"/>
    <w:basedOn w:val="List5"/>
    <w:rsid w:val="00336257"/>
    <w:pPr>
      <w:numPr>
        <w:numId w:val="7"/>
      </w:numPr>
    </w:pPr>
  </w:style>
  <w:style w:type="paragraph" w:styleId="BlockText">
    <w:name w:val="Block Text"/>
    <w:basedOn w:val="Normal"/>
    <w:rsid w:val="00336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257"/>
    <w:rPr>
      <w:sz w:val="16"/>
      <w:vertAlign w:val="superscript"/>
    </w:rPr>
  </w:style>
  <w:style w:type="character" w:customStyle="1" w:styleId="Symbols">
    <w:name w:val="Symbols"/>
    <w:basedOn w:val="DefaultParagraphFont"/>
    <w:rsid w:val="00336257"/>
    <w:rPr>
      <w:rFonts w:ascii="Symbol" w:hAnsi="Symbol"/>
    </w:rPr>
  </w:style>
  <w:style w:type="character" w:customStyle="1" w:styleId="MenuOptions">
    <w:name w:val="Menu Options"/>
    <w:basedOn w:val="DefaultParagraphFont"/>
    <w:rsid w:val="00336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257"/>
    <w:rPr>
      <w:b/>
    </w:rPr>
  </w:style>
  <w:style w:type="character" w:customStyle="1" w:styleId="Underlined">
    <w:name w:val="Underlined"/>
    <w:basedOn w:val="DefaultParagraphFont"/>
    <w:rsid w:val="00336257"/>
    <w:rPr>
      <w:u w:val="single"/>
    </w:rPr>
  </w:style>
  <w:style w:type="paragraph" w:customStyle="1" w:styleId="TableBodyTextRight">
    <w:name w:val="Table Body Text Right"/>
    <w:basedOn w:val="TableBodyText"/>
    <w:rsid w:val="00336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257"/>
    <w:rPr>
      <w:sz w:val="18"/>
    </w:rPr>
  </w:style>
  <w:style w:type="paragraph" w:customStyle="1" w:styleId="BodySmallRight">
    <w:name w:val="Body Small Right"/>
    <w:basedOn w:val="BodyTextRight"/>
    <w:rsid w:val="00336257"/>
    <w:rPr>
      <w:sz w:val="18"/>
      <w:szCs w:val="18"/>
    </w:rPr>
  </w:style>
  <w:style w:type="paragraph" w:customStyle="1" w:styleId="MarginEdition">
    <w:name w:val="Margin Edition"/>
    <w:basedOn w:val="MarginNote"/>
    <w:rsid w:val="00336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257"/>
    <w:rPr>
      <w:sz w:val="2"/>
      <w:szCs w:val="2"/>
    </w:rPr>
  </w:style>
  <w:style w:type="character" w:customStyle="1" w:styleId="Small">
    <w:name w:val="Small"/>
    <w:basedOn w:val="DefaultParagraphFont"/>
    <w:rsid w:val="00336257"/>
    <w:rPr>
      <w:sz w:val="16"/>
    </w:rPr>
  </w:style>
  <w:style w:type="paragraph" w:customStyle="1" w:styleId="WideTable">
    <w:name w:val="Wide Table"/>
    <w:basedOn w:val="Normal"/>
    <w:rsid w:val="00336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257"/>
  </w:style>
  <w:style w:type="paragraph" w:styleId="Quote">
    <w:name w:val="Quote"/>
    <w:basedOn w:val="Heading1"/>
    <w:link w:val="QuoteChar"/>
    <w:qFormat/>
    <w:rsid w:val="00336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257"/>
    <w:pPr>
      <w:pageBreakBefore/>
    </w:pPr>
  </w:style>
  <w:style w:type="paragraph" w:customStyle="1" w:styleId="Border">
    <w:name w:val="Border"/>
    <w:basedOn w:val="Normal"/>
    <w:qFormat/>
    <w:rsid w:val="00336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257"/>
    <w:rPr>
      <w:u w:val="single"/>
    </w:rPr>
  </w:style>
  <w:style w:type="character" w:customStyle="1" w:styleId="BoldandItalics">
    <w:name w:val="Bold and Italics"/>
    <w:qFormat/>
    <w:rsid w:val="00336257"/>
    <w:rPr>
      <w:b/>
      <w:i/>
      <w:u w:val="none"/>
    </w:rPr>
  </w:style>
  <w:style w:type="paragraph" w:styleId="BalloonText">
    <w:name w:val="Balloon Text"/>
    <w:basedOn w:val="Normal"/>
    <w:link w:val="BalloonTextChar"/>
    <w:rsid w:val="00336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257"/>
    <w:pPr>
      <w:spacing w:before="0" w:after="0"/>
    </w:pPr>
  </w:style>
  <w:style w:type="paragraph" w:customStyle="1" w:styleId="BodyTextBold">
    <w:name w:val="Body Text Bold"/>
    <w:basedOn w:val="BodyText"/>
    <w:qFormat/>
    <w:rsid w:val="00336257"/>
    <w:rPr>
      <w:b/>
    </w:rPr>
  </w:style>
  <w:style w:type="character" w:styleId="Hyperlink">
    <w:name w:val="Hyperlink"/>
    <w:basedOn w:val="DefaultParagraphFont"/>
    <w:uiPriority w:val="99"/>
    <w:unhideWhenUsed/>
    <w:rsid w:val="00CB4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5575</Characters>
  <Application>Microsoft Office Word</Application>
  <DocSecurity>0</DocSecurity>
  <Lines>185</Lines>
  <Paragraphs>103</Paragraphs>
  <ScaleCrop>false</ScaleCrop>
  <Company>Author-it Software Corporation Ltd.</Company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MEM03005 Rework and repair (electrical/electronic production)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