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D12" w:rsidP="00DF1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MEM03004 Perform electronic/electrical assembly (production)</w:t>
      </w:r>
      <w:r>
        <w:fldChar w:fldCharType="end"/>
      </w:r>
    </w:p>
    <w:p w:rsidR="00DF1D12" w:rsidP="00DF1D12">
      <w:pPr>
        <w:pStyle w:val="Version"/>
        <w:sectPr w:rsidSect="00BF3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788" w:rsidP="00BF3788">
      <w:pPr>
        <w:pStyle w:val="SuperHeading"/>
      </w:pPr>
      <w:r w:rsidRPr="00BF3788">
        <w:t>MEM03004 Perform electronic/electrical assembly (production)</w:t>
      </w:r>
    </w:p>
    <w:p w:rsidR="00000000" w:rsidRPr="00BF3788" w:rsidP="00BF3788">
      <w:pPr>
        <w:pStyle w:val="Heading1"/>
      </w:pPr>
      <w:bookmarkStart w:id="1" w:name="O_940800"/>
      <w:bookmarkEnd w:id="1"/>
      <w:r w:rsidRPr="00BF3788">
        <w:t>Modification History</w:t>
      </w:r>
    </w:p>
    <w:p w:rsidR="00000000" w:rsidRPr="00BF3788" w:rsidP="00DF1D12">
      <w:pPr>
        <w:pStyle w:val="BodyText"/>
      </w:pPr>
      <w:r w:rsidRPr="00BF3788">
        <w:t xml:space="preserve">Release 1. Supersedes and is equivalent to MEM03004B Perform electronic/electrical assembly (production) </w:t>
      </w:r>
    </w:p>
    <w:p w:rsidR="00000000" w:rsidRPr="00BF3788" w:rsidP="00BF3788">
      <w:pPr>
        <w:pStyle w:val="Heading1"/>
      </w:pPr>
      <w:bookmarkStart w:id="2" w:name="O_940808"/>
      <w:bookmarkEnd w:id="2"/>
      <w:r w:rsidRPr="00BF3788">
        <w:t>Application</w:t>
      </w:r>
    </w:p>
    <w:p w:rsidR="00000000" w:rsidRPr="00BF3788" w:rsidP="00DF1D12">
      <w:pPr>
        <w:pStyle w:val="BodyText"/>
      </w:pPr>
      <w:r w:rsidRPr="00BF3788">
        <w:t>This unit of competency defines the skills and knowledge required to identify and as</w:t>
      </w:r>
      <w:r w:rsidRPr="00BF3788">
        <w:t>semble electronic/electrical components and to test the assembled components for conformance to job sheets/specifications. It includes the use of automatic wave soldering machines.</w:t>
      </w:r>
    </w:p>
    <w:p w:rsidR="00000000" w:rsidRPr="00BF3788" w:rsidP="00DF1D12">
      <w:pPr>
        <w:pStyle w:val="BodyText"/>
      </w:pPr>
      <w:r w:rsidRPr="00BF3788">
        <w:t>Where the selection and use soldering skills is required unit MEM05001 Per</w:t>
      </w:r>
      <w:r w:rsidRPr="00BF3788">
        <w:t>form manual soldering/desoldering - electrical/electronic components and unit MEM05002 Perform high reliability soldering and desoldering, should also be selected as appropriate.</w:t>
      </w:r>
    </w:p>
    <w:p w:rsidR="00000000" w:rsidRPr="00BF3788" w:rsidP="00DF1D12">
      <w:pPr>
        <w:pStyle w:val="BodyText"/>
      </w:pPr>
      <w:r w:rsidRPr="00BF3788">
        <w:t>Where the interpretation of technical drawings is required unit MEM09002 Int</w:t>
      </w:r>
      <w:r w:rsidRPr="00BF3788">
        <w:t>erpret technical drawing should also be selected.</w:t>
      </w:r>
    </w:p>
    <w:p w:rsidR="00000000" w:rsidRPr="00BF3788" w:rsidP="00DF1D12">
      <w:pPr>
        <w:pStyle w:val="BodyText"/>
      </w:pPr>
      <w:r w:rsidRPr="00BF3788">
        <w:t>Where the selection and use of manual handling is required unit MEM11011 Undertake manual handling should also be selected.</w:t>
      </w:r>
    </w:p>
    <w:p w:rsidR="00000000" w:rsidRPr="00BF3788" w:rsidP="00DF1D12">
      <w:pPr>
        <w:pStyle w:val="BodyText"/>
      </w:pPr>
      <w:r w:rsidRPr="00BF3788">
        <w:t>Where the selection and use of measurement skills is required unit MEM12002 Perf</w:t>
      </w:r>
      <w:r w:rsidRPr="00BF3788">
        <w:t>orm electrical/electronic measurement should also be selected.</w:t>
      </w:r>
    </w:p>
    <w:p w:rsidR="00000000" w:rsidRPr="00BF3788" w:rsidP="00DF1D12">
      <w:pPr>
        <w:pStyle w:val="BodyText"/>
      </w:pPr>
      <w:r w:rsidRPr="00BF3788">
        <w:t>Where the selection and use of engineering measuring equipment is required unit MEM12023 Perform engineering measurements should also be selected.</w:t>
      </w:r>
    </w:p>
    <w:p w:rsidR="00000000" w:rsidRPr="00BF3788" w:rsidP="00DF1D12">
      <w:pPr>
        <w:pStyle w:val="BodyText"/>
      </w:pPr>
      <w:r w:rsidRPr="00BF3788">
        <w:t>Where the selection and use of tools is requ</w:t>
      </w:r>
      <w:r w:rsidRPr="00BF3788">
        <w:t>ired unit MEM18001 Use hand tools and unit MEM18002 Use power tools/hand held operations, should also be selected as appropriate.</w:t>
      </w:r>
    </w:p>
    <w:p w:rsidR="00000000" w:rsidRPr="00BF3788" w:rsidP="00DF1D12">
      <w:pPr>
        <w:pStyle w:val="BodyText"/>
      </w:pPr>
      <w:r w:rsidRPr="00BF3788">
        <w:t>No licensing, legislative or certification requirements apply to this unit at the time of publication.</w:t>
      </w:r>
    </w:p>
    <w:p w:rsidR="00000000" w:rsidRPr="00BF3788" w:rsidP="00BF3788">
      <w:pPr>
        <w:pStyle w:val="BodyText"/>
      </w:pPr>
      <w:r w:rsidRPr="00BF3788">
        <w:rPr>
          <w:rStyle w:val="SpecialBold"/>
        </w:rPr>
        <w:t>Band:</w:t>
      </w:r>
      <w:r w:rsidRPr="00BF3788">
        <w:rPr>
          <w:rStyle w:val="SpecialBold"/>
        </w:rPr>
        <w:tab/>
        <w:t>A</w:t>
      </w:r>
    </w:p>
    <w:p w:rsidR="00DF1D12" w:rsidP="00BF3788">
      <w:pPr>
        <w:pStyle w:val="BodyText"/>
      </w:pPr>
      <w:r w:rsidRPr="00BF3788">
        <w:rPr>
          <w:rStyle w:val="SpecialBold"/>
        </w:rPr>
        <w:t>Unit Weight:</w:t>
      </w:r>
      <w:r w:rsidRPr="00BF3788">
        <w:rPr>
          <w:rStyle w:val="SpecialBold"/>
        </w:rPr>
        <w:tab/>
      </w:r>
      <w:r w:rsidRPr="00BF3788">
        <w:rPr>
          <w:rStyle w:val="SpecialBold"/>
        </w:rPr>
        <w:t>8</w:t>
      </w:r>
    </w:p>
    <w:p w:rsidR="00DF1D12" w:rsidP="00BF3788">
      <w:pPr>
        <w:pStyle w:val="BodyText"/>
      </w:pPr>
    </w:p>
    <w:p w:rsidR="00000000" w:rsidRPr="00BF3788" w:rsidP="00BF3788">
      <w:pPr>
        <w:pStyle w:val="Heading1"/>
      </w:pPr>
      <w:bookmarkStart w:id="3" w:name="O_940807"/>
      <w:bookmarkEnd w:id="3"/>
      <w:r w:rsidRPr="00BF378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Work safely and effectively in manufacturing and engineering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88" w:rsidP="00BF3788">
            <w:pPr>
              <w:pStyle w:val="BodyText"/>
            </w:pPr>
            <w:r w:rsidRPr="00BF3788">
              <w:t>Organise and communicate information</w:t>
            </w:r>
          </w:p>
        </w:tc>
      </w:tr>
    </w:tbl>
    <w:p w:rsidR="00000000" w:rsidRPr="00BF3788" w:rsidP="00BF3788">
      <w:pPr>
        <w:pStyle w:val="BodyText"/>
      </w:pPr>
    </w:p>
    <w:p w:rsidR="00000000" w:rsidRPr="00BF3788" w:rsidP="00BF3788">
      <w:pPr>
        <w:pStyle w:val="AllowPageBreak"/>
      </w:pPr>
    </w:p>
    <w:p w:rsidR="00000000" w:rsidRPr="00BF3788" w:rsidP="00BF3788">
      <w:pPr>
        <w:pStyle w:val="Heading1"/>
      </w:pPr>
      <w:bookmarkStart w:id="4" w:name="O_940806"/>
      <w:bookmarkEnd w:id="4"/>
      <w:r w:rsidRPr="00BF3788">
        <w:t>Competency Field</w:t>
      </w:r>
    </w:p>
    <w:p w:rsidR="00000000" w:rsidRPr="00BF3788" w:rsidP="00DF1D12">
      <w:pPr>
        <w:pStyle w:val="BodyText"/>
      </w:pPr>
      <w:r w:rsidRPr="00BF3788">
        <w:t>Assembly</w:t>
      </w:r>
    </w:p>
    <w:p w:rsidR="00000000" w:rsidRPr="00BF3788" w:rsidP="00BF3788">
      <w:pPr>
        <w:pStyle w:val="Heading1"/>
      </w:pPr>
      <w:bookmarkStart w:id="5" w:name="O_940804"/>
      <w:bookmarkEnd w:id="5"/>
      <w:r w:rsidRPr="00BF37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Performance criteria describe the performance needed to demonstrate achievement of the element.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88" w:rsidP="00BF3788">
            <w:pPr>
              <w:pStyle w:val="BodyText"/>
            </w:pPr>
            <w:r w:rsidRPr="00BF378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Follow standard operating procedures (SOPs)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Comply with work health and safety (WHS) requirements at all times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Use appropriate personal protective equipment (PPE) in accordance with SOPs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Identify job requirements from specifications, sketches, job sheets or work instructions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88" w:rsidP="00BF3788">
            <w:pPr>
              <w:pStyle w:val="BodyText"/>
            </w:pPr>
            <w:r w:rsidRPr="00BF378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rPr>
                <w:rStyle w:val="SpecialBold"/>
              </w:rPr>
              <w:t>Select assembly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Select assembly equipment and use in accordance with instructions or job sheets to SOPs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Use equipment in a safe manner according to SOPs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88" w:rsidP="00BF3788">
            <w:pPr>
              <w:pStyle w:val="BodyText"/>
            </w:pPr>
            <w:r w:rsidRPr="00BF3788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rPr>
                <w:rStyle w:val="SpecialBold"/>
              </w:rPr>
              <w:t>Identify electronic/electrical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Identify common name, appearance, and colour of electronic and electrical components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Identify polarity indicators on components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88" w:rsidP="00BF3788">
            <w:pPr>
              <w:pStyle w:val="BodyText"/>
            </w:pPr>
            <w:r w:rsidRPr="00BF3788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rPr>
                <w:rStyle w:val="SpecialBold"/>
              </w:rPr>
              <w:t>Assemble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Select correct components by code/colour or other identification methods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 xml:space="preserve">Prepare components/devices for soldering or other </w:t>
            </w:r>
            <w:r w:rsidRPr="00BF3788">
              <w:t>termination methods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Connect cables to a variety of plug and socket combinations, as required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Handle and store components safely using appropriate anti-static handling procedures and techniques</w:t>
            </w:r>
            <w:r w:rsidRPr="00BF3788">
              <w:t xml:space="preserve"> in accordance with procedures</w:t>
            </w:r>
          </w:p>
        </w:tc>
      </w:tr>
      <w:tr w:rsidTr="00BF3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788">
            <w:pPr>
              <w:pStyle w:val="BodyText"/>
              <w:rPr>
                <w:lang w:val="en-NZ"/>
              </w:rPr>
            </w:pPr>
            <w:r w:rsidRPr="00BF3788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788" w:rsidP="00BF3788">
            <w:pPr>
              <w:pStyle w:val="BodyText"/>
            </w:pPr>
            <w:r w:rsidRPr="00BF3788">
              <w:t>Produce assembly following correct sequence of operations</w:t>
            </w:r>
          </w:p>
        </w:tc>
      </w:tr>
    </w:tbl>
    <w:p w:rsidR="00000000" w:rsidRPr="00BF3788" w:rsidP="00BF3788">
      <w:pPr>
        <w:pStyle w:val="BodyText"/>
      </w:pPr>
    </w:p>
    <w:p w:rsidR="00000000" w:rsidRPr="00BF3788" w:rsidP="00BF3788">
      <w:pPr>
        <w:pStyle w:val="AllowPageBreak"/>
      </w:pPr>
    </w:p>
    <w:p w:rsidR="00000000" w:rsidRPr="00BF3788" w:rsidP="00BF3788">
      <w:pPr>
        <w:pStyle w:val="Heading1"/>
      </w:pPr>
      <w:bookmarkStart w:id="6" w:name="O_940803"/>
      <w:bookmarkEnd w:id="6"/>
      <w:r w:rsidRPr="00BF3788">
        <w:t>Foundation Skills</w:t>
      </w:r>
    </w:p>
    <w:p w:rsidR="00000000" w:rsidRPr="00BF3788" w:rsidP="00DF1D12">
      <w:pPr>
        <w:pStyle w:val="BodyText"/>
      </w:pPr>
      <w:r w:rsidRPr="00BF378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F3788" w:rsidP="00DF1D12">
      <w:pPr>
        <w:pStyle w:val="BodyText"/>
      </w:pPr>
      <w:r w:rsidRPr="00BF3788">
        <w:t xml:space="preserve">Foundation skills essential to performance are explicit in the performance criteria </w:t>
      </w:r>
      <w:r w:rsidRPr="00BF3788">
        <w:t>of this unit of competency.</w:t>
      </w:r>
    </w:p>
    <w:p w:rsidR="00000000" w:rsidRPr="00BF3788" w:rsidP="00BF3788">
      <w:pPr>
        <w:pStyle w:val="Heading1"/>
      </w:pPr>
      <w:bookmarkStart w:id="7" w:name="O_940801"/>
      <w:bookmarkEnd w:id="7"/>
      <w:r w:rsidRPr="00BF3788">
        <w:t>Unit Mapping Information</w:t>
      </w:r>
    </w:p>
    <w:p w:rsidR="00000000" w:rsidRPr="00BF3788" w:rsidP="00DF1D12">
      <w:pPr>
        <w:pStyle w:val="BodyText"/>
      </w:pPr>
      <w:r w:rsidRPr="00BF3788">
        <w:t xml:space="preserve">Release 1. Supersedes and is equivalent to MEM03004B Perform electronic/electrical assembly (production) </w:t>
      </w:r>
    </w:p>
    <w:p w:rsidR="00000000" w:rsidRPr="00BF3788" w:rsidP="00BF3788">
      <w:pPr>
        <w:pStyle w:val="Heading1"/>
      </w:pPr>
      <w:bookmarkStart w:id="8" w:name="O_940794"/>
      <w:bookmarkEnd w:id="8"/>
      <w:r w:rsidRPr="00BF3788">
        <w:t>Links</w:t>
      </w:r>
    </w:p>
    <w:p w:rsidR="00000000" w:rsidRPr="00BF3788" w:rsidP="00DF1D12">
      <w:pPr>
        <w:pStyle w:val="BodyText"/>
      </w:pPr>
      <w:r w:rsidRPr="00BF3788">
        <w:t>Companion Volume implementation guides are found in VETNe</w:t>
      </w:r>
      <w:r w:rsidRPr="00BF3788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33A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3788" w:rsidP="00BF3788"/>
    <w:sectPr w:rsidSect="00BF37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88" w:rsidRPr="00DF1D12" w:rsidP="00DF1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12" w:rsidP="00BF3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D12" w:rsidP="00BF3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1D12" w:rsidP="00BF3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788" w:rsidRPr="00DF1D12" w:rsidP="00DF1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D12" w:rsidRPr="002D2AF8" w:rsidP="00BF3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MEM03004 Perform electronic/electrical assembly (production)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F1D12" w:rsidP="00BF3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788"/>
  </w:style>
  <w:style w:type="character" w:customStyle="1" w:styleId="Heading1Char">
    <w:name w:val="Heading 1 Char"/>
    <w:basedOn w:val="DefaultParagraphFont"/>
    <w:link w:val="Heading1"/>
    <w:rsid w:val="00BF3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7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3788"/>
    <w:rPr>
      <w:b/>
      <w:spacing w:val="0"/>
    </w:rPr>
  </w:style>
  <w:style w:type="paragraph" w:customStyle="1" w:styleId="SuperHeading">
    <w:name w:val="SuperHeading"/>
    <w:basedOn w:val="Normal"/>
    <w:rsid w:val="00BF3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7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37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3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7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788"/>
    <w:rPr>
      <w:i/>
    </w:rPr>
  </w:style>
  <w:style w:type="paragraph" w:styleId="Caption">
    <w:name w:val="caption"/>
    <w:basedOn w:val="BodyText"/>
    <w:next w:val="Normal"/>
    <w:qFormat/>
    <w:rsid w:val="00BF3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788"/>
  </w:style>
  <w:style w:type="paragraph" w:styleId="TableofFigures">
    <w:name w:val="table of figures"/>
    <w:basedOn w:val="Normal"/>
    <w:next w:val="Normal"/>
    <w:semiHidden/>
    <w:rsid w:val="00BF3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7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3788"/>
    <w:rPr>
      <w:rFonts w:ascii="Wingdings" w:hAnsi="Wingdings"/>
    </w:rPr>
  </w:style>
  <w:style w:type="paragraph" w:customStyle="1" w:styleId="TableHeading">
    <w:name w:val="Table Heading"/>
    <w:basedOn w:val="HeadingBase"/>
    <w:rsid w:val="00BF3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788"/>
    <w:rPr>
      <w:color w:val="0033CC"/>
      <w:u w:val="none"/>
    </w:rPr>
  </w:style>
  <w:style w:type="paragraph" w:customStyle="1" w:styleId="BodyTextRight">
    <w:name w:val="Body Text Right"/>
    <w:basedOn w:val="BodyText"/>
    <w:rsid w:val="00BF3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7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788"/>
    <w:rPr>
      <w:sz w:val="32"/>
    </w:rPr>
  </w:style>
  <w:style w:type="paragraph" w:customStyle="1" w:styleId="HeadingProcedure">
    <w:name w:val="Heading Procedure"/>
    <w:basedOn w:val="HeadingBase"/>
    <w:next w:val="Normal"/>
    <w:rsid w:val="00BF3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788"/>
    <w:pPr>
      <w:spacing w:before="60" w:after="60"/>
    </w:pPr>
  </w:style>
  <w:style w:type="paragraph" w:styleId="ListContinue">
    <w:name w:val="List Continue"/>
    <w:basedOn w:val="List"/>
    <w:rsid w:val="00BF3788"/>
    <w:pPr>
      <w:ind w:firstLine="0"/>
    </w:pPr>
  </w:style>
  <w:style w:type="paragraph" w:customStyle="1" w:styleId="ListNote">
    <w:name w:val="List Note"/>
    <w:basedOn w:val="List"/>
    <w:rsid w:val="00BF3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788"/>
    <w:rPr>
      <w:rFonts w:ascii="Courier New" w:hAnsi="Courier New"/>
    </w:rPr>
  </w:style>
  <w:style w:type="paragraph" w:customStyle="1" w:styleId="NoteBullet">
    <w:name w:val="Note Bullet"/>
    <w:basedOn w:val="Note"/>
    <w:rsid w:val="00BF3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7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3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788"/>
    <w:rPr>
      <w:b/>
      <w:smallCaps/>
    </w:rPr>
  </w:style>
  <w:style w:type="paragraph" w:customStyle="1" w:styleId="TableListNumber">
    <w:name w:val="Table List Number"/>
    <w:basedOn w:val="ListNumber"/>
    <w:rsid w:val="00BF3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788"/>
    <w:pPr>
      <w:numPr>
        <w:numId w:val="7"/>
      </w:numPr>
    </w:pPr>
  </w:style>
  <w:style w:type="paragraph" w:customStyle="1" w:styleId="ListAlpha2">
    <w:name w:val="List Alpha 2"/>
    <w:basedOn w:val="List2"/>
    <w:rsid w:val="00BF3788"/>
    <w:pPr>
      <w:numPr>
        <w:numId w:val="6"/>
      </w:numPr>
    </w:pPr>
  </w:style>
  <w:style w:type="paragraph" w:styleId="List2">
    <w:name w:val="List 2"/>
    <w:basedOn w:val="BodyText"/>
    <w:rsid w:val="00BF3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7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7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3788"/>
    <w:pPr>
      <w:numPr>
        <w:numId w:val="2"/>
      </w:numPr>
    </w:pPr>
  </w:style>
  <w:style w:type="paragraph" w:styleId="ListContinue2">
    <w:name w:val="List Continue 2"/>
    <w:basedOn w:val="List2"/>
    <w:rsid w:val="00BF3788"/>
    <w:pPr>
      <w:ind w:firstLine="0"/>
    </w:pPr>
  </w:style>
  <w:style w:type="paragraph" w:styleId="ListContinue3">
    <w:name w:val="List Continue 3"/>
    <w:basedOn w:val="List3"/>
    <w:rsid w:val="00BF3788"/>
    <w:pPr>
      <w:ind w:left="1021" w:firstLine="0"/>
    </w:pPr>
  </w:style>
  <w:style w:type="paragraph" w:styleId="ListContinue4">
    <w:name w:val="List Continue 4"/>
    <w:basedOn w:val="List4"/>
    <w:rsid w:val="00BF3788"/>
    <w:pPr>
      <w:ind w:firstLine="0"/>
    </w:pPr>
  </w:style>
  <w:style w:type="paragraph" w:styleId="ListContinue5">
    <w:name w:val="List Continue 5"/>
    <w:basedOn w:val="List5"/>
    <w:rsid w:val="00BF3788"/>
    <w:pPr>
      <w:ind w:firstLine="0"/>
    </w:pPr>
  </w:style>
  <w:style w:type="paragraph" w:styleId="ListNumber3">
    <w:name w:val="List Number 3"/>
    <w:basedOn w:val="List3"/>
    <w:rsid w:val="00BF3788"/>
    <w:pPr>
      <w:numPr>
        <w:numId w:val="3"/>
      </w:numPr>
    </w:pPr>
  </w:style>
  <w:style w:type="paragraph" w:styleId="ListNumber4">
    <w:name w:val="List Number 4"/>
    <w:basedOn w:val="List4"/>
    <w:rsid w:val="00BF3788"/>
    <w:pPr>
      <w:numPr>
        <w:numId w:val="4"/>
      </w:numPr>
    </w:pPr>
  </w:style>
  <w:style w:type="paragraph" w:styleId="ListNumber5">
    <w:name w:val="List Number 5"/>
    <w:basedOn w:val="List5"/>
    <w:rsid w:val="00BF3788"/>
    <w:pPr>
      <w:numPr>
        <w:numId w:val="5"/>
      </w:numPr>
    </w:pPr>
  </w:style>
  <w:style w:type="paragraph" w:styleId="BlockText">
    <w:name w:val="Block Text"/>
    <w:basedOn w:val="Normal"/>
    <w:rsid w:val="00BF3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788"/>
    <w:rPr>
      <w:sz w:val="16"/>
      <w:vertAlign w:val="superscript"/>
    </w:rPr>
  </w:style>
  <w:style w:type="character" w:customStyle="1" w:styleId="Symbols">
    <w:name w:val="Symbols"/>
    <w:basedOn w:val="DefaultParagraphFont"/>
    <w:rsid w:val="00BF3788"/>
    <w:rPr>
      <w:rFonts w:ascii="Symbol" w:hAnsi="Symbol"/>
    </w:rPr>
  </w:style>
  <w:style w:type="character" w:customStyle="1" w:styleId="MenuOptions">
    <w:name w:val="Menu Options"/>
    <w:basedOn w:val="DefaultParagraphFont"/>
    <w:rsid w:val="00BF3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788"/>
    <w:rPr>
      <w:b/>
    </w:rPr>
  </w:style>
  <w:style w:type="character" w:customStyle="1" w:styleId="Underlined">
    <w:name w:val="Underlined"/>
    <w:basedOn w:val="DefaultParagraphFont"/>
    <w:rsid w:val="00BF3788"/>
    <w:rPr>
      <w:u w:val="single"/>
    </w:rPr>
  </w:style>
  <w:style w:type="paragraph" w:customStyle="1" w:styleId="TableBodyTextRight">
    <w:name w:val="Table Body Text Right"/>
    <w:basedOn w:val="TableBodyText"/>
    <w:rsid w:val="00BF3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788"/>
    <w:rPr>
      <w:sz w:val="18"/>
    </w:rPr>
  </w:style>
  <w:style w:type="paragraph" w:customStyle="1" w:styleId="BodySmallRight">
    <w:name w:val="Body Small Right"/>
    <w:basedOn w:val="BodyTextRight"/>
    <w:rsid w:val="00BF3788"/>
    <w:rPr>
      <w:sz w:val="18"/>
      <w:szCs w:val="18"/>
    </w:rPr>
  </w:style>
  <w:style w:type="paragraph" w:customStyle="1" w:styleId="MarginEdition">
    <w:name w:val="Margin Edition"/>
    <w:basedOn w:val="MarginNote"/>
    <w:rsid w:val="00BF3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788"/>
    <w:rPr>
      <w:sz w:val="2"/>
      <w:szCs w:val="2"/>
    </w:rPr>
  </w:style>
  <w:style w:type="character" w:customStyle="1" w:styleId="Small">
    <w:name w:val="Small"/>
    <w:basedOn w:val="DefaultParagraphFont"/>
    <w:rsid w:val="00BF3788"/>
    <w:rPr>
      <w:sz w:val="16"/>
    </w:rPr>
  </w:style>
  <w:style w:type="paragraph" w:customStyle="1" w:styleId="WideTable">
    <w:name w:val="Wide Table"/>
    <w:basedOn w:val="Normal"/>
    <w:rsid w:val="00BF3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788"/>
  </w:style>
  <w:style w:type="paragraph" w:styleId="Quote">
    <w:name w:val="Quote"/>
    <w:basedOn w:val="Heading1"/>
    <w:link w:val="QuoteChar"/>
    <w:qFormat/>
    <w:rsid w:val="00BF3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788"/>
    <w:pPr>
      <w:pageBreakBefore/>
    </w:pPr>
  </w:style>
  <w:style w:type="paragraph" w:customStyle="1" w:styleId="Border">
    <w:name w:val="Border"/>
    <w:basedOn w:val="Normal"/>
    <w:qFormat/>
    <w:rsid w:val="00BF3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788"/>
    <w:rPr>
      <w:u w:val="single"/>
    </w:rPr>
  </w:style>
  <w:style w:type="character" w:customStyle="1" w:styleId="BoldandItalics">
    <w:name w:val="Bold and Italics"/>
    <w:qFormat/>
    <w:rsid w:val="00BF3788"/>
    <w:rPr>
      <w:b/>
      <w:i/>
      <w:u w:val="none"/>
    </w:rPr>
  </w:style>
  <w:style w:type="paragraph" w:styleId="BalloonText">
    <w:name w:val="Balloon Text"/>
    <w:basedOn w:val="Normal"/>
    <w:link w:val="BalloonTextChar"/>
    <w:rsid w:val="00BF3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788"/>
    <w:pPr>
      <w:spacing w:before="0" w:after="0"/>
    </w:pPr>
  </w:style>
  <w:style w:type="paragraph" w:customStyle="1" w:styleId="BodyTextBold">
    <w:name w:val="Body Text Bold"/>
    <w:basedOn w:val="BodyText"/>
    <w:qFormat/>
    <w:rsid w:val="00BF3788"/>
    <w:rPr>
      <w:b/>
    </w:rPr>
  </w:style>
  <w:style w:type="character" w:styleId="Hyperlink">
    <w:name w:val="Hyperlink"/>
    <w:basedOn w:val="DefaultParagraphFont"/>
    <w:uiPriority w:val="99"/>
    <w:unhideWhenUsed/>
    <w:rsid w:val="00DF1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3373</Characters>
  <Application>Microsoft Office Word</Application>
  <DocSecurity>0</DocSecurity>
  <Lines>153</Lines>
  <Paragraphs>80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MEM03004 Perform electronic/electrical assembly (production)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