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507" w:rsidP="009A5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MEM03004 Perform electronic/electrical assembly (production)</w:t>
      </w:r>
      <w:r>
        <w:fldChar w:fldCharType="end"/>
      </w:r>
    </w:p>
    <w:p w:rsidR="009A5507" w:rsidP="009A5507">
      <w:pPr>
        <w:pStyle w:val="Version"/>
        <w:sectPr w:rsidSect="00B42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E59" w:rsidP="00B42E59">
      <w:pPr>
        <w:pStyle w:val="SuperHeading"/>
      </w:pPr>
      <w:r w:rsidRPr="00B42E59">
        <w:t>Assessment Requirements for MEM03004 Perform electronic/electrical assembly (production)</w:t>
      </w:r>
    </w:p>
    <w:p w:rsidR="00000000" w:rsidRPr="00B42E59" w:rsidP="00B42E59">
      <w:pPr>
        <w:pStyle w:val="Heading1"/>
      </w:pPr>
      <w:bookmarkStart w:id="1" w:name="O_940796"/>
      <w:bookmarkEnd w:id="1"/>
      <w:r w:rsidRPr="00B42E59">
        <w:t>Modification History</w:t>
      </w:r>
    </w:p>
    <w:p w:rsidR="00000000" w:rsidRPr="00B42E59" w:rsidP="009A5507">
      <w:pPr>
        <w:pStyle w:val="BodyText"/>
      </w:pPr>
      <w:r w:rsidRPr="00B42E59">
        <w:t xml:space="preserve">Release 1. Supersedes and is equivalent to MEM03004B Perform electronic/electrical assembly (production) </w:t>
      </w:r>
    </w:p>
    <w:p w:rsidR="00000000" w:rsidRPr="00B42E59" w:rsidP="00B42E59">
      <w:pPr>
        <w:pStyle w:val="Heading1"/>
      </w:pPr>
      <w:bookmarkStart w:id="2" w:name="O_940799"/>
      <w:bookmarkEnd w:id="2"/>
      <w:r w:rsidRPr="00B42E59">
        <w:t>Performance Evidence</w:t>
      </w:r>
    </w:p>
    <w:p w:rsidR="00000000" w:rsidRPr="00B42E59" w:rsidP="009A5507">
      <w:pPr>
        <w:pStyle w:val="BodyText"/>
      </w:pPr>
      <w:r w:rsidRPr="00B42E59">
        <w:t>Evidence required to demonstrate competence in this unit must be relevant to and satisfy the requirements of the elements and performance criteria on at least two (2) occasions and include:</w:t>
      </w:r>
    </w:p>
    <w:p w:rsidR="00000000" w:rsidRPr="00B42E59" w:rsidP="00B42E59">
      <w:pPr>
        <w:pStyle w:val="ListBullet"/>
      </w:pPr>
      <w:r w:rsidRPr="00B42E59">
        <w:t>following work instructions, standard operat</w:t>
      </w:r>
      <w:r w:rsidRPr="00B42E59">
        <w:t xml:space="preserve">ing procedures (SOPs) and safe work practices </w:t>
      </w:r>
    </w:p>
    <w:p w:rsidR="00000000" w:rsidRPr="00B42E59" w:rsidP="00B42E59">
      <w:pPr>
        <w:pStyle w:val="ListBullet"/>
      </w:pPr>
      <w:r w:rsidRPr="00B42E59">
        <w:t>selecting appropriate tools, components/devices and cables and equipment for required assembly tasks</w:t>
      </w:r>
    </w:p>
    <w:p w:rsidR="00000000" w:rsidRPr="00B42E59" w:rsidP="00B42E59">
      <w:pPr>
        <w:pStyle w:val="ListBullet"/>
      </w:pPr>
      <w:r w:rsidRPr="00B42E59">
        <w:t xml:space="preserve">identifying and selecting correct electronic/electrical components </w:t>
      </w:r>
    </w:p>
    <w:p w:rsidR="00000000" w:rsidRPr="00B42E59" w:rsidP="00B42E59">
      <w:pPr>
        <w:pStyle w:val="ListBullet"/>
      </w:pPr>
      <w:r w:rsidRPr="00B42E59">
        <w:t>preparing components/devices for solderi</w:t>
      </w:r>
      <w:r w:rsidRPr="00B42E59">
        <w:t>ng and other termination methods using appropriate techniques according to SOPs</w:t>
      </w:r>
    </w:p>
    <w:p w:rsidR="00000000" w:rsidRPr="00B42E59" w:rsidP="00B42E59">
      <w:pPr>
        <w:pStyle w:val="ListBullet"/>
      </w:pPr>
      <w:r w:rsidRPr="00B42E59">
        <w:t>connecting cables to a variety of plug and socket combinations</w:t>
      </w:r>
    </w:p>
    <w:p w:rsidR="00000000" w:rsidRPr="00B42E59" w:rsidP="00B42E59">
      <w:pPr>
        <w:pStyle w:val="ListBullet"/>
      </w:pPr>
      <w:r w:rsidRPr="00B42E59">
        <w:t>using appropriate anti-static handling procedures and techniques to handle and store components safely</w:t>
      </w:r>
    </w:p>
    <w:p w:rsidR="00000000" w:rsidRPr="00B42E59" w:rsidP="00B42E59">
      <w:pPr>
        <w:pStyle w:val="ListBullet"/>
      </w:pPr>
      <w:r w:rsidRPr="00B42E59">
        <w:t xml:space="preserve">following </w:t>
      </w:r>
      <w:r w:rsidRPr="00B42E59">
        <w:t>correct sequence of operations to produce assembling, including testing and checking to ensure compliance with specifications.</w:t>
      </w:r>
    </w:p>
    <w:p w:rsidR="00000000" w:rsidRPr="00B42E59" w:rsidP="00B42E59">
      <w:pPr>
        <w:pStyle w:val="AllowPageBreak"/>
      </w:pPr>
    </w:p>
    <w:p w:rsidR="00000000" w:rsidRPr="00B42E59" w:rsidP="00B42E59">
      <w:pPr>
        <w:pStyle w:val="Heading1"/>
      </w:pPr>
      <w:bookmarkStart w:id="3" w:name="O_940798"/>
      <w:bookmarkEnd w:id="3"/>
      <w:r w:rsidRPr="00B42E59">
        <w:t>Knowledge Evidence</w:t>
      </w:r>
    </w:p>
    <w:p w:rsidR="00000000" w:rsidRPr="00B42E59" w:rsidP="009A5507">
      <w:pPr>
        <w:pStyle w:val="BodyText"/>
      </w:pPr>
      <w:r w:rsidRPr="00B42E59">
        <w:t>Evidence required to demonstrate the required knowledge for this unit must be relevant to and</w:t>
      </w:r>
      <w:r w:rsidRPr="00B42E59">
        <w:t xml:space="preserve"> satisfy the requirements of the elements and performance criteria and include knowledge of:</w:t>
      </w:r>
    </w:p>
    <w:p w:rsidR="00000000" w:rsidRPr="00B42E59" w:rsidP="00B42E59">
      <w:pPr>
        <w:pStyle w:val="ListBullet"/>
      </w:pPr>
      <w:r w:rsidRPr="00B42E59">
        <w:t>safe work practices and procedures and use of personal protective equipment (PPE)</w:t>
      </w:r>
    </w:p>
    <w:p w:rsidR="00000000" w:rsidRPr="00B42E59" w:rsidP="00B42E59">
      <w:pPr>
        <w:pStyle w:val="ListBullet"/>
      </w:pPr>
      <w:r w:rsidRPr="00B42E59">
        <w:t xml:space="preserve">Correct application of assembly tools and equipment and hazards associated with </w:t>
      </w:r>
      <w:r w:rsidRPr="00B42E59">
        <w:t>misuse</w:t>
      </w:r>
    </w:p>
    <w:p w:rsidR="00000000" w:rsidRPr="00B42E59" w:rsidP="00B42E59">
      <w:pPr>
        <w:pStyle w:val="ListBullet"/>
      </w:pPr>
      <w:r w:rsidRPr="00B42E59">
        <w:t>polarity indicators on common electronic and electrical components and the consequences of connecting them incorrectly</w:t>
      </w:r>
    </w:p>
    <w:p w:rsidR="00000000" w:rsidRPr="00B42E59" w:rsidP="00B42E59">
      <w:pPr>
        <w:pStyle w:val="ListBullet"/>
      </w:pPr>
      <w:r w:rsidRPr="00B42E59">
        <w:t>preparation and termination methods for components/devices including soldering and non-soldering techniques</w:t>
      </w:r>
    </w:p>
    <w:p w:rsidR="00000000" w:rsidRPr="00B42E59" w:rsidP="00B42E59">
      <w:pPr>
        <w:pStyle w:val="ListBullet"/>
      </w:pPr>
      <w:r w:rsidRPr="00B42E59">
        <w:t>connection requirement</w:t>
      </w:r>
      <w:r w:rsidRPr="00B42E59">
        <w:t>s of a variety of plugs and sockets</w:t>
      </w:r>
    </w:p>
    <w:p w:rsidR="00000000" w:rsidRPr="00B42E59" w:rsidP="00B42E59">
      <w:pPr>
        <w:pStyle w:val="ListBullet"/>
      </w:pPr>
      <w:r w:rsidRPr="00B42E59">
        <w:t>anti-static procedures and techniques and the safe handling and storage requirements of electrical and electronic components</w:t>
      </w:r>
    </w:p>
    <w:p w:rsidR="00000000" w:rsidRPr="00B42E59" w:rsidP="00B42E59">
      <w:pPr>
        <w:pStyle w:val="ListBullet"/>
      </w:pPr>
      <w:r w:rsidRPr="00B42E59">
        <w:t>potential damage that can occur by not following the correct sequence of operations</w:t>
      </w:r>
    </w:p>
    <w:p w:rsidR="00000000" w:rsidRPr="00B42E59" w:rsidP="00B42E59">
      <w:pPr>
        <w:pStyle w:val="ListBullet"/>
      </w:pPr>
      <w:r w:rsidRPr="00B42E59">
        <w:t>specifications against which the assembly is to be checked/tested using appropriate procedures.</w:t>
      </w:r>
    </w:p>
    <w:p w:rsidR="00000000" w:rsidRPr="00B42E59" w:rsidP="00B42E59">
      <w:pPr>
        <w:pStyle w:val="AllowPageBreak"/>
      </w:pPr>
    </w:p>
    <w:p w:rsidR="00000000" w:rsidRPr="00B42E59" w:rsidP="00B42E59">
      <w:pPr>
        <w:pStyle w:val="Heading1"/>
      </w:pPr>
      <w:bookmarkStart w:id="4" w:name="O_940797"/>
      <w:bookmarkEnd w:id="4"/>
      <w:r w:rsidRPr="00B42E59">
        <w:t>Assessment Conditions</w:t>
      </w:r>
    </w:p>
    <w:p w:rsidR="00000000" w:rsidRPr="00B42E59" w:rsidP="00B42E59">
      <w:pPr>
        <w:pStyle w:val="ListBullet"/>
      </w:pPr>
      <w:r w:rsidRPr="00B42E59">
        <w:t>Assessors must:</w:t>
      </w:r>
    </w:p>
    <w:p w:rsidR="00000000" w:rsidRPr="00B42E59" w:rsidP="00B42E59">
      <w:pPr>
        <w:pStyle w:val="ListBullet2"/>
      </w:pPr>
      <w:r w:rsidRPr="00B42E59">
        <w:t>have vocational competency in performing electronic/electrical assembly (production) at least to the le</w:t>
      </w:r>
      <w:r w:rsidRPr="00B42E59">
        <w:t>vel being assessed with relevant industry knowledge and experience</w:t>
      </w:r>
    </w:p>
    <w:p w:rsidR="00000000" w:rsidRPr="00B42E59" w:rsidP="00B42E59">
      <w:pPr>
        <w:pStyle w:val="ListBullet2"/>
      </w:pPr>
      <w:r w:rsidRPr="00B42E59">
        <w:t xml:space="preserve">satisfy the assessor requirements in the </w:t>
      </w:r>
      <w:r w:rsidRPr="00B42E59">
        <w:rPr>
          <w:rStyle w:val="Emphasis"/>
        </w:rPr>
        <w:t xml:space="preserve">Standards for Registered Training Organisations 2015 </w:t>
      </w:r>
      <w:r w:rsidRPr="00B42E59">
        <w:t>or its replacement</w:t>
      </w:r>
      <w:r w:rsidRPr="00B42E59">
        <w:rPr>
          <w:rStyle w:val="Emphasis"/>
        </w:rPr>
        <w:t xml:space="preserve"> </w:t>
      </w:r>
      <w:r w:rsidRPr="00B42E59">
        <w:t xml:space="preserve">and comply with the </w:t>
      </w:r>
      <w:r w:rsidRPr="00B42E59">
        <w:rPr>
          <w:rStyle w:val="Emphasis"/>
        </w:rPr>
        <w:t>National Vocational Education and Training Regulator Act</w:t>
      </w:r>
      <w:r w:rsidRPr="00B42E59">
        <w:rPr>
          <w:rStyle w:val="Emphasis"/>
        </w:rPr>
        <w:t xml:space="preserve"> 2011, </w:t>
      </w:r>
      <w:r w:rsidRPr="00B42E59">
        <w:t>its replacement</w:t>
      </w:r>
      <w:r w:rsidRPr="00B42E59">
        <w:rPr>
          <w:rStyle w:val="Emphasis"/>
        </w:rPr>
        <w:t xml:space="preserve"> </w:t>
      </w:r>
      <w:r w:rsidRPr="00B42E59">
        <w:t>or equivalent legislation covering VET regulation in a non-referring state/territory as the case requires</w:t>
      </w:r>
    </w:p>
    <w:p w:rsidR="00000000" w:rsidRPr="00B42E59" w:rsidP="00B42E59">
      <w:pPr>
        <w:pStyle w:val="ListBullet"/>
      </w:pPr>
      <w:r w:rsidRPr="00B42E59">
        <w:t xml:space="preserve">Where possible assessment must occur in operational workplace situations. Where this is not possible or where personal safety </w:t>
      </w:r>
      <w:r w:rsidRPr="00B42E59">
        <w:t>or environmental damage are limiting factors, assessment must occur in a sufficiently rigorous simulated environment that reflects realistic operational workplace conditions. This must cover all aspects of workplace performance, including environment, task</w:t>
      </w:r>
      <w:r w:rsidRPr="00B42E59">
        <w:t xml:space="preserve"> skills, task management skills, contingency management skills and job role environment skills</w:t>
      </w:r>
    </w:p>
    <w:p w:rsidR="00000000" w:rsidRPr="00B42E59" w:rsidP="00B42E59">
      <w:pPr>
        <w:pStyle w:val="ListBullet"/>
      </w:pPr>
      <w:r w:rsidRPr="00B42E59">
        <w:t>Conditions for assessment must include access to all tools, equipment, materials and documentation required, including relevant workplace procedures, product and</w:t>
      </w:r>
      <w:r w:rsidRPr="00B42E59">
        <w:t xml:space="preserve"> manufacturing specifications</w:t>
      </w:r>
    </w:p>
    <w:p w:rsidR="00000000" w:rsidRPr="00B42E59" w:rsidP="00B42E59">
      <w:pPr>
        <w:pStyle w:val="ListBullet"/>
      </w:pPr>
      <w:r w:rsidRPr="00B42E59">
        <w:t>Assessment processes and techniques must be appropriate to the language, literacy and numeracy requirements of the work being performed and the needs of the candidate.</w:t>
      </w:r>
    </w:p>
    <w:p w:rsidR="00000000" w:rsidRPr="00B42E59" w:rsidP="00B42E59">
      <w:pPr>
        <w:pStyle w:val="AllowPageBreak"/>
      </w:pPr>
    </w:p>
    <w:p w:rsidR="00000000" w:rsidRPr="00B42E59" w:rsidP="00B42E59">
      <w:pPr>
        <w:pStyle w:val="Heading1"/>
      </w:pPr>
      <w:bookmarkStart w:id="5" w:name="O_940795"/>
      <w:bookmarkEnd w:id="5"/>
      <w:r w:rsidRPr="00B42E59">
        <w:t>Links</w:t>
      </w:r>
    </w:p>
    <w:p w:rsidR="00000000" w:rsidRPr="00B42E59" w:rsidP="009A5507">
      <w:pPr>
        <w:pStyle w:val="BodyText"/>
      </w:pPr>
      <w:r w:rsidRPr="00B42E59">
        <w:t>Companion Volume implementation gui</w:t>
      </w:r>
      <w:r w:rsidRPr="00B42E59">
        <w:t xml:space="preserve">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038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2E59" w:rsidP="00B42E59"/>
    <w:sectPr w:rsidSect="00B42E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59" w:rsidRPr="009A5507" w:rsidP="009A5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07" w:rsidP="00B42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507" w:rsidP="00B42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5507" w:rsidP="00B42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E59" w:rsidRPr="009A5507" w:rsidP="009A5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07" w:rsidRPr="002D2AF8" w:rsidP="00B42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MEM03004 Perform electronic/electrical assembly (production)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A5507" w:rsidP="00B42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29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EC2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0C1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E59"/>
  </w:style>
  <w:style w:type="character" w:customStyle="1" w:styleId="Heading1Char">
    <w:name w:val="Heading 1 Char"/>
    <w:basedOn w:val="DefaultParagraphFont"/>
    <w:link w:val="Heading1"/>
    <w:rsid w:val="00B42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E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E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2E59"/>
    <w:rPr>
      <w:i/>
    </w:rPr>
  </w:style>
  <w:style w:type="paragraph" w:customStyle="1" w:styleId="SuperHeading">
    <w:name w:val="SuperHeading"/>
    <w:basedOn w:val="Normal"/>
    <w:rsid w:val="00B42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E59"/>
    <w:rPr>
      <w:b/>
      <w:spacing w:val="0"/>
    </w:rPr>
  </w:style>
  <w:style w:type="paragraph" w:customStyle="1" w:styleId="SuperTitle">
    <w:name w:val="SuperTitle"/>
    <w:basedOn w:val="Title"/>
    <w:rsid w:val="00B42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E59"/>
  </w:style>
  <w:style w:type="paragraph" w:styleId="TableofFigures">
    <w:name w:val="table of figures"/>
    <w:basedOn w:val="Normal"/>
    <w:next w:val="Normal"/>
    <w:semiHidden/>
    <w:rsid w:val="00B42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E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E59"/>
    <w:rPr>
      <w:rFonts w:ascii="Wingdings" w:hAnsi="Wingdings"/>
    </w:rPr>
  </w:style>
  <w:style w:type="paragraph" w:customStyle="1" w:styleId="TableHeading">
    <w:name w:val="Table Heading"/>
    <w:basedOn w:val="HeadingBase"/>
    <w:rsid w:val="00B42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E59"/>
    <w:rPr>
      <w:color w:val="0033CC"/>
      <w:u w:val="none"/>
    </w:rPr>
  </w:style>
  <w:style w:type="paragraph" w:customStyle="1" w:styleId="BodyTextRight">
    <w:name w:val="Body Text Right"/>
    <w:basedOn w:val="BodyText"/>
    <w:rsid w:val="00B42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E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E59"/>
    <w:rPr>
      <w:sz w:val="32"/>
    </w:rPr>
  </w:style>
  <w:style w:type="paragraph" w:customStyle="1" w:styleId="HeadingProcedure">
    <w:name w:val="Heading Procedure"/>
    <w:basedOn w:val="HeadingBase"/>
    <w:next w:val="Normal"/>
    <w:rsid w:val="00B42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E59"/>
    <w:pPr>
      <w:spacing w:before="60" w:after="60"/>
    </w:pPr>
  </w:style>
  <w:style w:type="paragraph" w:styleId="ListContinue">
    <w:name w:val="List Continue"/>
    <w:basedOn w:val="List"/>
    <w:rsid w:val="00B42E59"/>
    <w:pPr>
      <w:ind w:firstLine="0"/>
    </w:pPr>
  </w:style>
  <w:style w:type="paragraph" w:customStyle="1" w:styleId="ListNote">
    <w:name w:val="List Note"/>
    <w:basedOn w:val="List"/>
    <w:rsid w:val="00B42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E59"/>
    <w:rPr>
      <w:rFonts w:ascii="Courier New" w:hAnsi="Courier New"/>
    </w:rPr>
  </w:style>
  <w:style w:type="paragraph" w:customStyle="1" w:styleId="NoteBullet">
    <w:name w:val="Note Bullet"/>
    <w:basedOn w:val="Note"/>
    <w:rsid w:val="00B42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E59"/>
    <w:rPr>
      <w:b/>
      <w:smallCaps/>
    </w:rPr>
  </w:style>
  <w:style w:type="paragraph" w:customStyle="1" w:styleId="TableListNumber">
    <w:name w:val="Table List Number"/>
    <w:basedOn w:val="ListNumber"/>
    <w:rsid w:val="00B42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E59"/>
    <w:pPr>
      <w:numPr>
        <w:numId w:val="9"/>
      </w:numPr>
    </w:pPr>
  </w:style>
  <w:style w:type="paragraph" w:customStyle="1" w:styleId="ListAlpha2">
    <w:name w:val="List Alpha 2"/>
    <w:basedOn w:val="List2"/>
    <w:rsid w:val="00B42E59"/>
    <w:pPr>
      <w:numPr>
        <w:numId w:val="8"/>
      </w:numPr>
    </w:pPr>
  </w:style>
  <w:style w:type="paragraph" w:styleId="List2">
    <w:name w:val="List 2"/>
    <w:basedOn w:val="BodyText"/>
    <w:rsid w:val="00B42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E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E59"/>
    <w:pPr>
      <w:numPr>
        <w:numId w:val="4"/>
      </w:numPr>
    </w:pPr>
  </w:style>
  <w:style w:type="paragraph" w:styleId="ListContinue2">
    <w:name w:val="List Continue 2"/>
    <w:basedOn w:val="List2"/>
    <w:rsid w:val="00B42E59"/>
    <w:pPr>
      <w:ind w:firstLine="0"/>
    </w:pPr>
  </w:style>
  <w:style w:type="paragraph" w:styleId="ListContinue3">
    <w:name w:val="List Continue 3"/>
    <w:basedOn w:val="List3"/>
    <w:rsid w:val="00B42E59"/>
    <w:pPr>
      <w:ind w:left="1021" w:firstLine="0"/>
    </w:pPr>
  </w:style>
  <w:style w:type="paragraph" w:styleId="ListContinue4">
    <w:name w:val="List Continue 4"/>
    <w:basedOn w:val="List4"/>
    <w:rsid w:val="00B42E59"/>
    <w:pPr>
      <w:ind w:firstLine="0"/>
    </w:pPr>
  </w:style>
  <w:style w:type="paragraph" w:styleId="ListContinue5">
    <w:name w:val="List Continue 5"/>
    <w:basedOn w:val="List5"/>
    <w:rsid w:val="00B42E59"/>
    <w:pPr>
      <w:ind w:firstLine="0"/>
    </w:pPr>
  </w:style>
  <w:style w:type="paragraph" w:styleId="ListNumber3">
    <w:name w:val="List Number 3"/>
    <w:basedOn w:val="List3"/>
    <w:rsid w:val="00B42E59"/>
    <w:pPr>
      <w:numPr>
        <w:numId w:val="5"/>
      </w:numPr>
    </w:pPr>
  </w:style>
  <w:style w:type="paragraph" w:styleId="ListNumber4">
    <w:name w:val="List Number 4"/>
    <w:basedOn w:val="List4"/>
    <w:rsid w:val="00B42E59"/>
    <w:pPr>
      <w:numPr>
        <w:numId w:val="6"/>
      </w:numPr>
    </w:pPr>
  </w:style>
  <w:style w:type="paragraph" w:styleId="ListNumber5">
    <w:name w:val="List Number 5"/>
    <w:basedOn w:val="List5"/>
    <w:rsid w:val="00B42E59"/>
    <w:pPr>
      <w:numPr>
        <w:numId w:val="7"/>
      </w:numPr>
    </w:pPr>
  </w:style>
  <w:style w:type="paragraph" w:styleId="BlockText">
    <w:name w:val="Block Text"/>
    <w:basedOn w:val="Normal"/>
    <w:rsid w:val="00B42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E59"/>
    <w:rPr>
      <w:sz w:val="16"/>
      <w:vertAlign w:val="superscript"/>
    </w:rPr>
  </w:style>
  <w:style w:type="character" w:customStyle="1" w:styleId="Symbols">
    <w:name w:val="Symbols"/>
    <w:basedOn w:val="DefaultParagraphFont"/>
    <w:rsid w:val="00B42E59"/>
    <w:rPr>
      <w:rFonts w:ascii="Symbol" w:hAnsi="Symbol"/>
    </w:rPr>
  </w:style>
  <w:style w:type="character" w:customStyle="1" w:styleId="MenuOptions">
    <w:name w:val="Menu Options"/>
    <w:basedOn w:val="DefaultParagraphFont"/>
    <w:rsid w:val="00B42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E59"/>
    <w:rPr>
      <w:b/>
    </w:rPr>
  </w:style>
  <w:style w:type="character" w:customStyle="1" w:styleId="Underlined">
    <w:name w:val="Underlined"/>
    <w:basedOn w:val="DefaultParagraphFont"/>
    <w:rsid w:val="00B42E59"/>
    <w:rPr>
      <w:u w:val="single"/>
    </w:rPr>
  </w:style>
  <w:style w:type="paragraph" w:customStyle="1" w:styleId="TableBodyTextRight">
    <w:name w:val="Table Body Text Right"/>
    <w:basedOn w:val="TableBodyText"/>
    <w:rsid w:val="00B42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E59"/>
    <w:rPr>
      <w:sz w:val="18"/>
    </w:rPr>
  </w:style>
  <w:style w:type="paragraph" w:customStyle="1" w:styleId="BodySmallRight">
    <w:name w:val="Body Small Right"/>
    <w:basedOn w:val="BodyTextRight"/>
    <w:rsid w:val="00B42E59"/>
    <w:rPr>
      <w:sz w:val="18"/>
      <w:szCs w:val="18"/>
    </w:rPr>
  </w:style>
  <w:style w:type="paragraph" w:customStyle="1" w:styleId="MarginEdition">
    <w:name w:val="Margin Edition"/>
    <w:basedOn w:val="MarginNote"/>
    <w:rsid w:val="00B42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E59"/>
    <w:rPr>
      <w:sz w:val="2"/>
      <w:szCs w:val="2"/>
    </w:rPr>
  </w:style>
  <w:style w:type="character" w:customStyle="1" w:styleId="Small">
    <w:name w:val="Small"/>
    <w:basedOn w:val="DefaultParagraphFont"/>
    <w:rsid w:val="00B42E59"/>
    <w:rPr>
      <w:sz w:val="16"/>
    </w:rPr>
  </w:style>
  <w:style w:type="paragraph" w:customStyle="1" w:styleId="WideTable">
    <w:name w:val="Wide Table"/>
    <w:basedOn w:val="Normal"/>
    <w:rsid w:val="00B42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E59"/>
  </w:style>
  <w:style w:type="paragraph" w:styleId="Quote">
    <w:name w:val="Quote"/>
    <w:basedOn w:val="Heading1"/>
    <w:link w:val="QuoteChar"/>
    <w:qFormat/>
    <w:rsid w:val="00B42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E59"/>
    <w:pPr>
      <w:pageBreakBefore/>
    </w:pPr>
  </w:style>
  <w:style w:type="paragraph" w:customStyle="1" w:styleId="Border">
    <w:name w:val="Border"/>
    <w:basedOn w:val="Normal"/>
    <w:qFormat/>
    <w:rsid w:val="00B42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E59"/>
    <w:rPr>
      <w:u w:val="single"/>
    </w:rPr>
  </w:style>
  <w:style w:type="character" w:customStyle="1" w:styleId="BoldandItalics">
    <w:name w:val="Bold and Italics"/>
    <w:qFormat/>
    <w:rsid w:val="00B42E59"/>
    <w:rPr>
      <w:b/>
      <w:i/>
      <w:u w:val="none"/>
    </w:rPr>
  </w:style>
  <w:style w:type="paragraph" w:styleId="BalloonText">
    <w:name w:val="Balloon Text"/>
    <w:basedOn w:val="Normal"/>
    <w:link w:val="BalloonTextChar"/>
    <w:rsid w:val="00B42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E59"/>
    <w:pPr>
      <w:spacing w:before="0" w:after="0"/>
    </w:pPr>
  </w:style>
  <w:style w:type="paragraph" w:customStyle="1" w:styleId="BodyTextBold">
    <w:name w:val="Body Text Bold"/>
    <w:basedOn w:val="BodyText"/>
    <w:qFormat/>
    <w:rsid w:val="00B42E59"/>
    <w:rPr>
      <w:b/>
    </w:rPr>
  </w:style>
  <w:style w:type="character" w:styleId="Hyperlink">
    <w:name w:val="Hyperlink"/>
    <w:basedOn w:val="DefaultParagraphFont"/>
    <w:uiPriority w:val="99"/>
    <w:unhideWhenUsed/>
    <w:rsid w:val="009A5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3377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MEM03004 Perform electronic/electrical assembly (production)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