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2A1" w:rsidP="008342A1">
      <w:pPr>
        <w:pStyle w:val="Title"/>
      </w:pPr>
      <w:bookmarkStart w:id="0" w:name="_GoBack"/>
      <w:bookmarkEnd w:id="0"/>
      <w:r>
        <w:fldChar w:fldCharType="begin"/>
      </w:r>
      <w:r>
        <w:instrText xml:space="preserve"> TITLE   \* MERGEFORMAT </w:instrText>
      </w:r>
      <w:r>
        <w:fldChar w:fldCharType="separate"/>
      </w:r>
      <w:r>
        <w:t>MEA432A Weld aircraft components using the gas tungsten arc welding process</w:t>
      </w:r>
      <w:r>
        <w:fldChar w:fldCharType="end"/>
      </w:r>
    </w:p>
    <w:p w:rsidR="008342A1" w:rsidP="008342A1">
      <w:pPr>
        <w:pStyle w:val="Version"/>
        <w:sectPr w:rsidSect="006517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71C" w:rsidP="0065171C">
      <w:pPr>
        <w:pStyle w:val="SuperHeading"/>
      </w:pPr>
      <w:r w:rsidRPr="0065171C">
        <w:t>MEA432A Weld aircraft components using the gas tungsten arc welding process</w:t>
      </w:r>
    </w:p>
    <w:p w:rsidR="00000000" w:rsidRPr="0065171C" w:rsidP="0065171C">
      <w:pPr>
        <w:pStyle w:val="Heading1"/>
      </w:pPr>
      <w:bookmarkStart w:id="1" w:name="O_386826"/>
      <w:bookmarkEnd w:id="1"/>
      <w:r w:rsidRPr="0065171C">
        <w:t>Modification History</w:t>
      </w:r>
    </w:p>
    <w:p w:rsidR="00000000" w:rsidRPr="0065171C" w:rsidP="0065171C">
      <w:pPr>
        <w:pStyle w:val="BodyText"/>
      </w:pPr>
      <w:r w:rsidRPr="0065171C">
        <w:t>New unit.</w:t>
      </w:r>
    </w:p>
    <w:p w:rsidR="00000000" w:rsidRPr="0065171C" w:rsidP="0065171C">
      <w:pPr>
        <w:pStyle w:val="AllowPageBreak"/>
      </w:pPr>
    </w:p>
    <w:p w:rsidR="00000000" w:rsidRPr="0065171C" w:rsidP="0065171C">
      <w:pPr>
        <w:pStyle w:val="Heading1"/>
      </w:pPr>
      <w:bookmarkStart w:id="2" w:name="O_386827"/>
      <w:bookmarkEnd w:id="2"/>
      <w:r w:rsidRPr="0065171C">
        <w:t>Unit Descriptor</w:t>
      </w:r>
    </w:p>
    <w:p w:rsidR="00000000" w:rsidRPr="0065171C" w:rsidP="0065171C">
      <w:pPr>
        <w:pStyle w:val="BodyText"/>
      </w:pPr>
      <w:r w:rsidRPr="0065171C">
        <w:t xml:space="preserve">This unit </w:t>
      </w:r>
      <w:r w:rsidRPr="0065171C">
        <w:t>of competency covers the development of competency elements required to gain approval within the CASA or ADF regulatory systems to weld aircraft components using the gas tungsten arc welding (GTAW) process. Individuals will be authorised to weld specific p</w:t>
      </w:r>
      <w:r w:rsidRPr="0065171C">
        <w:t>arent metal groups, as specified in CAAP 33-1(1) Aircraft manual welding: approvals and qualifications or RAAF Specification Engineering W5003 Welders – Qualification for Aircraft, Missile and Aerospace Fusion welding.</w:t>
      </w:r>
    </w:p>
    <w:p w:rsidR="00000000" w:rsidRPr="0065171C" w:rsidP="0065171C">
      <w:pPr>
        <w:pStyle w:val="AllowPageBreak"/>
      </w:pPr>
    </w:p>
    <w:p w:rsidR="00000000" w:rsidRPr="0065171C" w:rsidP="0065171C">
      <w:pPr>
        <w:pStyle w:val="Heading1"/>
      </w:pPr>
      <w:bookmarkStart w:id="3" w:name="O_386828"/>
      <w:bookmarkEnd w:id="3"/>
      <w:r w:rsidRPr="0065171C">
        <w:t>Application of the U</w:t>
      </w:r>
      <w:r w:rsidRPr="0065171C">
        <w:t>nit</w:t>
      </w:r>
    </w:p>
    <w:p w:rsidR="00000000" w:rsidRPr="0065171C" w:rsidP="0065171C">
      <w:pPr>
        <w:pStyle w:val="BodyText"/>
      </w:pPr>
      <w:r w:rsidRPr="0065171C">
        <w:t>The unit requires application of the skills and knowledge of MEM05044B Perform welds to code standards using gas tungsten arc welding process, to the welding of applicable aircraft parent metal groups as specified by the Regulators.</w:t>
      </w:r>
    </w:p>
    <w:p w:rsidR="00000000" w:rsidRPr="0065171C" w:rsidP="0065171C">
      <w:pPr>
        <w:pStyle w:val="BodyText"/>
      </w:pPr>
      <w:r w:rsidRPr="0065171C">
        <w:t>Individuals who hav</w:t>
      </w:r>
      <w:r w:rsidRPr="0065171C">
        <w:t>e attained this unit and the applicable approval from the relevant Regulator for the relevant parent metal groups will be able to perform weld repairs on aircraft components or fabricate components where the applicable welding process is specified as GTAW.</w:t>
      </w:r>
    </w:p>
    <w:p w:rsidR="00000000" w:rsidRPr="0065171C" w:rsidP="0065171C">
      <w:pPr>
        <w:pStyle w:val="AllowPageBreak"/>
      </w:pPr>
    </w:p>
    <w:p w:rsidR="00000000" w:rsidRPr="0065171C" w:rsidP="0065171C">
      <w:pPr>
        <w:pStyle w:val="Heading1"/>
      </w:pPr>
      <w:bookmarkStart w:id="4" w:name="O_386829"/>
      <w:bookmarkEnd w:id="4"/>
      <w:r w:rsidRPr="0065171C">
        <w:t>Licensing/Regulatory Information</w:t>
      </w:r>
    </w:p>
    <w:p w:rsidR="00000000" w:rsidRPr="0065171C" w:rsidP="0065171C">
      <w:pPr>
        <w:pStyle w:val="BodyText"/>
      </w:pPr>
      <w:r w:rsidRPr="0065171C">
        <w:t>Not applicable.</w:t>
      </w:r>
    </w:p>
    <w:p w:rsidR="00000000" w:rsidRPr="0065171C" w:rsidP="0065171C">
      <w:pPr>
        <w:pStyle w:val="AllowPageBreak"/>
      </w:pPr>
    </w:p>
    <w:p w:rsidR="00000000" w:rsidRPr="0065171C" w:rsidP="0065171C">
      <w:pPr>
        <w:pStyle w:val="Heading1"/>
      </w:pPr>
      <w:bookmarkStart w:id="5" w:name="O_386830"/>
      <w:bookmarkEnd w:id="5"/>
      <w:r w:rsidRPr="0065171C">
        <w:t>Pre-Requisites</w:t>
      </w:r>
    </w:p>
    <w:tbl>
      <w:tblPr>
        <w:tblW w:w="0" w:type="auto"/>
        <w:tblLayout w:type="fixed"/>
        <w:tblCellMar>
          <w:left w:w="62" w:type="dxa"/>
          <w:right w:w="62" w:type="dxa"/>
        </w:tblCellMar>
        <w:tblLook w:val="0000"/>
      </w:tblPr>
      <w:tblGrid>
        <w:gridCol w:w="1800"/>
        <w:gridCol w:w="7380"/>
      </w:tblGrid>
      <w:tr w:rsidTr="0065171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 xml:space="preserve">MEA101B </w:t>
            </w:r>
          </w:p>
        </w:tc>
        <w:tc>
          <w:tcPr>
            <w:tcW w:w="738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Interpret occupational health and safety practices in aviation maintenance</w:t>
            </w:r>
          </w:p>
        </w:tc>
      </w:tr>
      <w:tr w:rsidTr="0065171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MEA105C</w:t>
            </w:r>
          </w:p>
        </w:tc>
        <w:tc>
          <w:tcPr>
            <w:tcW w:w="738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Apply quality standards applicable to aviation maintenance processes</w:t>
            </w:r>
          </w:p>
        </w:tc>
      </w:tr>
      <w:tr w:rsidTr="0065171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MEA107B</w:t>
            </w:r>
          </w:p>
        </w:tc>
        <w:tc>
          <w:tcPr>
            <w:tcW w:w="738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Interpret and use aviation maintenance industry manuals and specifications</w:t>
            </w:r>
          </w:p>
        </w:tc>
      </w:tr>
      <w:tr w:rsidTr="0065171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MEA108B</w:t>
            </w:r>
          </w:p>
        </w:tc>
        <w:tc>
          <w:tcPr>
            <w:tcW w:w="738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Complete aviation maintenance industry documentation</w:t>
            </w:r>
          </w:p>
        </w:tc>
      </w:tr>
      <w:tr w:rsidTr="0065171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MEM05044B</w:t>
            </w:r>
          </w:p>
        </w:tc>
        <w:tc>
          <w:tcPr>
            <w:tcW w:w="738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Perform welds to code standard</w:t>
            </w:r>
            <w:r w:rsidRPr="0065171C">
              <w:t>s using gas tungsten arc welding process</w:t>
            </w:r>
          </w:p>
        </w:tc>
      </w:tr>
      <w:tr w:rsidTr="0065171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MEM05026C</w:t>
            </w:r>
          </w:p>
        </w:tc>
        <w:tc>
          <w:tcPr>
            <w:tcW w:w="7380" w:type="dxa"/>
            <w:tcBorders>
              <w:top w:val="nil"/>
              <w:left w:val="nil"/>
              <w:bottom w:val="nil"/>
              <w:right w:val="nil"/>
            </w:tcBorders>
            <w:tcMar>
              <w:top w:w="0" w:type="dxa"/>
              <w:left w:w="62" w:type="dxa"/>
              <w:bottom w:w="0" w:type="dxa"/>
              <w:right w:w="62" w:type="dxa"/>
            </w:tcMar>
          </w:tcPr>
          <w:p w:rsidR="00000000" w:rsidRPr="0065171C" w:rsidP="0065171C">
            <w:pPr>
              <w:pStyle w:val="BodyText"/>
            </w:pPr>
            <w:r w:rsidRPr="0065171C">
              <w:t>Apply welding principles</w:t>
            </w:r>
          </w:p>
        </w:tc>
      </w:tr>
    </w:tbl>
    <w:p w:rsidR="00000000" w:rsidRPr="0065171C" w:rsidP="0065171C">
      <w:pPr>
        <w:pStyle w:val="BodyText"/>
      </w:pPr>
    </w:p>
    <w:p w:rsidR="00000000" w:rsidRPr="0065171C" w:rsidP="0065171C">
      <w:pPr>
        <w:pStyle w:val="AllowPageBreak"/>
      </w:pPr>
    </w:p>
    <w:p w:rsidR="00000000" w:rsidRPr="0065171C" w:rsidP="0065171C">
      <w:pPr>
        <w:pStyle w:val="Heading1"/>
      </w:pPr>
      <w:bookmarkStart w:id="6" w:name="O_386831"/>
      <w:bookmarkEnd w:id="6"/>
      <w:r w:rsidRPr="0065171C">
        <w:t>Employability Skills Information</w:t>
      </w:r>
    </w:p>
    <w:p w:rsidR="00000000" w:rsidRPr="0065171C" w:rsidP="0065171C">
      <w:pPr>
        <w:pStyle w:val="BodyText"/>
      </w:pPr>
      <w:r w:rsidRPr="0065171C">
        <w:t>This unit contains employability skills.</w:t>
      </w:r>
    </w:p>
    <w:p w:rsidR="00000000" w:rsidRPr="0065171C" w:rsidP="0065171C">
      <w:pPr>
        <w:pStyle w:val="AllowPageBreak"/>
      </w:pPr>
    </w:p>
    <w:p w:rsidR="00000000" w:rsidRPr="0065171C" w:rsidP="0065171C">
      <w:pPr>
        <w:pStyle w:val="Heading1"/>
      </w:pPr>
      <w:bookmarkStart w:id="7" w:name="O_386832"/>
      <w:bookmarkEnd w:id="7"/>
      <w:r w:rsidRPr="0065171C">
        <w:t>Elements and Performance Criteria Pre-Content</w:t>
      </w:r>
    </w:p>
    <w:tbl>
      <w:tblPr>
        <w:tblW w:w="9462" w:type="dxa"/>
        <w:tblLayout w:type="fixed"/>
        <w:tblCellMar>
          <w:left w:w="62" w:type="dxa"/>
          <w:right w:w="62" w:type="dxa"/>
        </w:tblCellMar>
        <w:tblLook w:val="0000"/>
      </w:tblPr>
      <w:tblGrid>
        <w:gridCol w:w="2700"/>
        <w:gridCol w:w="6762"/>
      </w:tblGrid>
      <w:tr w:rsidTr="0065171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171C" w:rsidP="0065171C">
            <w:pPr>
              <w:pStyle w:val="BodyText"/>
            </w:pPr>
            <w:r w:rsidRPr="0065171C">
              <w:t>Performance criteria describe the performance needed to demonstrate achievement of the element. Where bold italicised text is used, further information is detailed in the required skills and</w:t>
            </w:r>
            <w:r w:rsidRPr="0065171C">
              <w:t xml:space="preserve"> knowledge section and the range statement. Assessment of performance is to be consistent with the evidence guide.</w:t>
            </w:r>
          </w:p>
        </w:tc>
      </w:tr>
    </w:tbl>
    <w:p w:rsidR="00000000" w:rsidRPr="0065171C" w:rsidP="0065171C">
      <w:pPr>
        <w:pStyle w:val="BodyText"/>
      </w:pPr>
    </w:p>
    <w:p w:rsidR="00000000" w:rsidRPr="0065171C" w:rsidP="0065171C">
      <w:pPr>
        <w:pStyle w:val="AllowPageBreak"/>
      </w:pPr>
    </w:p>
    <w:p w:rsidR="00000000" w:rsidRPr="0065171C" w:rsidP="0065171C">
      <w:pPr>
        <w:pStyle w:val="Heading1"/>
      </w:pPr>
      <w:bookmarkStart w:id="8" w:name="O_386833"/>
      <w:bookmarkEnd w:id="8"/>
      <w:r w:rsidRPr="0065171C">
        <w:t>Elements and Performance Criteria</w:t>
      </w:r>
    </w:p>
    <w:tbl>
      <w:tblPr>
        <w:tblW w:w="0" w:type="auto"/>
        <w:tblCellMar>
          <w:left w:w="62" w:type="dxa"/>
          <w:right w:w="62" w:type="dxa"/>
        </w:tblCellMar>
        <w:tblLook w:val="0000"/>
      </w:tblPr>
      <w:tblGrid>
        <w:gridCol w:w="391"/>
        <w:gridCol w:w="2485"/>
        <w:gridCol w:w="411"/>
        <w:gridCol w:w="5909"/>
      </w:tblGrid>
      <w:tr w:rsidTr="008342A1">
        <w:tblPrEx>
          <w:tblW w:w="0" w:type="auto"/>
          <w:tblCellMar>
            <w:left w:w="62" w:type="dxa"/>
            <w:right w:w="62" w:type="dxa"/>
          </w:tblCellMar>
          <w:tblLook w:val="0000"/>
        </w:tblPrEx>
        <w:trPr>
          <w:trHeight w:val="675"/>
        </w:trPr>
        <w:tc>
          <w:tcPr>
            <w:tcW w:w="0" w:type="auto"/>
            <w:vMerge w:val="restart"/>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1</w:t>
            </w:r>
          </w:p>
        </w:tc>
        <w:tc>
          <w:tcPr>
            <w:tcW w:w="0" w:type="auto"/>
            <w:vMerge w:val="restart"/>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Prepare to perform repair or fabricate test pieces using GTAW process</w:t>
            </w:r>
          </w:p>
        </w:tc>
        <w:tc>
          <w:tcPr>
            <w:tcW w:w="0" w:type="auto"/>
            <w:tcBorders>
              <w:top w:val="nil"/>
              <w:left w:val="nil"/>
              <w:bottom w:val="nil"/>
              <w:right w:val="nil"/>
            </w:tcBorders>
            <w:tcMar>
              <w:top w:w="0" w:type="dxa"/>
              <w:left w:w="62" w:type="dxa"/>
              <w:bottom w:w="0" w:type="dxa"/>
              <w:right w:w="62" w:type="dxa"/>
            </w:tcMar>
          </w:tcPr>
          <w:p w:rsidR="00000000" w:rsidRPr="0065171C" w:rsidP="0065171C">
            <w:pPr>
              <w:pStyle w:val="BodyText"/>
            </w:pPr>
            <w:r w:rsidRPr="0065171C">
              <w:t>1.1</w:t>
            </w:r>
          </w:p>
        </w:tc>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rPr>
                <w:rStyle w:val="BoldandItalics"/>
              </w:rPr>
              <w:t>Materials</w:t>
            </w:r>
            <w:r w:rsidRPr="0065171C">
              <w:t xml:space="preserve"> or </w:t>
            </w:r>
            <w:r w:rsidRPr="0065171C">
              <w:rPr>
                <w:rStyle w:val="BoldandItalics"/>
              </w:rPr>
              <w:t>components</w:t>
            </w:r>
            <w:r w:rsidRPr="0065171C">
              <w:t xml:space="preserve"> to be welded and the applicable </w:t>
            </w:r>
            <w:r w:rsidRPr="0065171C">
              <w:rPr>
                <w:rStyle w:val="BoldandItalics"/>
              </w:rPr>
              <w:t>parent metal group</w:t>
            </w:r>
            <w:r w:rsidRPr="0065171C">
              <w:t xml:space="preserve"> are identified in accordance with applicable data</w:t>
            </w:r>
          </w:p>
        </w:tc>
      </w:tr>
      <w:tr w:rsidTr="008342A1">
        <w:tblPrEx>
          <w:tblW w:w="0" w:type="auto"/>
          <w:tblCellMar>
            <w:left w:w="62" w:type="dxa"/>
            <w:right w:w="62" w:type="dxa"/>
          </w:tblCellMar>
          <w:tblLook w:val="0000"/>
        </w:tblPrEx>
        <w:trPr>
          <w:trHeight w:val="67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5171C" w:rsidP="0065171C">
            <w:pPr>
              <w:pStyle w:val="BodyText"/>
            </w:pPr>
            <w:r w:rsidRPr="0065171C">
              <w:t>1.2</w:t>
            </w:r>
          </w:p>
        </w:tc>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rPr>
                <w:rStyle w:val="SpecialBold"/>
              </w:rPr>
              <w:t>Welding equipment</w:t>
            </w:r>
            <w:r w:rsidRPr="0065171C">
              <w:t xml:space="preserve"> is inspected for serviceability and correctly set up in accordance with standard operating procedures</w:t>
            </w:r>
          </w:p>
        </w:tc>
      </w:tr>
      <w:tr w:rsidTr="008342A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1.3</w:t>
            </w:r>
          </w:p>
        </w:tc>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Component (or materials) is prepared for welding</w:t>
            </w:r>
          </w:p>
        </w:tc>
      </w:tr>
      <w:tr w:rsidTr="008342A1">
        <w:tblPrEx>
          <w:tblW w:w="0" w:type="auto"/>
          <w:tblCellMar>
            <w:left w:w="62" w:type="dxa"/>
            <w:right w:w="62" w:type="dxa"/>
          </w:tblCellMar>
          <w:tblLook w:val="0000"/>
        </w:tblPrEx>
        <w:trPr>
          <w:trHeight w:val="630"/>
        </w:trPr>
        <w:tc>
          <w:tcPr>
            <w:tcW w:w="0" w:type="auto"/>
            <w:vMerge w:val="restart"/>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2</w:t>
            </w:r>
          </w:p>
        </w:tc>
        <w:tc>
          <w:tcPr>
            <w:tcW w:w="0" w:type="auto"/>
            <w:vMerge w:val="restart"/>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 xml:space="preserve">Gas tungsten arc weld component </w:t>
            </w:r>
          </w:p>
        </w:tc>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2.1</w:t>
            </w:r>
          </w:p>
        </w:tc>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 xml:space="preserve">Welds are performed to the </w:t>
            </w:r>
            <w:r w:rsidRPr="0065171C">
              <w:rPr>
                <w:rStyle w:val="BoldandItalics"/>
              </w:rPr>
              <w:t>required standard</w:t>
            </w:r>
            <w:r w:rsidRPr="0065171C">
              <w:t xml:space="preserve"> in accordance with the applicable repair scheme or drawing</w:t>
            </w:r>
          </w:p>
        </w:tc>
      </w:tr>
      <w:tr w:rsidTr="008342A1">
        <w:tblPrEx>
          <w:tblW w:w="0" w:type="auto"/>
          <w:tblCellMar>
            <w:left w:w="62" w:type="dxa"/>
            <w:right w:w="62" w:type="dxa"/>
          </w:tblCellMar>
          <w:tblLook w:val="0000"/>
        </w:tblPrEx>
        <w:trPr>
          <w:trHeight w:val="63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2.2</w:t>
            </w:r>
          </w:p>
        </w:tc>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Completed welds are inspected for defects and any defects rectified</w:t>
            </w:r>
          </w:p>
        </w:tc>
      </w:tr>
      <w:tr w:rsidTr="00834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3</w:t>
            </w:r>
          </w:p>
        </w:tc>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Complete documentation</w:t>
            </w:r>
          </w:p>
        </w:tc>
        <w:tc>
          <w:tcPr>
            <w:tcW w:w="0" w:type="auto"/>
            <w:tcBorders>
              <w:top w:val="nil"/>
              <w:left w:val="nil"/>
              <w:bottom w:val="nil"/>
              <w:right w:val="nil"/>
            </w:tcBorders>
            <w:tcMar>
              <w:top w:w="0" w:type="dxa"/>
              <w:left w:w="62" w:type="dxa"/>
              <w:bottom w:w="0" w:type="dxa"/>
              <w:right w:w="62" w:type="dxa"/>
            </w:tcMar>
          </w:tcPr>
          <w:p w:rsidR="00000000" w:rsidP="0065171C">
            <w:pPr>
              <w:pStyle w:val="BodyText"/>
              <w:rPr>
                <w:lang w:val="en-NZ"/>
              </w:rPr>
            </w:pPr>
            <w:r w:rsidRPr="0065171C">
              <w:t>3.1</w:t>
            </w:r>
          </w:p>
        </w:tc>
        <w:tc>
          <w:tcPr>
            <w:tcW w:w="0" w:type="auto"/>
            <w:tcBorders>
              <w:top w:val="nil"/>
              <w:left w:val="nil"/>
              <w:bottom w:val="nil"/>
              <w:right w:val="nil"/>
            </w:tcBorders>
            <w:tcMar>
              <w:top w:w="0" w:type="dxa"/>
              <w:left w:w="62" w:type="dxa"/>
              <w:bottom w:w="0" w:type="dxa"/>
              <w:right w:w="62" w:type="dxa"/>
            </w:tcMar>
          </w:tcPr>
          <w:p w:rsidR="00000000" w:rsidRPr="0065171C" w:rsidP="0065171C">
            <w:pPr>
              <w:pStyle w:val="BodyText"/>
            </w:pPr>
            <w:r w:rsidRPr="0065171C">
              <w:t>Required documentation is completed in accordance with standard enterprise procedures</w:t>
            </w:r>
          </w:p>
        </w:tc>
      </w:tr>
    </w:tbl>
    <w:p w:rsidR="00000000" w:rsidRPr="0065171C" w:rsidP="0065171C">
      <w:pPr>
        <w:pStyle w:val="BodyText"/>
      </w:pPr>
    </w:p>
    <w:p w:rsidR="00000000" w:rsidRPr="0065171C" w:rsidP="0065171C">
      <w:pPr>
        <w:pStyle w:val="AllowPageBreak"/>
      </w:pPr>
    </w:p>
    <w:p w:rsidR="00000000" w:rsidRPr="0065171C" w:rsidP="0065171C">
      <w:pPr>
        <w:pStyle w:val="Heading1"/>
      </w:pPr>
      <w:bookmarkStart w:id="9" w:name="O_386834"/>
      <w:bookmarkEnd w:id="9"/>
      <w:r w:rsidRPr="0065171C">
        <w:t>Required Skills and Knowledge</w:t>
      </w:r>
    </w:p>
    <w:tbl>
      <w:tblPr>
        <w:tblW w:w="0" w:type="auto"/>
        <w:tblCellMar>
          <w:left w:w="62" w:type="dxa"/>
          <w:right w:w="62" w:type="dxa"/>
        </w:tblCellMar>
        <w:tblLook w:val="0000"/>
      </w:tblPr>
      <w:tblGrid>
        <w:gridCol w:w="9196"/>
      </w:tblGrid>
      <w:tr w:rsidTr="00834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171C" w:rsidP="0065171C">
            <w:pPr>
              <w:pStyle w:val="BodyText"/>
            </w:pPr>
            <w:r w:rsidRPr="0065171C">
              <w:t>Look for evidence that confirms knowledge of:</w:t>
            </w:r>
          </w:p>
          <w:p w:rsidR="00000000" w:rsidRPr="0065171C" w:rsidP="0065171C">
            <w:pPr>
              <w:pStyle w:val="ListBullet"/>
            </w:pPr>
            <w:r w:rsidRPr="0065171C">
              <w:t>regulatory requirements applicable to aircraft welding</w:t>
            </w:r>
          </w:p>
          <w:p w:rsidR="00000000" w:rsidRPr="0065171C" w:rsidP="0065171C">
            <w:pPr>
              <w:pStyle w:val="ListBullet"/>
            </w:pPr>
            <w:r w:rsidRPr="0065171C">
              <w:t>standards applicable to aircraft welding</w:t>
            </w:r>
          </w:p>
          <w:p w:rsidR="00000000" w:rsidRPr="0065171C" w:rsidP="0065171C">
            <w:pPr>
              <w:pStyle w:val="ListBullet"/>
            </w:pPr>
            <w:r w:rsidRPr="0065171C">
              <w:t>the procedure for assessment of weld test pieces</w:t>
            </w:r>
          </w:p>
          <w:p w:rsidR="00000000" w:rsidRPr="0065171C" w:rsidP="0065171C">
            <w:pPr>
              <w:pStyle w:val="ListBullet"/>
            </w:pPr>
            <w:r w:rsidRPr="0065171C">
              <w:t>the use of GTAW in relation to specified aircraft parent metal groups</w:t>
            </w:r>
          </w:p>
          <w:p w:rsidR="00000000" w:rsidRPr="0065171C" w:rsidP="0065171C">
            <w:pPr>
              <w:pStyle w:val="BodyText"/>
            </w:pPr>
            <w:r w:rsidRPr="0065171C">
              <w:t>Look for evidence that confirms skills in:</w:t>
            </w:r>
          </w:p>
          <w:p w:rsidR="00000000" w:rsidRPr="0065171C" w:rsidP="0065171C">
            <w:pPr>
              <w:pStyle w:val="ListBullet"/>
            </w:pPr>
            <w:r w:rsidRPr="0065171C">
              <w:t xml:space="preserve">safely applying advanced GTAW skills defined in unit MEM05044B Perform welds to code standards using gas tungsten arc welding process, to weld </w:t>
            </w:r>
            <w:r w:rsidRPr="0065171C">
              <w:t>specified aircraft parent metal group materials or components to the standards specified by the relevant Regulator (CASA or the ADF)</w:t>
            </w:r>
          </w:p>
          <w:p w:rsidR="00000000" w:rsidRPr="0065171C" w:rsidP="0065171C">
            <w:pPr>
              <w:pStyle w:val="ListBullet"/>
            </w:pPr>
            <w:r w:rsidRPr="0065171C">
              <w:t>applying welding principles (unit MEM05026C Apply welding principles) in the context of welding of aircraft components or m</w:t>
            </w:r>
            <w:r w:rsidRPr="0065171C">
              <w:t>aterials using the GTAW process</w:t>
            </w:r>
          </w:p>
          <w:p w:rsidR="00000000" w:rsidRPr="0065171C" w:rsidP="0065171C">
            <w:pPr>
              <w:pStyle w:val="ListBullet"/>
            </w:pPr>
            <w:r w:rsidRPr="0065171C">
              <w:t>identifying weld requirements from applicable documentation</w:t>
            </w:r>
          </w:p>
          <w:p w:rsidR="00000000" w:rsidRPr="0065171C" w:rsidP="0065171C">
            <w:pPr>
              <w:pStyle w:val="ListBullet"/>
            </w:pPr>
            <w:r w:rsidRPr="0065171C">
              <w:t>selecting and correctly using items of PPE applicable to GTAW of aircraft components</w:t>
            </w:r>
          </w:p>
        </w:tc>
      </w:tr>
    </w:tbl>
    <w:p w:rsidR="00000000" w:rsidRPr="0065171C" w:rsidP="0065171C">
      <w:pPr>
        <w:pStyle w:val="BodyText"/>
      </w:pPr>
    </w:p>
    <w:p w:rsidR="00000000" w:rsidRPr="0065171C" w:rsidP="0065171C">
      <w:pPr>
        <w:pStyle w:val="AllowPageBreak"/>
      </w:pPr>
    </w:p>
    <w:p w:rsidR="00000000" w:rsidRPr="0065171C" w:rsidP="0065171C">
      <w:pPr>
        <w:pStyle w:val="Heading1"/>
      </w:pPr>
      <w:bookmarkStart w:id="10" w:name="O_386835"/>
      <w:bookmarkEnd w:id="10"/>
      <w:r w:rsidRPr="0065171C">
        <w:t>Evidence Guide</w:t>
      </w:r>
    </w:p>
    <w:tbl>
      <w:tblPr>
        <w:tblW w:w="9462" w:type="dxa"/>
        <w:tblLayout w:type="fixed"/>
        <w:tblCellMar>
          <w:left w:w="62" w:type="dxa"/>
          <w:right w:w="62" w:type="dxa"/>
        </w:tblCellMar>
        <w:tblLook w:val="0000"/>
      </w:tblPr>
      <w:tblGrid>
        <w:gridCol w:w="3800"/>
        <w:gridCol w:w="5662"/>
      </w:tblGrid>
      <w:tr w:rsidTr="0065171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t>The evidence guide provides advice on assessm</w:t>
            </w:r>
            <w:r w:rsidRPr="0065171C">
              <w:t>ent and must be read in conjunction with the performance criteria, required skills and knowledge, range statement and the Assessment Guidelines for the Training Package.</w:t>
            </w:r>
          </w:p>
        </w:tc>
      </w:tr>
      <w:tr w:rsidTr="006517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t>Test pieces must be completed and assessed in acc</w:t>
            </w:r>
            <w:r w:rsidRPr="0065171C">
              <w:t>ordance with the regulatory requirements for the granting of aircraft welding approvals. Competency must be separately assessed for each parent metal group for which a GTAW authority is sought.</w:t>
            </w:r>
          </w:p>
        </w:tc>
      </w:tr>
      <w:tr w:rsidTr="006517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rPr>
                <w:rStyle w:val="SpecialBold"/>
              </w:rPr>
              <w:t>Critical aspects for assessment and evidence required to demo</w:t>
            </w:r>
            <w:r w:rsidRPr="0065171C">
              <w:rPr>
                <w:rStyle w:val="SpecialBold"/>
              </w:rPr>
              <w:t>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t>Evidence is required of the ability to produce gas tungsten arc welds to required specifications consistently across the range of components that are being fabricated or repaired, while applying all relevant safety precautio</w:t>
            </w:r>
            <w:r w:rsidRPr="0065171C">
              <w:t>ns. The ability to do this must be demonstrated through the production of the test pieces specified for the welding process and parent metal group in the CAAP 33-1(0) Aircraft manual welding: approvals and qualifications or RAAF Specification Engineering W</w:t>
            </w:r>
            <w:r w:rsidRPr="0065171C">
              <w:t>5003 Welders – Qualification for Aircraft, Missile and Aerospace Fusion welding.</w:t>
            </w:r>
          </w:p>
        </w:tc>
      </w:tr>
      <w:tr w:rsidTr="006517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71C" w:rsidP="0065171C">
            <w:pPr>
              <w:pStyle w:val="BodyText"/>
            </w:pPr>
            <w:r w:rsidRPr="0065171C">
              <w:t>Test pieces specified for each parent metal group for which approval is sought may be completed in the workplace or a simulat</w:t>
            </w:r>
            <w:r w:rsidRPr="0065171C">
              <w:t>ed workplace. The individual must be provided with all required equipment, consumables, PPE, materials and data/drawings relating to the test pieces that are required for the approvals being sought.</w:t>
            </w:r>
          </w:p>
          <w:p w:rsidR="00000000" w:rsidP="0065171C">
            <w:pPr>
              <w:pStyle w:val="BodyText"/>
              <w:rPr>
                <w:lang w:val="en-NZ"/>
              </w:rPr>
            </w:pPr>
            <w:r w:rsidRPr="0065171C">
              <w:t>Assessment of test pieces must be carried out in a testin</w:t>
            </w:r>
            <w:r w:rsidRPr="0065171C">
              <w:t>g facility that meets the requirements specified by the applicable Regulator.</w:t>
            </w:r>
          </w:p>
        </w:tc>
      </w:tr>
      <w:tr w:rsidTr="006517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t>Assessment methods are specified in the CAAP 33-1(0) Aircraft manual welding: approvals and qualifications or RAAF Specification Engineering W5003 Welders –</w:t>
            </w:r>
            <w:r w:rsidRPr="0065171C">
              <w:t xml:space="preserve"> Qualification for Aircraft, Missile and Aerospace Fusion welding.</w:t>
            </w:r>
          </w:p>
        </w:tc>
      </w:tr>
      <w:tr w:rsidTr="006517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71C" w:rsidP="0065171C">
            <w:pPr>
              <w:pStyle w:val="BodyText"/>
            </w:pPr>
          </w:p>
        </w:tc>
      </w:tr>
    </w:tbl>
    <w:p w:rsidR="00000000" w:rsidRPr="0065171C" w:rsidP="0065171C">
      <w:pPr>
        <w:pStyle w:val="BodyText"/>
      </w:pPr>
    </w:p>
    <w:p w:rsidR="00000000" w:rsidRPr="0065171C" w:rsidP="0065171C">
      <w:pPr>
        <w:pStyle w:val="AllowPageBreak"/>
      </w:pPr>
    </w:p>
    <w:p w:rsidR="00000000" w:rsidRPr="0065171C" w:rsidP="0065171C">
      <w:pPr>
        <w:pStyle w:val="Heading1"/>
      </w:pPr>
      <w:bookmarkStart w:id="11" w:name="O_386836"/>
      <w:bookmarkEnd w:id="11"/>
      <w:r w:rsidRPr="0065171C">
        <w:t>Range Statement</w:t>
      </w:r>
    </w:p>
    <w:tbl>
      <w:tblPr>
        <w:tblW w:w="9462" w:type="dxa"/>
        <w:tblLayout w:type="fixed"/>
        <w:tblCellMar>
          <w:left w:w="62" w:type="dxa"/>
          <w:right w:w="62" w:type="dxa"/>
        </w:tblCellMar>
        <w:tblLook w:val="0000"/>
      </w:tblPr>
      <w:tblGrid>
        <w:gridCol w:w="3800"/>
        <w:gridCol w:w="5662"/>
      </w:tblGrid>
      <w:tr w:rsidTr="0065171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t>The range statement relates to the unit of competency as a whole. It allows for different work environments and situations that may affect performance. Bold italicised wording, if used in the performance criteria, is detailed below. Essential operating con</w:t>
            </w:r>
            <w:r w:rsidRPr="0065171C">
              <w:t>ditions that may be present with training and assessment (depending on the work situation, needs of the candidate, accessibility of the item, and local industry and regional contexts) may also be included.</w:t>
            </w:r>
          </w:p>
        </w:tc>
      </w:tr>
      <w:tr w:rsidTr="006517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t>Materials may be any metal used in the</w:t>
            </w:r>
            <w:r w:rsidRPr="0065171C">
              <w:t xml:space="preserve"> construction of aircraft components that is suitable for GTAW</w:t>
            </w:r>
          </w:p>
        </w:tc>
      </w:tr>
      <w:tr w:rsidTr="006517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rPr>
                <w:rStyle w:val="SpecialBold"/>
              </w:rPr>
              <w:t>Component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t>Components may be any aircraft component where GTAW is specified as either a fabrication or repair technique</w:t>
            </w:r>
          </w:p>
        </w:tc>
      </w:tr>
      <w:tr w:rsidTr="006517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rPr>
                <w:rStyle w:val="SpecialBold"/>
              </w:rPr>
              <w:t>Parent metal group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71C" w:rsidP="0065171C">
            <w:pPr>
              <w:pStyle w:val="BodyText"/>
            </w:pPr>
            <w:r w:rsidRPr="0065171C">
              <w:t>Parent metal groups against which welding authorities</w:t>
            </w:r>
            <w:r w:rsidRPr="0065171C">
              <w:t xml:space="preserve"> are individually granted are:</w:t>
            </w:r>
          </w:p>
          <w:p w:rsidR="00000000" w:rsidRPr="0065171C" w:rsidP="0065171C">
            <w:pPr>
              <w:pStyle w:val="ListBullet"/>
            </w:pPr>
            <w:r w:rsidRPr="0065171C">
              <w:t>aluminium alloys</w:t>
            </w:r>
          </w:p>
          <w:p w:rsidR="00000000" w:rsidRPr="0065171C" w:rsidP="0065171C">
            <w:pPr>
              <w:pStyle w:val="ListBullet"/>
            </w:pPr>
            <w:r w:rsidRPr="0065171C">
              <w:t>magnesium alloys</w:t>
            </w:r>
          </w:p>
          <w:p w:rsidR="00000000" w:rsidRPr="0065171C" w:rsidP="0065171C">
            <w:pPr>
              <w:pStyle w:val="ListBullet"/>
            </w:pPr>
            <w:r w:rsidRPr="0065171C">
              <w:t>carbon steels and low alloy steels</w:t>
            </w:r>
          </w:p>
          <w:p w:rsidR="00000000" w:rsidRPr="0065171C" w:rsidP="0065171C">
            <w:pPr>
              <w:pStyle w:val="ListBullet"/>
            </w:pPr>
            <w:r w:rsidRPr="0065171C">
              <w:t>corrosion and heat resisting steels</w:t>
            </w:r>
          </w:p>
          <w:p w:rsidR="00000000" w:rsidRPr="0065171C" w:rsidP="0065171C">
            <w:pPr>
              <w:pStyle w:val="ListBullet"/>
            </w:pPr>
            <w:r w:rsidRPr="0065171C">
              <w:t>nickel alloys</w:t>
            </w:r>
          </w:p>
          <w:p w:rsidR="00000000" w:rsidRPr="0065171C" w:rsidP="0065171C">
            <w:pPr>
              <w:pStyle w:val="ListBullet"/>
            </w:pPr>
            <w:r w:rsidRPr="0065171C">
              <w:t>copper-based alloys</w:t>
            </w:r>
          </w:p>
          <w:p w:rsidR="00000000" w:rsidP="0065171C">
            <w:pPr>
              <w:pStyle w:val="ListBullet"/>
              <w:rPr>
                <w:lang w:val="en-NZ"/>
              </w:rPr>
            </w:pPr>
            <w:r w:rsidRPr="0065171C">
              <w:t>titanium alloys</w:t>
            </w:r>
          </w:p>
        </w:tc>
      </w:tr>
      <w:tr w:rsidTr="0065171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71C">
            <w:pPr>
              <w:pStyle w:val="BodyText"/>
              <w:rPr>
                <w:lang w:val="en-NZ"/>
              </w:rPr>
            </w:pPr>
            <w:r w:rsidRPr="0065171C">
              <w:rPr>
                <w:rStyle w:val="SpecialBold"/>
              </w:rPr>
              <w:t>Required standard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71C" w:rsidP="0065171C">
            <w:pPr>
              <w:pStyle w:val="BodyText"/>
            </w:pPr>
            <w:r w:rsidRPr="0065171C">
              <w:t>Standards may be specified in:</w:t>
            </w:r>
          </w:p>
          <w:p w:rsidR="00000000" w:rsidRPr="0065171C" w:rsidP="0065171C">
            <w:pPr>
              <w:pStyle w:val="ListBullet"/>
            </w:pPr>
            <w:r w:rsidRPr="0065171C">
              <w:t>regulations relating to required test pieces</w:t>
            </w:r>
          </w:p>
          <w:p w:rsidR="00000000" w:rsidRPr="0065171C" w:rsidP="0065171C">
            <w:pPr>
              <w:pStyle w:val="ListBullet"/>
            </w:pPr>
            <w:r w:rsidRPr="0065171C">
              <w:t>process specifications</w:t>
            </w:r>
          </w:p>
          <w:p w:rsidR="00000000" w:rsidRPr="0065171C" w:rsidP="0065171C">
            <w:pPr>
              <w:pStyle w:val="ListBullet"/>
            </w:pPr>
            <w:r w:rsidRPr="0065171C">
              <w:t>repair manuals</w:t>
            </w:r>
          </w:p>
          <w:p w:rsidR="00000000" w:rsidRPr="0065171C" w:rsidP="0065171C">
            <w:pPr>
              <w:pStyle w:val="ListBullet"/>
            </w:pPr>
            <w:r w:rsidRPr="0065171C">
              <w:t>overhaul manuals</w:t>
            </w:r>
          </w:p>
          <w:p w:rsidR="00000000" w:rsidRPr="0065171C" w:rsidP="0065171C">
            <w:pPr>
              <w:pStyle w:val="ListBullet"/>
            </w:pPr>
            <w:r w:rsidRPr="0065171C">
              <w:t>Australian and New Zealand Standards</w:t>
            </w:r>
          </w:p>
        </w:tc>
      </w:tr>
    </w:tbl>
    <w:p w:rsidR="00000000" w:rsidRPr="0065171C" w:rsidP="0065171C">
      <w:pPr>
        <w:pStyle w:val="BodyText"/>
      </w:pPr>
    </w:p>
    <w:p w:rsidR="00000000" w:rsidRPr="0065171C" w:rsidP="0065171C">
      <w:pPr>
        <w:pStyle w:val="AllowPageBreak"/>
      </w:pPr>
    </w:p>
    <w:p w:rsidR="00000000" w:rsidRPr="0065171C" w:rsidP="0065171C">
      <w:pPr>
        <w:pStyle w:val="Heading1"/>
      </w:pPr>
      <w:bookmarkStart w:id="12" w:name="O_386837"/>
      <w:bookmarkEnd w:id="12"/>
      <w:r w:rsidRPr="0065171C">
        <w:t>Unit Sector(s)</w:t>
      </w:r>
    </w:p>
    <w:p w:rsidR="00000000" w:rsidRPr="0065171C" w:rsidP="0065171C">
      <w:pPr>
        <w:pStyle w:val="BodyText"/>
      </w:pPr>
      <w:r w:rsidRPr="0065171C">
        <w:t>Aviation maintenance</w:t>
      </w:r>
    </w:p>
    <w:p w:rsidR="00000000" w:rsidRPr="0065171C" w:rsidP="0065171C">
      <w:pPr>
        <w:pStyle w:val="AllowPageBreak"/>
      </w:pPr>
    </w:p>
    <w:p w:rsidR="00000000" w:rsidRPr="0065171C" w:rsidP="0065171C">
      <w:pPr>
        <w:pStyle w:val="Heading1"/>
      </w:pPr>
      <w:bookmarkStart w:id="13" w:name="O_386838"/>
      <w:bookmarkEnd w:id="13"/>
      <w:r w:rsidRPr="0065171C">
        <w:t>Custom Content Section</w:t>
      </w:r>
    </w:p>
    <w:p w:rsidR="00000000" w:rsidRPr="0065171C" w:rsidP="0065171C">
      <w:pPr>
        <w:pStyle w:val="BodyText"/>
      </w:pPr>
      <w:r w:rsidRPr="0065171C">
        <w:t>Not applicable.</w:t>
      </w:r>
    </w:p>
    <w:p w:rsidR="00000000" w:rsidRPr="0065171C" w:rsidP="0065171C"/>
    <w:sectPr w:rsidSect="006517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2A1" w:rsidP="008342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A1" w:rsidP="006517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342A1" w:rsidP="006517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42A1" w:rsidP="006517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1C" w:rsidRPr="008342A1" w:rsidP="008342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2A1" w:rsidRPr="002D2AF8" w:rsidP="0065171C">
    <w:pPr>
      <w:pStyle w:val="Header"/>
      <w:framePr w:wrap="around"/>
    </w:pPr>
    <w:r>
      <w:fldChar w:fldCharType="begin"/>
    </w:r>
    <w:r>
      <w:instrText xml:space="preserve"> TITLE   \* MERGEFORMAT </w:instrText>
    </w:r>
    <w:r>
      <w:fldChar w:fldCharType="separate"/>
    </w:r>
    <w:r>
      <w:t>MEA432A Weld aircraft components using the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342A1" w:rsidP="006517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3051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7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71C"/>
    <w:pPr>
      <w:spacing w:before="360" w:after="60"/>
      <w:outlineLvl w:val="0"/>
    </w:pPr>
    <w:rPr>
      <w:sz w:val="32"/>
    </w:rPr>
  </w:style>
  <w:style w:type="paragraph" w:styleId="Heading2">
    <w:name w:val="heading 2"/>
    <w:basedOn w:val="HeadingBase"/>
    <w:next w:val="BodyText"/>
    <w:link w:val="Heading2Char"/>
    <w:qFormat/>
    <w:rsid w:val="0065171C"/>
    <w:pPr>
      <w:keepLines/>
      <w:spacing w:before="240" w:after="120"/>
      <w:outlineLvl w:val="1"/>
    </w:pPr>
    <w:rPr>
      <w:sz w:val="28"/>
      <w:szCs w:val="40"/>
    </w:rPr>
  </w:style>
  <w:style w:type="paragraph" w:styleId="Heading3">
    <w:name w:val="heading 3"/>
    <w:basedOn w:val="HeadingBase"/>
    <w:next w:val="BodyText"/>
    <w:link w:val="Heading3Char"/>
    <w:qFormat/>
    <w:rsid w:val="0065171C"/>
    <w:pPr>
      <w:spacing w:before="180" w:after="120"/>
      <w:outlineLvl w:val="2"/>
    </w:pPr>
    <w:rPr>
      <w:spacing w:val="-10"/>
      <w:kern w:val="32"/>
    </w:rPr>
  </w:style>
  <w:style w:type="paragraph" w:styleId="Heading4">
    <w:name w:val="heading 4"/>
    <w:basedOn w:val="HeadingBase"/>
    <w:next w:val="BodyText"/>
    <w:link w:val="Heading4Char"/>
    <w:qFormat/>
    <w:rsid w:val="0065171C"/>
    <w:pPr>
      <w:spacing w:before="160" w:after="120"/>
      <w:outlineLvl w:val="3"/>
    </w:pPr>
    <w:rPr>
      <w:sz w:val="22"/>
    </w:rPr>
  </w:style>
  <w:style w:type="paragraph" w:styleId="Heading5">
    <w:name w:val="heading 5"/>
    <w:basedOn w:val="HeadingBase"/>
    <w:next w:val="Normal"/>
    <w:link w:val="Heading5Char"/>
    <w:qFormat/>
    <w:rsid w:val="0065171C"/>
    <w:pPr>
      <w:spacing w:before="80"/>
      <w:outlineLvl w:val="4"/>
    </w:pPr>
    <w:rPr>
      <w:color w:val="918585"/>
      <w:sz w:val="20"/>
    </w:rPr>
  </w:style>
  <w:style w:type="paragraph" w:styleId="Heading6">
    <w:name w:val="heading 6"/>
    <w:basedOn w:val="HeadingBase"/>
    <w:next w:val="Normal"/>
    <w:link w:val="Heading6Char"/>
    <w:qFormat/>
    <w:rsid w:val="0065171C"/>
    <w:pPr>
      <w:spacing w:before="60"/>
      <w:outlineLvl w:val="5"/>
    </w:pPr>
    <w:rPr>
      <w:color w:val="918585"/>
      <w:sz w:val="20"/>
    </w:rPr>
  </w:style>
  <w:style w:type="paragraph" w:styleId="Heading7">
    <w:name w:val="heading 7"/>
    <w:basedOn w:val="Normal"/>
    <w:next w:val="Normal"/>
    <w:link w:val="Heading7Char"/>
    <w:qFormat/>
    <w:rsid w:val="0065171C"/>
    <w:pPr>
      <w:ind w:left="720"/>
      <w:outlineLvl w:val="6"/>
    </w:pPr>
    <w:rPr>
      <w:i/>
    </w:rPr>
  </w:style>
  <w:style w:type="paragraph" w:styleId="Heading8">
    <w:name w:val="heading 8"/>
    <w:basedOn w:val="Normal"/>
    <w:next w:val="Normal"/>
    <w:link w:val="Heading8Char"/>
    <w:qFormat/>
    <w:rsid w:val="0065171C"/>
    <w:pPr>
      <w:ind w:left="720"/>
      <w:outlineLvl w:val="7"/>
    </w:pPr>
    <w:rPr>
      <w:i/>
    </w:rPr>
  </w:style>
  <w:style w:type="paragraph" w:styleId="Heading9">
    <w:name w:val="heading 9"/>
    <w:basedOn w:val="Normal"/>
    <w:next w:val="Normal"/>
    <w:link w:val="Heading9Char"/>
    <w:qFormat/>
    <w:rsid w:val="0065171C"/>
    <w:pPr>
      <w:ind w:left="720"/>
      <w:outlineLvl w:val="8"/>
    </w:pPr>
    <w:rPr>
      <w:i/>
    </w:rPr>
  </w:style>
  <w:style w:type="character" w:default="1" w:styleId="DefaultParagraphFont">
    <w:name w:val="Default Paragraph Font"/>
    <w:uiPriority w:val="1"/>
    <w:unhideWhenUsed/>
    <w:rsid w:val="00651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71C"/>
  </w:style>
  <w:style w:type="character" w:customStyle="1" w:styleId="Heading1Char">
    <w:name w:val="Heading 1 Char"/>
    <w:basedOn w:val="DefaultParagraphFont"/>
    <w:link w:val="Heading1"/>
    <w:rsid w:val="0065171C"/>
    <w:rPr>
      <w:rFonts w:ascii="Times New Roman" w:eastAsia="Times New Roman" w:hAnsi="Times New Roman" w:cs="Times New Roman"/>
      <w:b/>
      <w:sz w:val="32"/>
      <w:szCs w:val="20"/>
      <w:lang w:eastAsia="en-US"/>
    </w:rPr>
  </w:style>
  <w:style w:type="paragraph" w:styleId="BodyText">
    <w:name w:val="Body Text"/>
    <w:basedOn w:val="Normal"/>
    <w:link w:val="BodyTextChar"/>
    <w:rsid w:val="006517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171C"/>
    <w:rPr>
      <w:rFonts w:ascii="Times New Roman" w:eastAsia="Times New Roman" w:hAnsi="Times New Roman" w:cs="Times New Roman"/>
      <w:sz w:val="24"/>
      <w:lang w:eastAsia="en-US"/>
    </w:rPr>
  </w:style>
  <w:style w:type="paragraph" w:styleId="Footer">
    <w:name w:val="footer"/>
    <w:basedOn w:val="Normal"/>
    <w:link w:val="FooterChar"/>
    <w:rsid w:val="00651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71C"/>
    <w:rPr>
      <w:rFonts w:ascii="Times New Roman" w:eastAsia="Times New Roman" w:hAnsi="Times New Roman" w:cs="Times New Roman"/>
      <w:sz w:val="16"/>
      <w:lang w:eastAsia="en-US"/>
    </w:rPr>
  </w:style>
  <w:style w:type="paragraph" w:styleId="ListBullet">
    <w:name w:val="List Bullet"/>
    <w:basedOn w:val="List"/>
    <w:rsid w:val="0065171C"/>
    <w:pPr>
      <w:numPr>
        <w:numId w:val="12"/>
      </w:numPr>
      <w:tabs>
        <w:tab w:val="clear" w:pos="340"/>
      </w:tabs>
      <w:spacing w:before="40" w:after="40"/>
    </w:pPr>
  </w:style>
  <w:style w:type="character" w:customStyle="1" w:styleId="SpecialBold">
    <w:name w:val="Special Bold"/>
    <w:basedOn w:val="DefaultParagraphFont"/>
    <w:rsid w:val="0065171C"/>
    <w:rPr>
      <w:b/>
      <w:spacing w:val="0"/>
    </w:rPr>
  </w:style>
  <w:style w:type="paragraph" w:customStyle="1" w:styleId="SuperHeading">
    <w:name w:val="SuperHeading"/>
    <w:basedOn w:val="Normal"/>
    <w:rsid w:val="0065171C"/>
    <w:pPr>
      <w:spacing w:before="240" w:after="120"/>
      <w:outlineLvl w:val="0"/>
    </w:pPr>
    <w:rPr>
      <w:rFonts w:ascii="Times New Roman" w:hAnsi="Times New Roman"/>
      <w:b/>
      <w:sz w:val="28"/>
    </w:rPr>
  </w:style>
  <w:style w:type="paragraph" w:customStyle="1" w:styleId="AllowPageBreak">
    <w:name w:val="AllowPageBreak"/>
    <w:rsid w:val="006517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171C"/>
    <w:rPr>
      <w:b/>
      <w:i/>
      <w:u w:val="none"/>
    </w:rPr>
  </w:style>
  <w:style w:type="character" w:customStyle="1" w:styleId="Heading2Char">
    <w:name w:val="Heading 2 Char"/>
    <w:basedOn w:val="DefaultParagraphFont"/>
    <w:link w:val="Heading2"/>
    <w:rsid w:val="00651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7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7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71C"/>
    <w:rPr>
      <w:rFonts w:ascii="Courier New" w:eastAsia="Times New Roman" w:hAnsi="Courier New" w:cs="Times New Roman"/>
      <w:i/>
      <w:szCs w:val="20"/>
      <w:lang w:eastAsia="en-US"/>
    </w:rPr>
  </w:style>
  <w:style w:type="paragraph" w:customStyle="1" w:styleId="HeadingBase">
    <w:name w:val="Heading Base"/>
    <w:rsid w:val="00651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71C"/>
    <w:pPr>
      <w:tabs>
        <w:tab w:val="right" w:leader="dot" w:pos="9072"/>
      </w:tabs>
      <w:ind w:left="567"/>
    </w:pPr>
    <w:rPr>
      <w:szCs w:val="22"/>
    </w:rPr>
  </w:style>
  <w:style w:type="paragraph" w:customStyle="1" w:styleId="TOCBase">
    <w:name w:val="TOC Base"/>
    <w:rsid w:val="00651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71C"/>
    <w:pPr>
      <w:tabs>
        <w:tab w:val="right" w:leader="dot" w:pos="9072"/>
      </w:tabs>
      <w:spacing w:before="40" w:after="40"/>
      <w:ind w:left="284"/>
    </w:pPr>
    <w:rPr>
      <w:rFonts w:ascii="Times New Roman" w:hAnsi="Times New Roman"/>
    </w:rPr>
  </w:style>
  <w:style w:type="paragraph" w:styleId="TOC1">
    <w:name w:val="toc 1"/>
    <w:basedOn w:val="TOCBase"/>
    <w:next w:val="Normal"/>
    <w:rsid w:val="006517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171C"/>
    <w:pPr>
      <w:spacing w:before="5040"/>
      <w:jc w:val="center"/>
    </w:pPr>
    <w:rPr>
      <w:sz w:val="48"/>
      <w:szCs w:val="72"/>
      <w:lang w:val="en-US"/>
    </w:rPr>
  </w:style>
  <w:style w:type="character" w:customStyle="1" w:styleId="TitleChar">
    <w:name w:val="Title Char"/>
    <w:basedOn w:val="DefaultParagraphFont"/>
    <w:link w:val="Title"/>
    <w:rsid w:val="00651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71C"/>
    <w:pPr>
      <w:tabs>
        <w:tab w:val="left" w:pos="3600"/>
        <w:tab w:val="left" w:pos="3958"/>
      </w:tabs>
    </w:pPr>
  </w:style>
  <w:style w:type="paragraph" w:styleId="List">
    <w:name w:val="List"/>
    <w:basedOn w:val="BodyText"/>
    <w:next w:val="BodyText"/>
    <w:rsid w:val="0065171C"/>
    <w:pPr>
      <w:tabs>
        <w:tab w:val="left" w:pos="340"/>
      </w:tabs>
      <w:spacing w:before="60" w:after="60"/>
      <w:ind w:left="340" w:hanging="340"/>
    </w:pPr>
  </w:style>
  <w:style w:type="paragraph" w:customStyle="1" w:styleId="Note">
    <w:name w:val="Note"/>
    <w:basedOn w:val="BodyText"/>
    <w:rsid w:val="00651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71C"/>
    <w:pPr>
      <w:framePr w:wrap="auto" w:hAnchor="text" w:y="6049"/>
    </w:pPr>
    <w:rPr>
      <w:color w:val="000000"/>
      <w:sz w:val="40"/>
    </w:rPr>
  </w:style>
  <w:style w:type="paragraph" w:customStyle="1" w:styleId="TOCTitle">
    <w:name w:val="TOCTitle"/>
    <w:basedOn w:val="Heading1"/>
    <w:rsid w:val="0065171C"/>
    <w:pPr>
      <w:spacing w:after="240"/>
      <w:jc w:val="center"/>
      <w:outlineLvl w:val="9"/>
    </w:pPr>
    <w:rPr>
      <w:caps/>
    </w:rPr>
  </w:style>
  <w:style w:type="paragraph" w:customStyle="1" w:styleId="Version">
    <w:name w:val="Version"/>
    <w:rsid w:val="006517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171C"/>
    <w:pPr>
      <w:numPr>
        <w:numId w:val="13"/>
      </w:numPr>
      <w:tabs>
        <w:tab w:val="clear" w:pos="680"/>
      </w:tabs>
    </w:pPr>
  </w:style>
  <w:style w:type="paragraph" w:styleId="Index1">
    <w:name w:val="index 1"/>
    <w:basedOn w:val="Normal"/>
    <w:next w:val="Normal"/>
    <w:semiHidden/>
    <w:rsid w:val="0065171C"/>
    <w:pPr>
      <w:keepNext w:val="0"/>
      <w:tabs>
        <w:tab w:val="right" w:pos="4176"/>
      </w:tabs>
      <w:ind w:left="198" w:hanging="198"/>
    </w:pPr>
    <w:rPr>
      <w:rFonts w:ascii="Garamond" w:hAnsi="Garamond"/>
    </w:rPr>
  </w:style>
  <w:style w:type="paragraph" w:styleId="IndexHeading">
    <w:name w:val="index heading"/>
    <w:basedOn w:val="Normal"/>
    <w:next w:val="Index1"/>
    <w:semiHidden/>
    <w:rsid w:val="0065171C"/>
    <w:pPr>
      <w:spacing w:before="120" w:after="120"/>
    </w:pPr>
    <w:rPr>
      <w:rFonts w:ascii="Arial" w:hAnsi="Arial"/>
      <w:b/>
      <w:color w:val="918585"/>
      <w:sz w:val="24"/>
    </w:rPr>
  </w:style>
  <w:style w:type="paragraph" w:styleId="Header">
    <w:name w:val="header"/>
    <w:basedOn w:val="Normal"/>
    <w:link w:val="HeaderChar"/>
    <w:rsid w:val="00651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71C"/>
    <w:rPr>
      <w:rFonts w:ascii="Times New Roman" w:eastAsia="Times New Roman" w:hAnsi="Times New Roman" w:cs="Times New Roman"/>
      <w:sz w:val="16"/>
      <w:szCs w:val="20"/>
      <w:lang w:val="en-GB" w:eastAsia="en-US"/>
    </w:rPr>
  </w:style>
  <w:style w:type="paragraph" w:customStyle="1" w:styleId="Chapter">
    <w:name w:val="Chapter"/>
    <w:basedOn w:val="Normal"/>
    <w:rsid w:val="0065171C"/>
    <w:pPr>
      <w:spacing w:before="240"/>
    </w:pPr>
    <w:rPr>
      <w:rFonts w:ascii="Times New Roman" w:hAnsi="Times New Roman"/>
      <w:smallCaps/>
      <w:spacing w:val="80"/>
      <w:sz w:val="28"/>
    </w:rPr>
  </w:style>
  <w:style w:type="paragraph" w:customStyle="1" w:styleId="InChapter">
    <w:name w:val="InChapter"/>
    <w:basedOn w:val="Heading3"/>
    <w:rsid w:val="0065171C"/>
    <w:pPr>
      <w:spacing w:after="240"/>
      <w:outlineLvl w:val="9"/>
    </w:pPr>
    <w:rPr>
      <w:noProof/>
    </w:rPr>
  </w:style>
  <w:style w:type="paragraph" w:styleId="Index2">
    <w:name w:val="index 2"/>
    <w:basedOn w:val="Normal"/>
    <w:next w:val="Normal"/>
    <w:semiHidden/>
    <w:rsid w:val="0065171C"/>
    <w:pPr>
      <w:tabs>
        <w:tab w:val="right" w:pos="4176"/>
      </w:tabs>
      <w:ind w:left="568" w:hanging="284"/>
    </w:pPr>
    <w:rPr>
      <w:rFonts w:ascii="Garamond" w:hAnsi="Garamond"/>
    </w:rPr>
  </w:style>
  <w:style w:type="paragraph" w:customStyle="1" w:styleId="Byline">
    <w:name w:val="Byline"/>
    <w:rsid w:val="00651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71C"/>
    <w:pPr>
      <w:tabs>
        <w:tab w:val="clear" w:pos="3600"/>
        <w:tab w:val="clear" w:pos="3958"/>
      </w:tabs>
      <w:jc w:val="right"/>
    </w:pPr>
  </w:style>
  <w:style w:type="character" w:styleId="Emphasis">
    <w:name w:val="Emphasis"/>
    <w:basedOn w:val="DefaultParagraphFont"/>
    <w:qFormat/>
    <w:rsid w:val="0065171C"/>
    <w:rPr>
      <w:i/>
    </w:rPr>
  </w:style>
  <w:style w:type="paragraph" w:styleId="Caption">
    <w:name w:val="caption"/>
    <w:basedOn w:val="BodyText"/>
    <w:next w:val="Normal"/>
    <w:qFormat/>
    <w:rsid w:val="0065171C"/>
    <w:pPr>
      <w:framePr w:w="2268" w:hSpace="181" w:vSpace="181" w:wrap="around" w:vAnchor="text" w:hAnchor="page" w:x="1135" w:y="285" w:anchorLock="1"/>
    </w:pPr>
    <w:rPr>
      <w:i/>
    </w:rPr>
  </w:style>
  <w:style w:type="paragraph" w:customStyle="1" w:styleId="MiniTOCTitle">
    <w:name w:val="MiniTOCTitle"/>
    <w:basedOn w:val="Heading4"/>
    <w:rsid w:val="0065171C"/>
    <w:pPr>
      <w:spacing w:before="240"/>
      <w:outlineLvl w:val="9"/>
    </w:pPr>
    <w:rPr>
      <w:noProof/>
      <w:sz w:val="24"/>
    </w:rPr>
  </w:style>
  <w:style w:type="paragraph" w:customStyle="1" w:styleId="MiniTOCItem">
    <w:name w:val="MiniTOCItem"/>
    <w:basedOn w:val="ListBullet"/>
    <w:rsid w:val="0065171C"/>
    <w:pPr>
      <w:numPr>
        <w:numId w:val="0"/>
      </w:numPr>
      <w:tabs>
        <w:tab w:val="right" w:leader="dot" w:pos="6521"/>
      </w:tabs>
      <w:spacing w:before="0" w:after="0"/>
    </w:pPr>
  </w:style>
  <w:style w:type="paragraph" w:customStyle="1" w:styleId="TOFTitle">
    <w:name w:val="TOFTitle"/>
    <w:basedOn w:val="TOCTitle"/>
    <w:rsid w:val="0065171C"/>
  </w:style>
  <w:style w:type="paragraph" w:styleId="TableofFigures">
    <w:name w:val="table of figures"/>
    <w:basedOn w:val="Normal"/>
    <w:next w:val="Normal"/>
    <w:semiHidden/>
    <w:rsid w:val="0065171C"/>
    <w:pPr>
      <w:tabs>
        <w:tab w:val="right" w:leader="dot" w:pos="9072"/>
      </w:tabs>
      <w:ind w:left="970" w:hanging="403"/>
    </w:pPr>
    <w:rPr>
      <w:rFonts w:ascii="Times New Roman" w:hAnsi="Times New Roman"/>
      <w:b/>
    </w:rPr>
  </w:style>
  <w:style w:type="paragraph" w:styleId="ListNumber">
    <w:name w:val="List Number"/>
    <w:basedOn w:val="List"/>
    <w:rsid w:val="0065171C"/>
    <w:pPr>
      <w:numPr>
        <w:numId w:val="10"/>
      </w:numPr>
    </w:pPr>
  </w:style>
  <w:style w:type="character" w:customStyle="1" w:styleId="WingdingSymbols">
    <w:name w:val="Wingding Symbols"/>
    <w:rsid w:val="0065171C"/>
    <w:rPr>
      <w:rFonts w:ascii="Wingdings" w:hAnsi="Wingdings"/>
    </w:rPr>
  </w:style>
  <w:style w:type="paragraph" w:customStyle="1" w:styleId="TableHeading">
    <w:name w:val="Table Heading"/>
    <w:basedOn w:val="HeadingBase"/>
    <w:rsid w:val="0065171C"/>
    <w:pPr>
      <w:keepLines/>
      <w:pBdr>
        <w:bottom w:val="single" w:sz="6" w:space="1" w:color="918585"/>
      </w:pBdr>
      <w:spacing w:before="240"/>
    </w:pPr>
  </w:style>
  <w:style w:type="character" w:customStyle="1" w:styleId="HotSpot">
    <w:name w:val="HotSpot"/>
    <w:rsid w:val="0065171C"/>
    <w:rPr>
      <w:color w:val="0033CC"/>
      <w:u w:val="none"/>
    </w:rPr>
  </w:style>
  <w:style w:type="paragraph" w:customStyle="1" w:styleId="BodyTextRight">
    <w:name w:val="Body Text Right"/>
    <w:basedOn w:val="BodyText"/>
    <w:rsid w:val="0065171C"/>
    <w:pPr>
      <w:spacing w:before="0" w:after="0"/>
      <w:jc w:val="right"/>
    </w:pPr>
  </w:style>
  <w:style w:type="paragraph" w:styleId="Index3">
    <w:name w:val="index 3"/>
    <w:basedOn w:val="ListNumber2"/>
    <w:next w:val="Normal"/>
    <w:semiHidden/>
    <w:rsid w:val="0065171C"/>
    <w:pPr>
      <w:numPr>
        <w:numId w:val="0"/>
      </w:numPr>
      <w:tabs>
        <w:tab w:val="right" w:leader="dot" w:pos="4176"/>
      </w:tabs>
    </w:pPr>
  </w:style>
  <w:style w:type="paragraph" w:styleId="ListNumber2">
    <w:name w:val="List Number 2"/>
    <w:basedOn w:val="List2"/>
    <w:rsid w:val="0065171C"/>
    <w:pPr>
      <w:numPr>
        <w:numId w:val="9"/>
      </w:numPr>
      <w:tabs>
        <w:tab w:val="clear" w:pos="1060"/>
      </w:tabs>
    </w:pPr>
  </w:style>
  <w:style w:type="paragraph" w:customStyle="1" w:styleId="MarginNote">
    <w:name w:val="Margin Note"/>
    <w:basedOn w:val="BodyText"/>
    <w:rsid w:val="00651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7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71C"/>
    <w:rPr>
      <w:sz w:val="32"/>
    </w:rPr>
  </w:style>
  <w:style w:type="paragraph" w:customStyle="1" w:styleId="HeadingProcedure">
    <w:name w:val="Heading Procedure"/>
    <w:basedOn w:val="HeadingBase"/>
    <w:next w:val="Normal"/>
    <w:rsid w:val="0065171C"/>
    <w:pPr>
      <w:tabs>
        <w:tab w:val="left" w:pos="0"/>
      </w:tabs>
      <w:spacing w:before="120" w:after="60"/>
    </w:pPr>
    <w:rPr>
      <w:i/>
      <w:color w:val="918585"/>
      <w:sz w:val="22"/>
    </w:rPr>
  </w:style>
  <w:style w:type="paragraph" w:customStyle="1" w:styleId="TableBodyText">
    <w:name w:val="Table Body Text"/>
    <w:basedOn w:val="BodyText"/>
    <w:rsid w:val="0065171C"/>
    <w:pPr>
      <w:spacing w:before="60" w:after="60"/>
    </w:pPr>
  </w:style>
  <w:style w:type="paragraph" w:styleId="ListContinue">
    <w:name w:val="List Continue"/>
    <w:basedOn w:val="List"/>
    <w:rsid w:val="0065171C"/>
    <w:pPr>
      <w:ind w:firstLine="0"/>
    </w:pPr>
  </w:style>
  <w:style w:type="paragraph" w:customStyle="1" w:styleId="ListNote">
    <w:name w:val="List Note"/>
    <w:basedOn w:val="List"/>
    <w:rsid w:val="0065171C"/>
    <w:pPr>
      <w:pBdr>
        <w:top w:val="single" w:sz="6" w:space="2" w:color="918585"/>
        <w:bottom w:val="single" w:sz="6" w:space="2" w:color="918585"/>
      </w:pBdr>
      <w:tabs>
        <w:tab w:val="left" w:pos="1021"/>
      </w:tabs>
      <w:ind w:firstLine="0"/>
    </w:pPr>
  </w:style>
  <w:style w:type="paragraph" w:customStyle="1" w:styleId="Warning">
    <w:name w:val="Warning"/>
    <w:basedOn w:val="BodyText"/>
    <w:rsid w:val="0065171C"/>
    <w:pPr>
      <w:shd w:val="clear" w:color="auto" w:fill="D9D9D9"/>
      <w:tabs>
        <w:tab w:val="left" w:pos="992"/>
      </w:tabs>
      <w:ind w:left="119" w:right="119"/>
    </w:pPr>
    <w:rPr>
      <w:sz w:val="20"/>
    </w:rPr>
  </w:style>
  <w:style w:type="paragraph" w:customStyle="1" w:styleId="MarginIcons">
    <w:name w:val="Margin Icons"/>
    <w:basedOn w:val="BodyText"/>
    <w:rsid w:val="00651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71C"/>
    <w:rPr>
      <w:rFonts w:ascii="Courier New" w:hAnsi="Courier New"/>
    </w:rPr>
  </w:style>
  <w:style w:type="paragraph" w:customStyle="1" w:styleId="NoteBullet">
    <w:name w:val="Note Bullet"/>
    <w:basedOn w:val="Note"/>
    <w:rsid w:val="0065171C"/>
    <w:pPr>
      <w:tabs>
        <w:tab w:val="clear" w:pos="680"/>
      </w:tabs>
      <w:spacing w:before="60" w:after="60"/>
    </w:pPr>
  </w:style>
  <w:style w:type="paragraph" w:customStyle="1" w:styleId="SubHeading2">
    <w:name w:val="SubHeading2"/>
    <w:basedOn w:val="HeadingBase"/>
    <w:rsid w:val="0065171C"/>
    <w:pPr>
      <w:spacing w:before="240" w:after="60"/>
    </w:pPr>
    <w:rPr>
      <w:sz w:val="20"/>
    </w:rPr>
  </w:style>
  <w:style w:type="paragraph" w:customStyle="1" w:styleId="SubHeading1">
    <w:name w:val="SubHeading1"/>
    <w:basedOn w:val="HeadingBase"/>
    <w:rsid w:val="0065171C"/>
    <w:pPr>
      <w:spacing w:before="240" w:after="60"/>
    </w:pPr>
    <w:rPr>
      <w:color w:val="918585"/>
      <w:sz w:val="22"/>
    </w:rPr>
  </w:style>
  <w:style w:type="paragraph" w:customStyle="1" w:styleId="SideHeading">
    <w:name w:val="Side Heading"/>
    <w:basedOn w:val="HeadingBase"/>
    <w:rsid w:val="00651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71C"/>
    <w:pPr>
      <w:tabs>
        <w:tab w:val="num" w:pos="360"/>
      </w:tabs>
    </w:pPr>
  </w:style>
  <w:style w:type="paragraph" w:styleId="PlainText">
    <w:name w:val="Plain Text"/>
    <w:basedOn w:val="Normal"/>
    <w:link w:val="PlainTextChar"/>
    <w:rsid w:val="0065171C"/>
    <w:rPr>
      <w:sz w:val="20"/>
    </w:rPr>
  </w:style>
  <w:style w:type="character" w:customStyle="1" w:styleId="PlainTextChar">
    <w:name w:val="Plain Text Char"/>
    <w:basedOn w:val="DefaultParagraphFont"/>
    <w:link w:val="PlainText"/>
    <w:rsid w:val="0065171C"/>
    <w:rPr>
      <w:rFonts w:ascii="Courier New" w:eastAsia="Times New Roman" w:hAnsi="Courier New" w:cs="Times New Roman"/>
      <w:sz w:val="20"/>
      <w:szCs w:val="20"/>
      <w:lang w:eastAsia="en-US"/>
    </w:rPr>
  </w:style>
  <w:style w:type="character" w:customStyle="1" w:styleId="MenuOption">
    <w:name w:val="Menu Option"/>
    <w:basedOn w:val="DefaultParagraphFont"/>
    <w:rsid w:val="0065171C"/>
    <w:rPr>
      <w:b/>
      <w:smallCaps/>
    </w:rPr>
  </w:style>
  <w:style w:type="paragraph" w:customStyle="1" w:styleId="TableListNumber">
    <w:name w:val="Table List Number"/>
    <w:basedOn w:val="ListNumber"/>
    <w:rsid w:val="0065171C"/>
    <w:pPr>
      <w:numPr>
        <w:numId w:val="0"/>
      </w:numPr>
    </w:pPr>
  </w:style>
  <w:style w:type="paragraph" w:styleId="TOC4">
    <w:name w:val="toc 4"/>
    <w:basedOn w:val="TOCBase"/>
    <w:next w:val="Normal"/>
    <w:semiHidden/>
    <w:rsid w:val="0065171C"/>
    <w:pPr>
      <w:tabs>
        <w:tab w:val="right" w:leader="dot" w:pos="9071"/>
      </w:tabs>
      <w:ind w:left="1701"/>
    </w:pPr>
  </w:style>
  <w:style w:type="paragraph" w:customStyle="1" w:styleId="ListAlpha">
    <w:name w:val="List Alpha"/>
    <w:basedOn w:val="List"/>
    <w:rsid w:val="0065171C"/>
    <w:pPr>
      <w:numPr>
        <w:numId w:val="8"/>
      </w:numPr>
    </w:pPr>
  </w:style>
  <w:style w:type="paragraph" w:customStyle="1" w:styleId="ListAlpha2">
    <w:name w:val="List Alpha 2"/>
    <w:basedOn w:val="List2"/>
    <w:rsid w:val="0065171C"/>
    <w:pPr>
      <w:numPr>
        <w:numId w:val="7"/>
      </w:numPr>
    </w:pPr>
  </w:style>
  <w:style w:type="paragraph" w:styleId="List2">
    <w:name w:val="List 2"/>
    <w:basedOn w:val="BodyText"/>
    <w:rsid w:val="0065171C"/>
    <w:pPr>
      <w:tabs>
        <w:tab w:val="left" w:pos="680"/>
      </w:tabs>
      <w:spacing w:before="60" w:after="60"/>
      <w:ind w:left="680" w:hanging="340"/>
    </w:pPr>
  </w:style>
  <w:style w:type="paragraph" w:styleId="List3">
    <w:name w:val="List 3"/>
    <w:basedOn w:val="BodyText"/>
    <w:rsid w:val="0065171C"/>
    <w:pPr>
      <w:tabs>
        <w:tab w:val="left" w:pos="1021"/>
      </w:tabs>
      <w:spacing w:before="60" w:after="60"/>
      <w:ind w:left="1020" w:hanging="340"/>
    </w:pPr>
  </w:style>
  <w:style w:type="paragraph" w:styleId="List4">
    <w:name w:val="List 4"/>
    <w:basedOn w:val="BodyText"/>
    <w:rsid w:val="0065171C"/>
    <w:pPr>
      <w:tabs>
        <w:tab w:val="left" w:pos="1361"/>
      </w:tabs>
      <w:spacing w:before="60" w:after="60"/>
      <w:ind w:left="1361" w:hanging="340"/>
    </w:pPr>
  </w:style>
  <w:style w:type="paragraph" w:styleId="List5">
    <w:name w:val="List 5"/>
    <w:basedOn w:val="BodyText"/>
    <w:rsid w:val="0065171C"/>
    <w:pPr>
      <w:tabs>
        <w:tab w:val="left" w:pos="1701"/>
      </w:tabs>
      <w:spacing w:before="60" w:after="60"/>
      <w:ind w:left="1701" w:hanging="340"/>
    </w:pPr>
  </w:style>
  <w:style w:type="paragraph" w:styleId="ListBullet3">
    <w:name w:val="List Bullet 3"/>
    <w:basedOn w:val="List3"/>
    <w:rsid w:val="0065171C"/>
    <w:pPr>
      <w:numPr>
        <w:numId w:val="14"/>
      </w:numPr>
      <w:tabs>
        <w:tab w:val="clear" w:pos="1021"/>
      </w:tabs>
      <w:ind w:left="1037" w:hanging="357"/>
    </w:pPr>
  </w:style>
  <w:style w:type="paragraph" w:styleId="ListBullet4">
    <w:name w:val="List Bullet 4"/>
    <w:basedOn w:val="List4"/>
    <w:rsid w:val="0065171C"/>
    <w:pPr>
      <w:numPr>
        <w:numId w:val="2"/>
      </w:numPr>
    </w:pPr>
  </w:style>
  <w:style w:type="paragraph" w:styleId="ListBullet5">
    <w:name w:val="List Bullet 5"/>
    <w:basedOn w:val="List5"/>
    <w:rsid w:val="0065171C"/>
    <w:pPr>
      <w:numPr>
        <w:numId w:val="3"/>
      </w:numPr>
    </w:pPr>
  </w:style>
  <w:style w:type="paragraph" w:styleId="ListContinue2">
    <w:name w:val="List Continue 2"/>
    <w:basedOn w:val="List2"/>
    <w:rsid w:val="0065171C"/>
    <w:pPr>
      <w:ind w:firstLine="0"/>
    </w:pPr>
  </w:style>
  <w:style w:type="paragraph" w:styleId="ListContinue3">
    <w:name w:val="List Continue 3"/>
    <w:basedOn w:val="List3"/>
    <w:rsid w:val="0065171C"/>
    <w:pPr>
      <w:ind w:left="1021" w:firstLine="0"/>
    </w:pPr>
  </w:style>
  <w:style w:type="paragraph" w:styleId="ListContinue4">
    <w:name w:val="List Continue 4"/>
    <w:basedOn w:val="List4"/>
    <w:rsid w:val="0065171C"/>
    <w:pPr>
      <w:ind w:firstLine="0"/>
    </w:pPr>
  </w:style>
  <w:style w:type="paragraph" w:styleId="ListContinue5">
    <w:name w:val="List Continue 5"/>
    <w:basedOn w:val="List5"/>
    <w:rsid w:val="0065171C"/>
    <w:pPr>
      <w:ind w:firstLine="0"/>
    </w:pPr>
  </w:style>
  <w:style w:type="paragraph" w:styleId="ListNumber3">
    <w:name w:val="List Number 3"/>
    <w:basedOn w:val="List3"/>
    <w:rsid w:val="0065171C"/>
    <w:pPr>
      <w:numPr>
        <w:numId w:val="4"/>
      </w:numPr>
    </w:pPr>
  </w:style>
  <w:style w:type="paragraph" w:styleId="ListNumber4">
    <w:name w:val="List Number 4"/>
    <w:basedOn w:val="List4"/>
    <w:rsid w:val="0065171C"/>
    <w:pPr>
      <w:numPr>
        <w:numId w:val="5"/>
      </w:numPr>
    </w:pPr>
  </w:style>
  <w:style w:type="paragraph" w:styleId="ListNumber5">
    <w:name w:val="List Number 5"/>
    <w:basedOn w:val="List5"/>
    <w:rsid w:val="0065171C"/>
    <w:pPr>
      <w:numPr>
        <w:numId w:val="6"/>
      </w:numPr>
    </w:pPr>
  </w:style>
  <w:style w:type="paragraph" w:styleId="BlockText">
    <w:name w:val="Block Text"/>
    <w:basedOn w:val="Normal"/>
    <w:rsid w:val="0065171C"/>
    <w:pPr>
      <w:spacing w:after="120"/>
      <w:ind w:left="1440" w:right="1440"/>
    </w:pPr>
  </w:style>
  <w:style w:type="character" w:customStyle="1" w:styleId="Subscript">
    <w:name w:val="Subscript"/>
    <w:basedOn w:val="DefaultParagraphFont"/>
    <w:rsid w:val="0065171C"/>
    <w:rPr>
      <w:sz w:val="16"/>
      <w:vertAlign w:val="subscript"/>
    </w:rPr>
  </w:style>
  <w:style w:type="character" w:customStyle="1" w:styleId="Superscript">
    <w:name w:val="Superscript"/>
    <w:basedOn w:val="DefaultParagraphFont"/>
    <w:rsid w:val="0065171C"/>
    <w:rPr>
      <w:sz w:val="16"/>
      <w:vertAlign w:val="superscript"/>
    </w:rPr>
  </w:style>
  <w:style w:type="character" w:customStyle="1" w:styleId="Symbols">
    <w:name w:val="Symbols"/>
    <w:basedOn w:val="DefaultParagraphFont"/>
    <w:rsid w:val="0065171C"/>
    <w:rPr>
      <w:rFonts w:ascii="Symbol" w:hAnsi="Symbol"/>
    </w:rPr>
  </w:style>
  <w:style w:type="character" w:customStyle="1" w:styleId="MenuOptions">
    <w:name w:val="Menu Options"/>
    <w:basedOn w:val="DefaultParagraphFont"/>
    <w:rsid w:val="0065171C"/>
    <w:rPr>
      <w:rFonts w:ascii="Arial Narrow" w:hAnsi="Arial Narrow"/>
      <w:smallCaps/>
    </w:rPr>
  </w:style>
  <w:style w:type="character" w:customStyle="1" w:styleId="Buttons">
    <w:name w:val="Buttons"/>
    <w:basedOn w:val="DefaultParagraphFont"/>
    <w:rsid w:val="0065171C"/>
    <w:rPr>
      <w:b/>
    </w:rPr>
  </w:style>
  <w:style w:type="character" w:customStyle="1" w:styleId="Underlined">
    <w:name w:val="Underlined"/>
    <w:basedOn w:val="DefaultParagraphFont"/>
    <w:rsid w:val="0065171C"/>
    <w:rPr>
      <w:u w:val="single"/>
    </w:rPr>
  </w:style>
  <w:style w:type="paragraph" w:customStyle="1" w:styleId="TableBodyTextRight">
    <w:name w:val="Table Body Text Right"/>
    <w:basedOn w:val="TableBodyText"/>
    <w:rsid w:val="0065171C"/>
    <w:pPr>
      <w:widowControl w:val="0"/>
      <w:autoSpaceDE w:val="0"/>
      <w:autoSpaceDN w:val="0"/>
      <w:adjustRightInd w:val="0"/>
      <w:jc w:val="right"/>
    </w:pPr>
    <w:rPr>
      <w:rFonts w:cs="Arial"/>
      <w:szCs w:val="18"/>
    </w:rPr>
  </w:style>
  <w:style w:type="paragraph" w:customStyle="1" w:styleId="CopyrightText">
    <w:name w:val="Copyright Text"/>
    <w:basedOn w:val="BodyText"/>
    <w:rsid w:val="0065171C"/>
    <w:rPr>
      <w:sz w:val="18"/>
    </w:rPr>
  </w:style>
  <w:style w:type="paragraph" w:customStyle="1" w:styleId="BodySmallRight">
    <w:name w:val="Body Small Right"/>
    <w:basedOn w:val="BodyTextRight"/>
    <w:rsid w:val="0065171C"/>
    <w:rPr>
      <w:sz w:val="18"/>
      <w:szCs w:val="18"/>
    </w:rPr>
  </w:style>
  <w:style w:type="paragraph" w:customStyle="1" w:styleId="MarginEdition">
    <w:name w:val="Margin Edition"/>
    <w:basedOn w:val="MarginNote"/>
    <w:rsid w:val="0065171C"/>
    <w:pPr>
      <w:spacing w:before="0" w:after="0"/>
    </w:pPr>
    <w:rPr>
      <w:rFonts w:ascii="Times New Roman" w:hAnsi="Times New Roman"/>
      <w:color w:val="999999"/>
    </w:rPr>
  </w:style>
  <w:style w:type="paragraph" w:customStyle="1" w:styleId="Spacer">
    <w:name w:val="Spacer"/>
    <w:basedOn w:val="Normal"/>
    <w:rsid w:val="0065171C"/>
    <w:rPr>
      <w:sz w:val="2"/>
      <w:szCs w:val="2"/>
    </w:rPr>
  </w:style>
  <w:style w:type="character" w:customStyle="1" w:styleId="Small">
    <w:name w:val="Small"/>
    <w:basedOn w:val="DefaultParagraphFont"/>
    <w:rsid w:val="0065171C"/>
    <w:rPr>
      <w:sz w:val="16"/>
    </w:rPr>
  </w:style>
  <w:style w:type="paragraph" w:customStyle="1" w:styleId="WideTable">
    <w:name w:val="Wide Table"/>
    <w:basedOn w:val="Normal"/>
    <w:rsid w:val="0065171C"/>
    <w:pPr>
      <w:ind w:left="-1418"/>
    </w:pPr>
    <w:rPr>
      <w:sz w:val="2"/>
      <w:szCs w:val="2"/>
    </w:rPr>
  </w:style>
  <w:style w:type="character" w:styleId="PageNumber">
    <w:name w:val="page number"/>
    <w:basedOn w:val="DefaultParagraphFont"/>
    <w:rsid w:val="0065171C"/>
  </w:style>
  <w:style w:type="paragraph" w:styleId="Quote">
    <w:name w:val="Quote"/>
    <w:basedOn w:val="Heading1"/>
    <w:link w:val="QuoteChar"/>
    <w:qFormat/>
    <w:rsid w:val="0065171C"/>
    <w:rPr>
      <w:b w:val="0"/>
      <w:sz w:val="72"/>
      <w:szCs w:val="72"/>
      <w:lang w:val="en-NZ"/>
    </w:rPr>
  </w:style>
  <w:style w:type="character" w:customStyle="1" w:styleId="QuoteChar">
    <w:name w:val="Quote Char"/>
    <w:basedOn w:val="DefaultParagraphFont"/>
    <w:link w:val="Quote"/>
    <w:rsid w:val="00651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71C"/>
    <w:pPr>
      <w:pageBreakBefore/>
    </w:pPr>
  </w:style>
  <w:style w:type="paragraph" w:customStyle="1" w:styleId="Border">
    <w:name w:val="Border"/>
    <w:basedOn w:val="Normal"/>
    <w:qFormat/>
    <w:rsid w:val="00651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71C"/>
    <w:rPr>
      <w:b/>
      <w:bCs/>
      <w:i/>
      <w:iCs/>
      <w:color w:val="auto"/>
    </w:rPr>
  </w:style>
  <w:style w:type="paragraph" w:styleId="IntenseQuote">
    <w:name w:val="Intense Quote"/>
    <w:basedOn w:val="Normal"/>
    <w:next w:val="Normal"/>
    <w:link w:val="IntenseQuoteChar"/>
    <w:uiPriority w:val="30"/>
    <w:qFormat/>
    <w:rsid w:val="00651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7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71C"/>
    <w:rPr>
      <w:smallCaps/>
      <w:color w:val="auto"/>
      <w:u w:val="single"/>
    </w:rPr>
  </w:style>
  <w:style w:type="character" w:styleId="IntenseReference">
    <w:name w:val="Intense Reference"/>
    <w:basedOn w:val="DefaultParagraphFont"/>
    <w:uiPriority w:val="32"/>
    <w:qFormat/>
    <w:rsid w:val="0065171C"/>
    <w:rPr>
      <w:b/>
      <w:bCs/>
      <w:smallCaps/>
      <w:color w:val="auto"/>
      <w:spacing w:val="5"/>
      <w:u w:val="single"/>
    </w:rPr>
  </w:style>
  <w:style w:type="paragraph" w:customStyle="1" w:styleId="2ColumnHeading">
    <w:name w:val="2Column Heading"/>
    <w:basedOn w:val="BodyText"/>
    <w:qFormat/>
    <w:rsid w:val="0065171C"/>
    <w:pPr>
      <w:spacing w:after="60"/>
      <w:ind w:left="-2268"/>
    </w:pPr>
    <w:rPr>
      <w:b/>
    </w:rPr>
  </w:style>
  <w:style w:type="paragraph" w:customStyle="1" w:styleId="Heading1TOC">
    <w:name w:val="Heading1 TOC"/>
    <w:basedOn w:val="Normal"/>
    <w:qFormat/>
    <w:rsid w:val="0065171C"/>
    <w:pPr>
      <w:spacing w:before="240" w:after="120"/>
    </w:pPr>
    <w:rPr>
      <w:rFonts w:ascii="Times New Roman" w:hAnsi="Times New Roman"/>
      <w:b/>
      <w:sz w:val="32"/>
    </w:rPr>
  </w:style>
  <w:style w:type="paragraph" w:customStyle="1" w:styleId="Heading2TOC">
    <w:name w:val="Heading2 TOC"/>
    <w:basedOn w:val="Normal"/>
    <w:qFormat/>
    <w:rsid w:val="0065171C"/>
    <w:pPr>
      <w:spacing w:before="240" w:after="60"/>
    </w:pPr>
    <w:rPr>
      <w:rFonts w:ascii="Times New Roman" w:hAnsi="Times New Roman"/>
      <w:b/>
      <w:sz w:val="28"/>
    </w:rPr>
  </w:style>
  <w:style w:type="character" w:customStyle="1" w:styleId="Underline">
    <w:name w:val="Underline"/>
    <w:basedOn w:val="DefaultParagraphFont"/>
    <w:qFormat/>
    <w:rsid w:val="0065171C"/>
    <w:rPr>
      <w:u w:val="single"/>
    </w:rPr>
  </w:style>
  <w:style w:type="paragraph" w:styleId="BalloonText">
    <w:name w:val="Balloon Text"/>
    <w:basedOn w:val="Normal"/>
    <w:link w:val="BalloonTextChar"/>
    <w:rsid w:val="0065171C"/>
    <w:rPr>
      <w:rFonts w:ascii="Tahoma" w:hAnsi="Tahoma" w:cs="Tahoma"/>
      <w:sz w:val="16"/>
      <w:szCs w:val="16"/>
    </w:rPr>
  </w:style>
  <w:style w:type="character" w:customStyle="1" w:styleId="BalloonTextChar">
    <w:name w:val="Balloon Text Char"/>
    <w:basedOn w:val="DefaultParagraphFont"/>
    <w:link w:val="BalloonText"/>
    <w:rsid w:val="006517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7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17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71C"/>
    <w:rPr>
      <w:b/>
      <w:color w:val="660033"/>
      <w:spacing w:val="0"/>
    </w:rPr>
  </w:style>
  <w:style w:type="paragraph" w:customStyle="1" w:styleId="Nameditemlist">
    <w:name w:val="Named item list"/>
    <w:basedOn w:val="BodyText"/>
    <w:qFormat/>
    <w:rsid w:val="006517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6036</Characters>
  <Application>Microsoft Office Word</Application>
  <DocSecurity>0</DocSecurity>
  <Lines>190</Lines>
  <Paragraphs>98</Paragraphs>
  <ScaleCrop>false</ScaleCrop>
  <Company>Author-it Software Corporation Ltd.</Company>
  <LinksUpToDate>false</LinksUpToDate>
  <CharactersWithSpaces>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MEA432A Weld aircraft components using the gas tungsten arc welding process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2012-10-05T10:51:00Z</dcterms:created>
  <dcterms:modified xsi:type="dcterms:W3CDTF">2012-10-05T10:51:00Z</dcterms:modified>
</cp:coreProperties>
</file>