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073E" w:rsidP="00B4073E">
      <w:pPr>
        <w:pStyle w:val="Title"/>
      </w:pPr>
      <w:r>
        <w:fldChar w:fldCharType="begin"/>
      </w:r>
      <w:r>
        <w:instrText xml:space="preserve"> TITLE   \* MERGEFORMAT </w:instrText>
      </w:r>
      <w:r>
        <w:fldChar w:fldCharType="separate"/>
      </w:r>
      <w:r>
        <w:t>MEA397A Test aircraft piston engines after repair or overhaul</w:t>
      </w:r>
      <w:r>
        <w:fldChar w:fldCharType="end"/>
      </w:r>
    </w:p>
    <w:p w:rsidR="00B4073E" w:rsidP="00B4073E">
      <w:pPr>
        <w:pStyle w:val="Version"/>
        <w:sectPr w:rsidSect="005040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408C" w:rsidP="0050408C">
      <w:pPr>
        <w:pStyle w:val="SuperHeading"/>
      </w:pPr>
      <w:r w:rsidRPr="0050408C">
        <w:t>MEA397A Test aircraft piston engines after repair or overhaul</w:t>
      </w:r>
    </w:p>
    <w:p w:rsidR="00000000" w:rsidRPr="0050408C" w:rsidP="0050408C">
      <w:pPr>
        <w:pStyle w:val="Heading1"/>
      </w:pPr>
      <w:bookmarkStart w:id="1" w:name="O_592215"/>
      <w:bookmarkEnd w:id="1"/>
      <w:r w:rsidRPr="0050408C">
        <w:t>Modification History</w:t>
      </w:r>
    </w:p>
    <w:p w:rsidR="00000000" w:rsidRPr="0050408C" w:rsidP="0050408C">
      <w:pPr>
        <w:pStyle w:val="BodyText"/>
      </w:pPr>
      <w:r w:rsidRPr="0050408C">
        <w:t>Release 1 - New unit of competency. Covers components of MEA388A - Not equivalent</w:t>
      </w:r>
    </w:p>
    <w:p w:rsidR="00000000" w:rsidRPr="0050408C" w:rsidP="0050408C">
      <w:pPr>
        <w:pStyle w:val="AllowPageBreak"/>
      </w:pPr>
    </w:p>
    <w:p w:rsidR="00000000" w:rsidRPr="0050408C" w:rsidP="0050408C">
      <w:pPr>
        <w:pStyle w:val="Heading1"/>
      </w:pPr>
      <w:bookmarkStart w:id="2" w:name="O_592216"/>
      <w:bookmarkEnd w:id="2"/>
      <w:r w:rsidRPr="0050408C">
        <w:t>Unit Descriptor</w:t>
      </w:r>
    </w:p>
    <w:p w:rsidR="00000000" w:rsidRPr="0050408C" w:rsidP="0050408C">
      <w:pPr>
        <w:pStyle w:val="BodyText"/>
      </w:pPr>
      <w:r w:rsidRPr="0050408C">
        <w:t xml:space="preserve">This unit of competency is part of the Mechanical Certificate IV (Component Workshop Maintenance Stream) training pathway. It covers the competencies required to test aircraft piston engines that are not fitted to an airframe after repair or overhaul. The </w:t>
      </w:r>
      <w:r w:rsidRPr="0050408C">
        <w:t>unit is used in workplaces that operate under the airworthiness regulatory systems of the Australian Defence Force (ADF) and the Civil Aviation Safety Authority (CASA).</w:t>
      </w:r>
    </w:p>
    <w:p w:rsidR="00000000" w:rsidRPr="0050408C" w:rsidP="0050408C">
      <w:pPr>
        <w:pStyle w:val="AllowPageBreak"/>
      </w:pPr>
    </w:p>
    <w:p w:rsidR="00000000" w:rsidRPr="0050408C" w:rsidP="0050408C">
      <w:pPr>
        <w:pStyle w:val="Heading1"/>
      </w:pPr>
      <w:bookmarkStart w:id="3" w:name="O_592217"/>
      <w:bookmarkEnd w:id="3"/>
      <w:r w:rsidRPr="0050408C">
        <w:t>Application of the Unit</w:t>
      </w:r>
    </w:p>
    <w:p w:rsidR="00000000" w:rsidRPr="0050408C" w:rsidP="0050408C">
      <w:pPr>
        <w:pStyle w:val="BodyText"/>
      </w:pPr>
      <w:r w:rsidRPr="0050408C">
        <w:t>This unit requires application of hand skills,</w:t>
      </w:r>
      <w:r w:rsidRPr="0050408C">
        <w:t xml:space="preserve"> theory knowledge and maintenance publication procedures and/or standard enterprise procedures to test run aircraft piston engines, adjust operating parameters and troubleshoot/rectify faults.</w:t>
      </w:r>
    </w:p>
    <w:p w:rsidR="00000000" w:rsidRPr="0050408C" w:rsidP="0050408C">
      <w:pPr>
        <w:pStyle w:val="BodyText"/>
      </w:pPr>
      <w:r w:rsidRPr="0050408C">
        <w:t xml:space="preserve">Applications include all types of aircraft piston engines that </w:t>
      </w:r>
      <w:r w:rsidRPr="0050408C">
        <w:t>are not installed in an airframe.</w:t>
      </w:r>
    </w:p>
    <w:p w:rsidR="00000000" w:rsidRPr="0050408C" w:rsidP="0050408C">
      <w:pPr>
        <w:pStyle w:val="AllowPageBreak"/>
      </w:pPr>
    </w:p>
    <w:p w:rsidR="00000000" w:rsidRPr="0050408C" w:rsidP="0050408C">
      <w:pPr>
        <w:pStyle w:val="Heading1"/>
      </w:pPr>
      <w:bookmarkStart w:id="4" w:name="O_592218"/>
      <w:bookmarkEnd w:id="4"/>
      <w:r w:rsidRPr="0050408C">
        <w:t>Licensing/Regulatory Information</w:t>
      </w:r>
    </w:p>
    <w:p w:rsidR="00000000" w:rsidRPr="0050408C" w:rsidP="0050408C">
      <w:pPr>
        <w:pStyle w:val="BodyText"/>
      </w:pPr>
      <w:r w:rsidRPr="0050408C">
        <w:t>Not applicable.</w:t>
      </w:r>
    </w:p>
    <w:p w:rsidR="00000000" w:rsidRPr="0050408C" w:rsidP="0050408C">
      <w:pPr>
        <w:pStyle w:val="AllowPageBreak"/>
      </w:pPr>
    </w:p>
    <w:p w:rsidR="00000000" w:rsidRPr="0050408C" w:rsidP="0050408C">
      <w:pPr>
        <w:pStyle w:val="Heading1"/>
      </w:pPr>
      <w:bookmarkStart w:id="5" w:name="O_592219"/>
      <w:bookmarkEnd w:id="5"/>
      <w:r w:rsidRPr="0050408C">
        <w:t>Pre-Requisites</w:t>
      </w:r>
    </w:p>
    <w:tbl>
      <w:tblPr>
        <w:tblW w:w="0" w:type="auto"/>
        <w:tblLayout w:type="fixed"/>
        <w:tblCellMar>
          <w:left w:w="62" w:type="dxa"/>
          <w:right w:w="62" w:type="dxa"/>
        </w:tblCellMar>
        <w:tblLook w:val="0000"/>
      </w:tblPr>
      <w:tblGrid>
        <w:gridCol w:w="1444"/>
        <w:gridCol w:w="7736"/>
      </w:tblGrid>
      <w:tr w:rsidTr="0050408C">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 xml:space="preserve">MEA392A </w:t>
            </w:r>
          </w:p>
        </w:tc>
        <w:tc>
          <w:tcPr>
            <w:tcW w:w="7736"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Disassemble aircraft piston engines</w:t>
            </w:r>
          </w:p>
        </w:tc>
      </w:tr>
      <w:tr w:rsidTr="0050408C">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 xml:space="preserve">MEA393A </w:t>
            </w:r>
          </w:p>
        </w:tc>
        <w:tc>
          <w:tcPr>
            <w:tcW w:w="7736"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Repair and/or overhaul aircraft piston engine cylinder assembly compo</w:t>
            </w:r>
            <w:r w:rsidRPr="0050408C">
              <w:t>nents</w:t>
            </w:r>
          </w:p>
        </w:tc>
      </w:tr>
      <w:tr w:rsidTr="0050408C">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MEA394A</w:t>
            </w:r>
          </w:p>
        </w:tc>
        <w:tc>
          <w:tcPr>
            <w:tcW w:w="7736"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Repair and/or overhaul aircraft piston engine crankcase assembly components</w:t>
            </w:r>
          </w:p>
        </w:tc>
      </w:tr>
      <w:tr w:rsidTr="0050408C">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MEA395A</w:t>
            </w:r>
          </w:p>
        </w:tc>
        <w:tc>
          <w:tcPr>
            <w:tcW w:w="7736"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Reassemble aircraft piston engines</w:t>
            </w:r>
          </w:p>
        </w:tc>
      </w:tr>
      <w:tr w:rsidTr="0050408C">
        <w:tblPrEx>
          <w:tblW w:w="0" w:type="auto"/>
          <w:tblLayout w:type="fixed"/>
          <w:tblCellMar>
            <w:left w:w="62" w:type="dxa"/>
            <w:right w:w="62" w:type="dxa"/>
          </w:tblCellMar>
          <w:tblLook w:val="0000"/>
        </w:tblPrEx>
        <w:tc>
          <w:tcPr>
            <w:tcW w:w="1444"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MEA396A</w:t>
            </w:r>
          </w:p>
        </w:tc>
        <w:tc>
          <w:tcPr>
            <w:tcW w:w="7736" w:type="dxa"/>
            <w:tcBorders>
              <w:top w:val="nil"/>
              <w:left w:val="nil"/>
              <w:bottom w:val="nil"/>
              <w:right w:val="nil"/>
            </w:tcBorders>
            <w:tcMar>
              <w:top w:w="0" w:type="dxa"/>
              <w:left w:w="62" w:type="dxa"/>
              <w:bottom w:w="0" w:type="dxa"/>
              <w:right w:w="62" w:type="dxa"/>
            </w:tcMar>
          </w:tcPr>
          <w:p w:rsidR="00000000" w:rsidRPr="0050408C" w:rsidP="0050408C">
            <w:pPr>
              <w:pStyle w:val="BodyText"/>
            </w:pPr>
            <w:r w:rsidRPr="0050408C">
              <w:t>Assemble aircraft piston engine quick engine change unit</w:t>
            </w:r>
          </w:p>
        </w:tc>
      </w:tr>
    </w:tbl>
    <w:p w:rsidR="00000000" w:rsidRPr="0050408C" w:rsidP="0050408C">
      <w:pPr>
        <w:pStyle w:val="BodyText"/>
      </w:pPr>
    </w:p>
    <w:p w:rsidR="00000000" w:rsidRPr="0050408C" w:rsidP="0050408C">
      <w:pPr>
        <w:pStyle w:val="AllowPageBreak"/>
      </w:pPr>
    </w:p>
    <w:p w:rsidR="00000000" w:rsidRPr="0050408C" w:rsidP="0050408C">
      <w:pPr>
        <w:pStyle w:val="Heading1"/>
      </w:pPr>
      <w:bookmarkStart w:id="6" w:name="O_592220"/>
      <w:bookmarkEnd w:id="6"/>
      <w:r w:rsidRPr="0050408C">
        <w:t>Employability Skills Information</w:t>
      </w:r>
    </w:p>
    <w:p w:rsidR="00000000" w:rsidRPr="0050408C" w:rsidP="0050408C">
      <w:pPr>
        <w:pStyle w:val="BodyText"/>
      </w:pPr>
      <w:r w:rsidRPr="0050408C">
        <w:t>This unit contains employability skills</w:t>
      </w:r>
    </w:p>
    <w:p w:rsidR="00000000" w:rsidRPr="0050408C" w:rsidP="0050408C">
      <w:pPr>
        <w:pStyle w:val="AllowPageBreak"/>
      </w:pPr>
    </w:p>
    <w:p w:rsidR="00000000" w:rsidRPr="0050408C" w:rsidP="0050408C">
      <w:pPr>
        <w:pStyle w:val="Heading1"/>
      </w:pPr>
      <w:bookmarkStart w:id="7" w:name="O_592221"/>
      <w:bookmarkEnd w:id="7"/>
      <w:r w:rsidRPr="0050408C">
        <w:t>Elements and Performance Criteria Pre-Content</w:t>
      </w:r>
    </w:p>
    <w:tbl>
      <w:tblPr>
        <w:tblW w:w="9354" w:type="dxa"/>
        <w:tblLayout w:type="fixed"/>
        <w:tblCellMar>
          <w:left w:w="62" w:type="dxa"/>
          <w:right w:w="62" w:type="dxa"/>
        </w:tblCellMar>
        <w:tblLook w:val="0000"/>
      </w:tblPr>
      <w:tblGrid>
        <w:gridCol w:w="2592"/>
        <w:gridCol w:w="6762"/>
      </w:tblGrid>
      <w:tr w:rsidTr="0050408C">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408C">
            <w:pPr>
              <w:pStyle w:val="BodyText"/>
              <w:rPr>
                <w:lang w:val="en-NZ"/>
              </w:rPr>
            </w:pPr>
            <w:r w:rsidRPr="0050408C">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0408C" w:rsidP="0050408C">
            <w:pPr>
              <w:pStyle w:val="BodyText"/>
            </w:pPr>
            <w:r w:rsidRPr="0050408C">
              <w:t xml:space="preserve">Performance criteria describe the performance needed to demonstrate achievement of the </w:t>
            </w:r>
            <w:r w:rsidRPr="0050408C">
              <w:t>element. Assessment of performance is to be consistent with the evidence guide.</w:t>
            </w:r>
          </w:p>
        </w:tc>
      </w:tr>
    </w:tbl>
    <w:p w:rsidR="00000000" w:rsidRPr="0050408C" w:rsidP="0050408C">
      <w:pPr>
        <w:pStyle w:val="BodyText"/>
      </w:pPr>
    </w:p>
    <w:p w:rsidR="00000000" w:rsidRPr="0050408C" w:rsidP="0050408C">
      <w:pPr>
        <w:pStyle w:val="AllowPageBreak"/>
      </w:pPr>
    </w:p>
    <w:p w:rsidR="00000000" w:rsidRPr="0050408C" w:rsidP="0050408C">
      <w:pPr>
        <w:pStyle w:val="Heading1"/>
      </w:pPr>
      <w:bookmarkStart w:id="8" w:name="O_592222"/>
      <w:bookmarkEnd w:id="8"/>
      <w:r w:rsidRPr="0050408C">
        <w:t>Elements and Performance Criteria</w:t>
      </w:r>
    </w:p>
    <w:tbl>
      <w:tblPr>
        <w:tblW w:w="9354" w:type="dxa"/>
        <w:tblLayout w:type="fixed"/>
        <w:tblCellMar>
          <w:left w:w="62" w:type="dxa"/>
          <w:right w:w="62" w:type="dxa"/>
        </w:tblCellMar>
        <w:tblLook w:val="0000"/>
      </w:tblPr>
      <w:tblGrid>
        <w:gridCol w:w="459"/>
        <w:gridCol w:w="2902"/>
        <w:gridCol w:w="642"/>
        <w:gridCol w:w="5351"/>
      </w:tblGrid>
      <w:tr w:rsidTr="0050408C">
        <w:tblPrEx>
          <w:tblW w:w="9354" w:type="dxa"/>
          <w:tblLayout w:type="fixed"/>
          <w:tblCellMar>
            <w:left w:w="62" w:type="dxa"/>
            <w:right w:w="62" w:type="dxa"/>
          </w:tblCellMar>
          <w:tblLook w:val="0000"/>
        </w:tblPrEx>
        <w:trPr>
          <w:trHeight w:val="465"/>
        </w:trPr>
        <w:tc>
          <w:tcPr>
            <w:tcW w:w="459"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1</w:t>
            </w:r>
          </w:p>
        </w:tc>
        <w:tc>
          <w:tcPr>
            <w:tcW w:w="2902"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Prepare piston engine for test run</w:t>
            </w:r>
          </w:p>
        </w:tc>
        <w:tc>
          <w:tcPr>
            <w:tcW w:w="642"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1.1</w:t>
            </w:r>
          </w:p>
        </w:tc>
        <w:tc>
          <w:tcPr>
            <w:tcW w:w="5351"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Documentation is checked to ensure that engine is ready for testing</w:t>
            </w:r>
          </w:p>
        </w:tc>
      </w:tr>
      <w:tr w:rsidTr="0050408C">
        <w:tblPrEx>
          <w:tblW w:w="9354"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1.2</w:t>
            </w:r>
          </w:p>
        </w:tc>
        <w:tc>
          <w:tcPr>
            <w:tcW w:w="5351"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Engine is installed in test rig or test cell, including connection of fuel, oil and electrical supplies and instrumentation</w:t>
            </w:r>
          </w:p>
        </w:tc>
      </w:tr>
      <w:tr w:rsidTr="0050408C">
        <w:tblPrEx>
          <w:tblW w:w="9354"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1.3</w:t>
            </w:r>
          </w:p>
        </w:tc>
        <w:tc>
          <w:tcPr>
            <w:tcW w:w="5351"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Sump or external oil tank is filled with correct grade and type of lubricating oil</w:t>
            </w:r>
          </w:p>
        </w:tc>
      </w:tr>
      <w:tr w:rsidTr="0050408C">
        <w:tblPrEx>
          <w:tblW w:w="9354"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1.4</w:t>
            </w:r>
          </w:p>
        </w:tc>
        <w:tc>
          <w:tcPr>
            <w:tcW w:w="5351"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Test rig/cell fuel tank is filled with correct type and grade of fuel</w:t>
            </w:r>
          </w:p>
        </w:tc>
      </w:tr>
      <w:tr w:rsidTr="0050408C">
        <w:tblPrEx>
          <w:tblW w:w="9354"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1.5</w:t>
            </w:r>
          </w:p>
        </w:tc>
        <w:tc>
          <w:tcPr>
            <w:tcW w:w="5351"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Correct propeller or club is fitted to the engine</w:t>
            </w:r>
          </w:p>
        </w:tc>
      </w:tr>
      <w:tr w:rsidTr="0050408C">
        <w:tblPrEx>
          <w:tblW w:w="9354"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1.6</w:t>
            </w:r>
          </w:p>
        </w:tc>
        <w:tc>
          <w:tcPr>
            <w:tcW w:w="5351"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Test rig/cell is prepared for operation</w:t>
            </w:r>
          </w:p>
        </w:tc>
      </w:tr>
      <w:tr w:rsidTr="0050408C">
        <w:tblPrEx>
          <w:tblW w:w="9354" w:type="dxa"/>
          <w:tblLayout w:type="fixed"/>
          <w:tblCellMar>
            <w:left w:w="62" w:type="dxa"/>
            <w:right w:w="62" w:type="dxa"/>
          </w:tblCellMar>
          <w:tblLook w:val="0000"/>
        </w:tblPrEx>
        <w:trPr>
          <w:trHeight w:val="675"/>
        </w:trPr>
        <w:tc>
          <w:tcPr>
            <w:tcW w:w="459"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2</w:t>
            </w:r>
          </w:p>
        </w:tc>
        <w:tc>
          <w:tcPr>
            <w:tcW w:w="2902"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Run and test piston engine performance</w:t>
            </w:r>
          </w:p>
        </w:tc>
        <w:tc>
          <w:tcPr>
            <w:tcW w:w="642"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2.1</w:t>
            </w:r>
          </w:p>
        </w:tc>
        <w:tc>
          <w:tcPr>
            <w:tcW w:w="5351"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Engine is started and operating parameters are checked in accordance with maintenance manual and standard enterprise procedures</w:t>
            </w:r>
          </w:p>
        </w:tc>
      </w:tr>
      <w:tr w:rsidTr="0050408C">
        <w:tblPrEx>
          <w:tblW w:w="9354"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2.2</w:t>
            </w:r>
          </w:p>
        </w:tc>
        <w:tc>
          <w:tcPr>
            <w:tcW w:w="5351"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Engine performance is tested and adjusted, where applicable, in accordance with maintenance manual requirements and stand</w:t>
            </w:r>
            <w:r w:rsidRPr="0050408C">
              <w:t>ard enterprise procedures</w:t>
            </w:r>
          </w:p>
        </w:tc>
      </w:tr>
      <w:tr w:rsidTr="0050408C">
        <w:tblPrEx>
          <w:tblW w:w="9354"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2.3</w:t>
            </w:r>
          </w:p>
        </w:tc>
        <w:tc>
          <w:tcPr>
            <w:tcW w:w="5351"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Engine operating parameters and test results are recorded in accordance with standard enterprise procedures</w:t>
            </w:r>
          </w:p>
        </w:tc>
      </w:tr>
      <w:tr w:rsidTr="0050408C">
        <w:tblPrEx>
          <w:tblW w:w="9354" w:type="dxa"/>
          <w:tblLayout w:type="fixed"/>
          <w:tblCellMar>
            <w:left w:w="62" w:type="dxa"/>
            <w:right w:w="62" w:type="dxa"/>
          </w:tblCellMar>
          <w:tblLook w:val="0000"/>
        </w:tblPrEx>
        <w:trPr>
          <w:trHeight w:val="558"/>
        </w:trPr>
        <w:tc>
          <w:tcPr>
            <w:tcW w:w="459"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3</w:t>
            </w:r>
          </w:p>
        </w:tc>
        <w:tc>
          <w:tcPr>
            <w:tcW w:w="2902"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Troubleshoot piston engine faults</w:t>
            </w:r>
          </w:p>
        </w:tc>
        <w:tc>
          <w:tcPr>
            <w:tcW w:w="642"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3.1</w:t>
            </w:r>
          </w:p>
        </w:tc>
        <w:tc>
          <w:tcPr>
            <w:tcW w:w="5351"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Available informati</w:t>
            </w:r>
            <w:r w:rsidRPr="0050408C">
              <w:t>on from maintenance records and test results is used, where necessary, to assist in fault determination</w:t>
            </w:r>
          </w:p>
        </w:tc>
      </w:tr>
      <w:tr w:rsidTr="0050408C">
        <w:tblPrEx>
          <w:tblW w:w="9354"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3.2</w:t>
            </w:r>
          </w:p>
        </w:tc>
        <w:tc>
          <w:tcPr>
            <w:tcW w:w="5351"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Logical processes are used to ensure efficient and accurate troubleshooting</w:t>
            </w:r>
          </w:p>
        </w:tc>
      </w:tr>
      <w:tr w:rsidTr="0050408C">
        <w:tblPrEx>
          <w:tblW w:w="9354"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3.3</w:t>
            </w:r>
          </w:p>
        </w:tc>
        <w:tc>
          <w:tcPr>
            <w:tcW w:w="5351"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Specialist advice is obtained, where required, to assist with,</w:t>
            </w:r>
            <w:r w:rsidRPr="0050408C">
              <w:t xml:space="preserve"> or confirm, the fault and rectification </w:t>
            </w:r>
            <w:r w:rsidRPr="0050408C">
              <w:t>requirement</w:t>
            </w:r>
          </w:p>
        </w:tc>
      </w:tr>
      <w:tr w:rsidTr="0050408C">
        <w:tblPrEx>
          <w:tblW w:w="9354"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3.4</w:t>
            </w:r>
          </w:p>
        </w:tc>
        <w:tc>
          <w:tcPr>
            <w:tcW w:w="5351"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Piston engine component faults are located and the causes of the faults are clearly identified</w:t>
            </w:r>
          </w:p>
        </w:tc>
      </w:tr>
      <w:tr w:rsidTr="0050408C">
        <w:tblPrEx>
          <w:tblW w:w="9354"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3.5</w:t>
            </w:r>
          </w:p>
        </w:tc>
        <w:tc>
          <w:tcPr>
            <w:tcW w:w="5351"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Fault rectification requirements are determined to assist in determining if the engine must be returned to the workshop</w:t>
            </w:r>
          </w:p>
        </w:tc>
      </w:tr>
      <w:tr w:rsidTr="0050408C">
        <w:tblPrEx>
          <w:tblW w:w="9354" w:type="dxa"/>
          <w:tblLayout w:type="fixed"/>
          <w:tblCellMar>
            <w:left w:w="62" w:type="dxa"/>
            <w:right w:w="62" w:type="dxa"/>
          </w:tblCellMar>
          <w:tblLook w:val="0000"/>
        </w:tblPrEx>
        <w:trPr>
          <w:trHeight w:val="822"/>
        </w:trPr>
        <w:tc>
          <w:tcPr>
            <w:tcW w:w="459"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4</w:t>
            </w:r>
          </w:p>
        </w:tc>
        <w:tc>
          <w:tcPr>
            <w:tcW w:w="2902"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Remove engine from test rig/cell</w:t>
            </w:r>
          </w:p>
        </w:tc>
        <w:tc>
          <w:tcPr>
            <w:tcW w:w="642"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4.1</w:t>
            </w:r>
          </w:p>
        </w:tc>
        <w:tc>
          <w:tcPr>
            <w:tcW w:w="5351"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Engine is removed from test rig/stand in accordance with maintenance manual requirements and sta</w:t>
            </w:r>
            <w:r w:rsidRPr="0050408C">
              <w:t>ndard enterprise procedures</w:t>
            </w:r>
          </w:p>
        </w:tc>
      </w:tr>
      <w:tr w:rsidTr="0050408C">
        <w:tblPrEx>
          <w:tblW w:w="9354" w:type="dxa"/>
          <w:tblLayout w:type="fixed"/>
          <w:tblCellMar>
            <w:left w:w="62" w:type="dxa"/>
            <w:right w:w="62" w:type="dxa"/>
          </w:tblCellMar>
          <w:tblLook w:val="0000"/>
        </w:tblPrEx>
        <w:trPr>
          <w:trHeight w:val="821"/>
        </w:trPr>
        <w:tc>
          <w:tcPr>
            <w:tcW w:w="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4.2</w:t>
            </w:r>
          </w:p>
        </w:tc>
        <w:tc>
          <w:tcPr>
            <w:tcW w:w="5351"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Serviceable engines are configured, inhibited and prepared, in accordance with maintenance manual requirements and standard enterprise procedures, for transport or storage</w:t>
            </w:r>
          </w:p>
        </w:tc>
      </w:tr>
      <w:tr w:rsidTr="0050408C">
        <w:tblPrEx>
          <w:tblW w:w="9354" w:type="dxa"/>
          <w:tblLayout w:type="fixed"/>
          <w:tblCellMar>
            <w:left w:w="62" w:type="dxa"/>
            <w:right w:w="62" w:type="dxa"/>
          </w:tblCellMar>
          <w:tblLook w:val="0000"/>
        </w:tblPrEx>
        <w:tc>
          <w:tcPr>
            <w:tcW w:w="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4.3</w:t>
            </w:r>
          </w:p>
        </w:tc>
        <w:tc>
          <w:tcPr>
            <w:tcW w:w="5351"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Required maintenance documentation and modification records are completed and processed in accordance with standard enterprise procedures</w:t>
            </w:r>
          </w:p>
        </w:tc>
      </w:tr>
      <w:tr w:rsidTr="0050408C">
        <w:tblPrEx>
          <w:tblW w:w="9354" w:type="dxa"/>
          <w:tblLayout w:type="fixed"/>
          <w:tblCellMar>
            <w:left w:w="62" w:type="dxa"/>
            <w:right w:w="62" w:type="dxa"/>
          </w:tblCellMar>
          <w:tblLook w:val="0000"/>
        </w:tblPrEx>
        <w:trPr>
          <w:trHeight w:val="821"/>
        </w:trPr>
        <w:tc>
          <w:tcPr>
            <w:tcW w:w="4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4.4</w:t>
            </w:r>
          </w:p>
        </w:tc>
        <w:tc>
          <w:tcPr>
            <w:tcW w:w="5351" w:type="dxa"/>
            <w:tcBorders>
              <w:top w:val="nil"/>
              <w:left w:val="nil"/>
              <w:bottom w:val="nil"/>
              <w:right w:val="nil"/>
            </w:tcBorders>
            <w:tcMar>
              <w:top w:w="0" w:type="dxa"/>
              <w:left w:w="62" w:type="dxa"/>
              <w:bottom w:w="0" w:type="dxa"/>
              <w:right w:w="62" w:type="dxa"/>
            </w:tcMar>
          </w:tcPr>
          <w:p w:rsidR="00000000" w:rsidRPr="0050408C" w:rsidP="0050408C">
            <w:pPr>
              <w:pStyle w:val="BodyText"/>
            </w:pPr>
            <w:r w:rsidRPr="0050408C">
              <w:t>Unserviceable engines are returned to workshop in accordance with standard enterprise procedures for rectificat</w:t>
            </w:r>
            <w:r w:rsidRPr="0050408C">
              <w:t>ion or re-work</w:t>
            </w:r>
          </w:p>
        </w:tc>
      </w:tr>
    </w:tbl>
    <w:p w:rsidR="00000000" w:rsidRPr="0050408C" w:rsidP="0050408C">
      <w:pPr>
        <w:pStyle w:val="BodyText"/>
      </w:pPr>
    </w:p>
    <w:p w:rsidR="00000000" w:rsidRPr="0050408C" w:rsidP="0050408C">
      <w:pPr>
        <w:pStyle w:val="AllowPageBreak"/>
      </w:pPr>
    </w:p>
    <w:p w:rsidR="00000000" w:rsidRPr="0050408C" w:rsidP="0050408C">
      <w:pPr>
        <w:pStyle w:val="Heading1"/>
      </w:pPr>
      <w:bookmarkStart w:id="9" w:name="O_592223"/>
      <w:bookmarkEnd w:id="9"/>
      <w:r w:rsidRPr="0050408C">
        <w:t>Required Skills and Knowledge</w:t>
      </w:r>
    </w:p>
    <w:tbl>
      <w:tblPr>
        <w:tblW w:w="9354" w:type="dxa"/>
        <w:tblLayout w:type="fixed"/>
        <w:tblCellMar>
          <w:left w:w="62" w:type="dxa"/>
          <w:right w:w="62" w:type="dxa"/>
        </w:tblCellMar>
        <w:tblLook w:val="0000"/>
      </w:tblPr>
      <w:tblGrid>
        <w:gridCol w:w="9354"/>
      </w:tblGrid>
      <w:tr w:rsidTr="0050408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t>This section describes the skills and knowledge required for this unit.</w:t>
            </w:r>
          </w:p>
        </w:tc>
      </w:tr>
      <w:tr w:rsidTr="0050408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rPr>
                <w:rStyle w:val="SpecialBold"/>
              </w:rPr>
              <w:t>Required skills</w:t>
            </w:r>
          </w:p>
        </w:tc>
      </w:tr>
      <w:tr w:rsidTr="0050408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0408C" w:rsidP="0050408C">
            <w:pPr>
              <w:pStyle w:val="BodyText"/>
            </w:pPr>
            <w:r w:rsidRPr="0050408C">
              <w:t>Required skills include:</w:t>
            </w:r>
          </w:p>
          <w:p w:rsidR="00000000" w:rsidRPr="0050408C" w:rsidP="0050408C">
            <w:pPr>
              <w:pStyle w:val="ListBullet"/>
            </w:pPr>
            <w:r w:rsidRPr="0050408C">
              <w:t>applying relevant work health and safety (WHS) procedures, including the use of material safety data sheets (MSDS) and items of personal protective equipment (PPE)</w:t>
            </w:r>
          </w:p>
          <w:p w:rsidR="00000000" w:rsidRPr="0050408C" w:rsidP="0050408C">
            <w:pPr>
              <w:pStyle w:val="ListBullet"/>
            </w:pPr>
            <w:r w:rsidRPr="0050408C">
              <w:t>using relevant maintenance manuals and standard enterprise procedures to:</w:t>
            </w:r>
          </w:p>
          <w:p w:rsidR="00000000" w:rsidRPr="0050408C" w:rsidP="0050408C">
            <w:pPr>
              <w:pStyle w:val="ListBullet2"/>
            </w:pPr>
            <w:r w:rsidRPr="0050408C">
              <w:t>prepare engines f</w:t>
            </w:r>
            <w:r w:rsidRPr="0050408C">
              <w:t>or test running</w:t>
            </w:r>
          </w:p>
          <w:p w:rsidR="00000000" w:rsidRPr="0050408C" w:rsidP="0050408C">
            <w:pPr>
              <w:pStyle w:val="ListBullet2"/>
            </w:pPr>
            <w:r w:rsidRPr="0050408C">
              <w:t>install engines in test rigs or test cells</w:t>
            </w:r>
          </w:p>
          <w:p w:rsidR="00000000" w:rsidRPr="0050408C" w:rsidP="0050408C">
            <w:pPr>
              <w:pStyle w:val="ListBullet2"/>
            </w:pPr>
            <w:r w:rsidRPr="0050408C">
              <w:t>selecting and installing the correct propeller or test club</w:t>
            </w:r>
          </w:p>
          <w:p w:rsidR="00000000" w:rsidRPr="0050408C" w:rsidP="0050408C">
            <w:pPr>
              <w:pStyle w:val="ListBullet2"/>
            </w:pPr>
            <w:r w:rsidRPr="0050408C">
              <w:t>test run and adjust engine parameters, where applicable</w:t>
            </w:r>
          </w:p>
          <w:p w:rsidR="00000000" w:rsidRPr="0050408C" w:rsidP="0050408C">
            <w:pPr>
              <w:pStyle w:val="ListBullet2"/>
            </w:pPr>
            <w:r w:rsidRPr="0050408C">
              <w:t>troubleshoot faults identified during the test run</w:t>
            </w:r>
          </w:p>
          <w:p w:rsidR="00000000" w:rsidRPr="0050408C" w:rsidP="0050408C">
            <w:pPr>
              <w:pStyle w:val="ListBullet2"/>
            </w:pPr>
            <w:r w:rsidRPr="0050408C">
              <w:t>record engine operating parameters</w:t>
            </w:r>
          </w:p>
          <w:p w:rsidR="00000000" w:rsidRPr="0050408C" w:rsidP="0050408C">
            <w:pPr>
              <w:pStyle w:val="ListBullet2"/>
            </w:pPr>
            <w:r w:rsidRPr="0050408C">
              <w:t>remove engines from the test rig or test cell</w:t>
            </w:r>
          </w:p>
          <w:p w:rsidR="00000000" w:rsidRPr="0050408C" w:rsidP="0050408C">
            <w:pPr>
              <w:pStyle w:val="ListBullet2"/>
            </w:pPr>
            <w:r w:rsidRPr="0050408C">
              <w:t>complete documentation</w:t>
            </w:r>
          </w:p>
          <w:p w:rsidR="00000000" w:rsidP="0050408C">
            <w:pPr>
              <w:pStyle w:val="ListBullet"/>
              <w:rPr>
                <w:lang w:val="en-NZ"/>
              </w:rPr>
            </w:pPr>
            <w:r w:rsidRPr="0050408C">
              <w:t>configuring and inhibiting serviceable engines for transport or storage</w:t>
            </w:r>
          </w:p>
        </w:tc>
      </w:tr>
      <w:tr w:rsidTr="0050408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0408C">
            <w:pPr>
              <w:pStyle w:val="BodyText"/>
              <w:rPr>
                <w:lang w:val="en-NZ"/>
              </w:rPr>
            </w:pPr>
            <w:r w:rsidRPr="0050408C">
              <w:rPr>
                <w:rStyle w:val="SpecialBold"/>
              </w:rPr>
              <w:t>Required knowledge</w:t>
            </w:r>
          </w:p>
        </w:tc>
      </w:tr>
      <w:tr w:rsidTr="0050408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0408C" w:rsidP="0050408C">
            <w:pPr>
              <w:pStyle w:val="BodyText"/>
            </w:pPr>
            <w:r w:rsidRPr="0050408C">
              <w:t>Required knowledge includes:</w:t>
            </w:r>
          </w:p>
          <w:p w:rsidR="00000000" w:rsidRPr="0050408C" w:rsidP="0050408C">
            <w:pPr>
              <w:pStyle w:val="ListBullet"/>
            </w:pPr>
            <w:r w:rsidRPr="0050408C">
              <w:t>how to obtain relevant MSDS</w:t>
            </w:r>
          </w:p>
          <w:p w:rsidR="00000000" w:rsidRPr="0050408C" w:rsidP="0050408C">
            <w:pPr>
              <w:pStyle w:val="ListBullet"/>
            </w:pPr>
            <w:r w:rsidRPr="0050408C">
              <w:t>the use of applicable items of PPE</w:t>
            </w:r>
          </w:p>
          <w:p w:rsidR="00000000" w:rsidRPr="0050408C" w:rsidP="0050408C">
            <w:pPr>
              <w:pStyle w:val="ListBullet"/>
            </w:pPr>
            <w:r w:rsidRPr="0050408C">
              <w:t>WHS procedures</w:t>
            </w:r>
          </w:p>
          <w:p w:rsidR="00000000" w:rsidRPr="0050408C" w:rsidP="0050408C">
            <w:pPr>
              <w:pStyle w:val="ListBullet"/>
            </w:pPr>
            <w:r w:rsidRPr="0050408C">
              <w:t>fault diagnosis techniques</w:t>
            </w:r>
          </w:p>
          <w:p w:rsidR="00000000" w:rsidRPr="0050408C" w:rsidP="0050408C">
            <w:pPr>
              <w:pStyle w:val="ListBullet"/>
            </w:pPr>
            <w:r w:rsidRPr="0050408C">
              <w:t>system and component operation</w:t>
            </w:r>
          </w:p>
          <w:p w:rsidR="00000000" w:rsidRPr="0050408C" w:rsidP="0050408C">
            <w:pPr>
              <w:pStyle w:val="ListBullet"/>
            </w:pPr>
            <w:r w:rsidRPr="0050408C">
              <w:t>repair and overhaul procedures and processes</w:t>
            </w:r>
          </w:p>
          <w:p w:rsidR="00000000" w:rsidRPr="0050408C" w:rsidP="0050408C">
            <w:pPr>
              <w:pStyle w:val="ListBullet"/>
            </w:pPr>
            <w:r w:rsidRPr="0050408C">
              <w:t>test rig or test cell operation</w:t>
            </w:r>
          </w:p>
          <w:p w:rsidR="00000000" w:rsidRPr="0050408C" w:rsidP="0050408C">
            <w:pPr>
              <w:pStyle w:val="ListBullet"/>
            </w:pPr>
            <w:r w:rsidRPr="0050408C">
              <w:t>engine test requirements</w:t>
            </w:r>
          </w:p>
          <w:p w:rsidR="00000000" w:rsidRPr="0050408C" w:rsidP="0050408C">
            <w:pPr>
              <w:pStyle w:val="ListBullet"/>
            </w:pPr>
            <w:r w:rsidRPr="0050408C">
              <w:t>engine operating parameters and adjustment met</w:t>
            </w:r>
            <w:r w:rsidRPr="0050408C">
              <w:t>hods</w:t>
            </w:r>
          </w:p>
        </w:tc>
      </w:tr>
    </w:tbl>
    <w:p w:rsidR="00000000" w:rsidRPr="0050408C" w:rsidP="0050408C">
      <w:pPr>
        <w:pStyle w:val="BodyText"/>
      </w:pPr>
    </w:p>
    <w:p w:rsidR="00000000" w:rsidRPr="0050408C" w:rsidP="0050408C">
      <w:pPr>
        <w:pStyle w:val="AllowPageBreak"/>
      </w:pPr>
    </w:p>
    <w:p w:rsidR="00000000" w:rsidRPr="0050408C" w:rsidP="0050408C">
      <w:pPr>
        <w:pStyle w:val="Heading1"/>
      </w:pPr>
      <w:bookmarkStart w:id="10" w:name="O_592224"/>
      <w:bookmarkEnd w:id="10"/>
      <w:r w:rsidRPr="0050408C">
        <w:t>Evidence Guide</w:t>
      </w:r>
    </w:p>
    <w:tbl>
      <w:tblPr>
        <w:tblW w:w="9354" w:type="dxa"/>
        <w:tblLayout w:type="fixed"/>
        <w:tblCellMar>
          <w:left w:w="62" w:type="dxa"/>
          <w:right w:w="62" w:type="dxa"/>
        </w:tblCellMar>
        <w:tblLook w:val="0000"/>
      </w:tblPr>
      <w:tblGrid>
        <w:gridCol w:w="3692"/>
        <w:gridCol w:w="5662"/>
      </w:tblGrid>
      <w:tr w:rsidTr="0050408C">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408C">
            <w:pPr>
              <w:pStyle w:val="BodyText"/>
              <w:rPr>
                <w:lang w:val="en-NZ"/>
              </w:rPr>
            </w:pPr>
            <w:r w:rsidRPr="0050408C">
              <w:t>The evidence guide provides advice on assessment and must be read in conjunction with the performance criteria, required skills and knowledge, range statement and the Assessment Guidelines for the Training Package.</w:t>
            </w:r>
          </w:p>
        </w:tc>
      </w:tr>
      <w:tr w:rsidTr="0050408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8C">
            <w:pPr>
              <w:pStyle w:val="BodyText"/>
              <w:rPr>
                <w:lang w:val="en-NZ"/>
              </w:rPr>
            </w:pPr>
            <w:r w:rsidRPr="0050408C">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8C">
            <w:pPr>
              <w:pStyle w:val="BodyText"/>
              <w:rPr>
                <w:lang w:val="en-NZ"/>
              </w:rPr>
            </w:pPr>
            <w:r w:rsidRPr="0050408C">
              <w:t>A person who demonstrates competency in this unit must be able to apply hand skills and piston engine theory knowledge and use maintenance publications to test run, adjust and troubleshoot the operation of repaired or overhauled engi</w:t>
            </w:r>
            <w:r w:rsidRPr="0050408C">
              <w:t>nes while applying all relevant safety precautions.</w:t>
            </w:r>
          </w:p>
        </w:tc>
      </w:tr>
      <w:tr w:rsidTr="0050408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8C">
            <w:pPr>
              <w:pStyle w:val="BodyText"/>
              <w:rPr>
                <w:lang w:val="en-NZ"/>
              </w:rPr>
            </w:pPr>
            <w:r w:rsidRPr="0050408C">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08C" w:rsidP="0050408C">
            <w:pPr>
              <w:pStyle w:val="BodyText"/>
            </w:pPr>
            <w:r w:rsidRPr="0050408C">
              <w:t>The underlying skills inherent in this unit should be transferable across a range of repair and/or overhaul ap</w:t>
            </w:r>
            <w:r w:rsidRPr="0050408C">
              <w:t>plications associated with piston engines. It is essential that the maintenance procedures (including the use of correct fuels and lubricants) are interpreted and applied to ensure quality and safety standards are achieved.</w:t>
            </w:r>
          </w:p>
          <w:p w:rsidR="00000000" w:rsidRPr="0050408C" w:rsidP="0050408C">
            <w:pPr>
              <w:pStyle w:val="BodyText"/>
            </w:pPr>
            <w:r w:rsidRPr="0050408C">
              <w:t>Evidence of transferability of s</w:t>
            </w:r>
            <w:r w:rsidRPr="0050408C">
              <w:t>kills and knowledge related to engine test running is essential. This may be demonstrated through application across a number of engine test runs. Capability to interpret test procedures and specifications (allowable limits) and apply them in practice is c</w:t>
            </w:r>
            <w:r w:rsidRPr="0050408C">
              <w:t>ritical. The application of testing procedures should also clearly indicate knowledge of system operation. Knowledge of system operation and the relationship of individual components will be necessary to supplement evidence of ability to troubleshoot engin</w:t>
            </w:r>
            <w:r w:rsidRPr="0050408C">
              <w:t>e faults before undertaking any action. The work plan should take account of applicable safety and quality requirements in accordance with the industry and regulatory standards.</w:t>
            </w:r>
          </w:p>
          <w:p w:rsidR="00000000" w:rsidP="0050408C">
            <w:pPr>
              <w:pStyle w:val="BodyText"/>
              <w:rPr>
                <w:lang w:val="en-NZ"/>
              </w:rPr>
            </w:pPr>
            <w:r w:rsidRPr="0050408C">
              <w:t>A person cannot be assessed as competent until it can be demonstrated to the s</w:t>
            </w:r>
            <w:r w:rsidRPr="0050408C">
              <w:t>atisfaction of the workplace assessor that the relevant elements of the unit of competency are being achieved under routine supervision on a representative range of engine test runs. This shall be established via the records in the Log of Industrial Experi</w:t>
            </w:r>
            <w:r w:rsidRPr="0050408C">
              <w:t>ence and Achievement or, where appropriate, an equivalent Industry Evidence Guide.</w:t>
            </w:r>
          </w:p>
        </w:tc>
      </w:tr>
      <w:tr w:rsidTr="0050408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8C">
            <w:pPr>
              <w:pStyle w:val="BodyText"/>
              <w:rPr>
                <w:lang w:val="en-NZ"/>
              </w:rPr>
            </w:pPr>
            <w:r w:rsidRPr="0050408C">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8C">
            <w:pPr>
              <w:pStyle w:val="BodyText"/>
              <w:rPr>
                <w:lang w:val="en-NZ"/>
              </w:rPr>
            </w:pPr>
            <w:r w:rsidRPr="0050408C">
              <w:t>Competency should be assessed in the work environment or simulated work environment in an applicable engine test rig or tes</w:t>
            </w:r>
            <w:r w:rsidRPr="0050408C">
              <w:t>t cell. It is also expected that general purpose tools and test equipment found in most routine situations would be used where appropriate.</w:t>
            </w:r>
          </w:p>
        </w:tc>
      </w:tr>
      <w:tr w:rsidTr="0050408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8C">
            <w:pPr>
              <w:pStyle w:val="BodyText"/>
              <w:rPr>
                <w:lang w:val="en-NZ"/>
              </w:rPr>
            </w:pPr>
            <w:r w:rsidRPr="0050408C">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8C">
            <w:pPr>
              <w:pStyle w:val="BodyText"/>
              <w:rPr>
                <w:lang w:val="en-NZ"/>
              </w:rPr>
            </w:pPr>
          </w:p>
        </w:tc>
      </w:tr>
      <w:tr w:rsidTr="0050408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08C">
            <w:pPr>
              <w:pStyle w:val="BodyText"/>
              <w:rPr>
                <w:lang w:val="en-NZ"/>
              </w:rPr>
            </w:pPr>
            <w:r w:rsidRPr="0050408C">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08C" w:rsidP="0050408C">
            <w:pPr>
              <w:pStyle w:val="BodyText"/>
            </w:pPr>
          </w:p>
        </w:tc>
      </w:tr>
    </w:tbl>
    <w:p w:rsidR="00000000" w:rsidRPr="0050408C" w:rsidP="0050408C">
      <w:pPr>
        <w:pStyle w:val="BodyText"/>
      </w:pPr>
    </w:p>
    <w:p w:rsidR="00000000" w:rsidRPr="0050408C" w:rsidP="0050408C">
      <w:pPr>
        <w:pStyle w:val="AllowPageBreak"/>
      </w:pPr>
    </w:p>
    <w:p w:rsidR="00000000" w:rsidRPr="0050408C" w:rsidP="0050408C">
      <w:pPr>
        <w:pStyle w:val="Heading1"/>
      </w:pPr>
      <w:bookmarkStart w:id="11" w:name="O_592225"/>
      <w:bookmarkEnd w:id="11"/>
      <w:r w:rsidRPr="0050408C">
        <w:t>Range Statement</w:t>
      </w:r>
    </w:p>
    <w:tbl>
      <w:tblPr>
        <w:tblW w:w="9354" w:type="dxa"/>
        <w:tblLayout w:type="fixed"/>
        <w:tblCellMar>
          <w:left w:w="62" w:type="dxa"/>
          <w:right w:w="62" w:type="dxa"/>
        </w:tblCellMar>
        <w:tblLook w:val="0000"/>
      </w:tblPr>
      <w:tblGrid>
        <w:gridCol w:w="3692"/>
        <w:gridCol w:w="5662"/>
      </w:tblGrid>
      <w:tr w:rsidTr="0050408C">
        <w:tblPrEx>
          <w:tblW w:w="9354" w:type="dxa"/>
          <w:tblLayout w:type="fixed"/>
          <w:tblCellMar>
            <w:left w:w="62" w:type="dxa"/>
            <w:right w:w="62" w:type="dxa"/>
          </w:tblCellMar>
          <w:tblLook w:val="0000"/>
        </w:tblPrEx>
        <w:tc>
          <w:tcPr>
            <w:tcW w:w="93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08C">
            <w:pPr>
              <w:pStyle w:val="BodyText"/>
              <w:rPr>
                <w:lang w:val="en-NZ"/>
              </w:rPr>
            </w:pPr>
            <w:r w:rsidRPr="0050408C">
              <w:t>The range statement relates to the unit of competency as a whole. It allows for different work environments and situations that may affect performance. Essential operating conditions that may be present with training and assessment (depending on the work s</w:t>
            </w:r>
            <w:r w:rsidRPr="0050408C">
              <w:t>ituation, needs of the candidate, accessibility of the item, and local industry and regional contexts) may also be included.</w:t>
            </w:r>
          </w:p>
        </w:tc>
      </w:tr>
      <w:tr w:rsidTr="0050408C">
        <w:tblPrEx>
          <w:tblW w:w="9354" w:type="dxa"/>
          <w:tblLayout w:type="fixed"/>
          <w:tblCellMar>
            <w:left w:w="62" w:type="dxa"/>
            <w:right w:w="62" w:type="dxa"/>
          </w:tblCellMar>
          <w:tblLook w:val="0000"/>
        </w:tblPrEx>
        <w:tc>
          <w:tcPr>
            <w:tcW w:w="3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08C">
            <w:pPr>
              <w:pStyle w:val="BodyText"/>
              <w:rPr>
                <w:lang w:val="en-NZ"/>
              </w:rPr>
            </w:pPr>
            <w:r w:rsidRPr="0050408C">
              <w:rPr>
                <w:rStyle w:val="SpecialBold"/>
              </w:rPr>
              <w:t>Application</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08C" w:rsidP="0050408C">
            <w:pPr>
              <w:pStyle w:val="BodyText"/>
            </w:pPr>
            <w:r w:rsidRPr="0050408C">
              <w:t>Application of this unit may relate to:</w:t>
            </w:r>
          </w:p>
          <w:p w:rsidR="00000000" w:rsidRPr="0050408C" w:rsidP="0050408C">
            <w:pPr>
              <w:pStyle w:val="ListBullet"/>
            </w:pPr>
            <w:r w:rsidRPr="0050408C">
              <w:t>scheduled or unscheduled maintenance</w:t>
            </w:r>
          </w:p>
          <w:p w:rsidR="00000000" w:rsidRPr="0050408C" w:rsidP="0050408C">
            <w:pPr>
              <w:pStyle w:val="ListBullet"/>
            </w:pPr>
            <w:r w:rsidRPr="0050408C">
              <w:t>individual or team-related activities</w:t>
            </w:r>
          </w:p>
          <w:p w:rsidR="00000000" w:rsidP="0050408C">
            <w:pPr>
              <w:pStyle w:val="ListBullet"/>
              <w:rPr>
                <w:lang w:val="en-NZ"/>
              </w:rPr>
            </w:pPr>
            <w:r w:rsidRPr="0050408C">
              <w:t>complex adjusting and testing of engine performance to be carried out under supervision</w:t>
            </w:r>
          </w:p>
        </w:tc>
      </w:tr>
      <w:tr w:rsidTr="0050408C">
        <w:tblPrEx>
          <w:tblW w:w="9354" w:type="dxa"/>
          <w:tblLayout w:type="fixed"/>
          <w:tblCellMar>
            <w:left w:w="62" w:type="dxa"/>
            <w:right w:w="62" w:type="dxa"/>
          </w:tblCellMar>
          <w:tblLook w:val="0000"/>
        </w:tblPrEx>
        <w:tc>
          <w:tcPr>
            <w:tcW w:w="3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08C">
            <w:pPr>
              <w:pStyle w:val="BodyText"/>
              <w:rPr>
                <w:lang w:val="en-NZ"/>
              </w:rPr>
            </w:pPr>
            <w:r w:rsidRPr="0050408C">
              <w:rPr>
                <w:rStyle w:val="SpecialBold"/>
              </w:rPr>
              <w:t>Procedures and requirements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08C" w:rsidP="0050408C">
            <w:pPr>
              <w:pStyle w:val="BodyText"/>
            </w:pPr>
            <w:r w:rsidRPr="0050408C">
              <w:t>Procedures and requirements refer to industry standard procedures specified by manufacturers, regulatory authorities or the enterprise</w:t>
            </w:r>
          </w:p>
        </w:tc>
      </w:tr>
    </w:tbl>
    <w:p w:rsidR="00000000" w:rsidRPr="0050408C" w:rsidP="0050408C">
      <w:pPr>
        <w:pStyle w:val="BodyText"/>
      </w:pPr>
    </w:p>
    <w:p w:rsidR="00000000" w:rsidRPr="0050408C" w:rsidP="0050408C">
      <w:pPr>
        <w:pStyle w:val="AllowPageBreak"/>
      </w:pPr>
    </w:p>
    <w:p w:rsidR="00000000" w:rsidRPr="0050408C" w:rsidP="0050408C">
      <w:pPr>
        <w:pStyle w:val="Heading1"/>
      </w:pPr>
      <w:bookmarkStart w:id="12" w:name="O_592226"/>
      <w:bookmarkEnd w:id="12"/>
      <w:r w:rsidRPr="0050408C">
        <w:t>Unit Sector(s)</w:t>
      </w:r>
    </w:p>
    <w:p w:rsidR="00000000" w:rsidRPr="0050408C" w:rsidP="0050408C">
      <w:pPr>
        <w:pStyle w:val="BodyText"/>
      </w:pPr>
      <w:r w:rsidRPr="0050408C">
        <w:t>Aviation maintenance</w:t>
      </w:r>
    </w:p>
    <w:p w:rsidR="00000000" w:rsidRPr="0050408C" w:rsidP="0050408C">
      <w:pPr>
        <w:pStyle w:val="AllowPageBreak"/>
      </w:pPr>
    </w:p>
    <w:p w:rsidR="00000000" w:rsidRPr="0050408C" w:rsidP="0050408C">
      <w:pPr>
        <w:pStyle w:val="Heading1"/>
      </w:pPr>
      <w:bookmarkStart w:id="13" w:name="O_592227"/>
      <w:bookmarkEnd w:id="13"/>
      <w:r w:rsidRPr="0050408C">
        <w:t>Custom Content Section</w:t>
      </w:r>
    </w:p>
    <w:p w:rsidR="00000000" w:rsidRPr="0050408C" w:rsidP="0050408C">
      <w:pPr>
        <w:pStyle w:val="BodyText"/>
      </w:pPr>
      <w:r w:rsidRPr="0050408C">
        <w:t>Not applicable.</w:t>
      </w:r>
    </w:p>
    <w:p w:rsidR="00000000" w:rsidRPr="0050408C" w:rsidP="0050408C"/>
    <w:sectPr w:rsidSect="005040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0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08C" w:rsidRPr="00B4073E" w:rsidP="00B407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0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73E" w:rsidP="005040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4073E" w:rsidP="0050408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4073E" w:rsidP="005040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0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08C" w:rsidRPr="00B4073E" w:rsidP="00B407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0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73E" w:rsidRPr="002D2AF8" w:rsidP="0050408C">
    <w:pPr>
      <w:pStyle w:val="Header"/>
      <w:framePr w:wrap="around"/>
    </w:pPr>
    <w:r>
      <w:fldChar w:fldCharType="begin"/>
    </w:r>
    <w:r>
      <w:instrText xml:space="preserve"> TITLE   \* MERGEFORMAT </w:instrText>
    </w:r>
    <w:r>
      <w:fldChar w:fldCharType="separate"/>
    </w:r>
    <w:r>
      <w:t>MEA397A Test aircraft piston engines after repair or 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B4073E" w:rsidP="005040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B097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0E55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1804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0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408C"/>
    <w:pPr>
      <w:spacing w:before="360" w:after="60"/>
      <w:outlineLvl w:val="0"/>
    </w:pPr>
    <w:rPr>
      <w:sz w:val="32"/>
    </w:rPr>
  </w:style>
  <w:style w:type="paragraph" w:styleId="Heading2">
    <w:name w:val="heading 2"/>
    <w:basedOn w:val="HeadingBase"/>
    <w:next w:val="BodyText"/>
    <w:link w:val="Heading2Char"/>
    <w:qFormat/>
    <w:rsid w:val="0050408C"/>
    <w:pPr>
      <w:keepLines/>
      <w:spacing w:before="240" w:after="120"/>
      <w:outlineLvl w:val="1"/>
    </w:pPr>
    <w:rPr>
      <w:sz w:val="28"/>
      <w:szCs w:val="40"/>
    </w:rPr>
  </w:style>
  <w:style w:type="paragraph" w:styleId="Heading3">
    <w:name w:val="heading 3"/>
    <w:basedOn w:val="HeadingBase"/>
    <w:next w:val="BodyText"/>
    <w:link w:val="Heading3Char"/>
    <w:qFormat/>
    <w:rsid w:val="0050408C"/>
    <w:pPr>
      <w:spacing w:before="180" w:after="120"/>
      <w:outlineLvl w:val="2"/>
    </w:pPr>
    <w:rPr>
      <w:spacing w:val="-10"/>
      <w:kern w:val="32"/>
    </w:rPr>
  </w:style>
  <w:style w:type="paragraph" w:styleId="Heading4">
    <w:name w:val="heading 4"/>
    <w:basedOn w:val="HeadingBase"/>
    <w:next w:val="BodyText"/>
    <w:link w:val="Heading4Char"/>
    <w:qFormat/>
    <w:rsid w:val="0050408C"/>
    <w:pPr>
      <w:spacing w:before="160" w:after="120"/>
      <w:outlineLvl w:val="3"/>
    </w:pPr>
    <w:rPr>
      <w:sz w:val="22"/>
    </w:rPr>
  </w:style>
  <w:style w:type="paragraph" w:styleId="Heading5">
    <w:name w:val="heading 5"/>
    <w:basedOn w:val="HeadingBase"/>
    <w:next w:val="Normal"/>
    <w:link w:val="Heading5Char"/>
    <w:qFormat/>
    <w:rsid w:val="0050408C"/>
    <w:pPr>
      <w:spacing w:before="80"/>
      <w:outlineLvl w:val="4"/>
    </w:pPr>
    <w:rPr>
      <w:color w:val="918585"/>
      <w:sz w:val="20"/>
    </w:rPr>
  </w:style>
  <w:style w:type="paragraph" w:styleId="Heading6">
    <w:name w:val="heading 6"/>
    <w:basedOn w:val="HeadingBase"/>
    <w:next w:val="Normal"/>
    <w:link w:val="Heading6Char"/>
    <w:qFormat/>
    <w:rsid w:val="0050408C"/>
    <w:pPr>
      <w:spacing w:before="60"/>
      <w:outlineLvl w:val="5"/>
    </w:pPr>
    <w:rPr>
      <w:color w:val="918585"/>
      <w:sz w:val="20"/>
    </w:rPr>
  </w:style>
  <w:style w:type="paragraph" w:styleId="Heading7">
    <w:name w:val="heading 7"/>
    <w:basedOn w:val="Normal"/>
    <w:next w:val="Normal"/>
    <w:link w:val="Heading7Char"/>
    <w:qFormat/>
    <w:rsid w:val="0050408C"/>
    <w:pPr>
      <w:ind w:left="720"/>
      <w:outlineLvl w:val="6"/>
    </w:pPr>
    <w:rPr>
      <w:i/>
    </w:rPr>
  </w:style>
  <w:style w:type="paragraph" w:styleId="Heading8">
    <w:name w:val="heading 8"/>
    <w:basedOn w:val="Normal"/>
    <w:next w:val="Normal"/>
    <w:link w:val="Heading8Char"/>
    <w:qFormat/>
    <w:rsid w:val="0050408C"/>
    <w:pPr>
      <w:ind w:left="720"/>
      <w:outlineLvl w:val="7"/>
    </w:pPr>
    <w:rPr>
      <w:i/>
    </w:rPr>
  </w:style>
  <w:style w:type="paragraph" w:styleId="Heading9">
    <w:name w:val="heading 9"/>
    <w:basedOn w:val="Normal"/>
    <w:next w:val="Normal"/>
    <w:link w:val="Heading9Char"/>
    <w:qFormat/>
    <w:rsid w:val="0050408C"/>
    <w:pPr>
      <w:ind w:left="720"/>
      <w:outlineLvl w:val="8"/>
    </w:pPr>
    <w:rPr>
      <w:i/>
    </w:rPr>
  </w:style>
  <w:style w:type="character" w:default="1" w:styleId="DefaultParagraphFont">
    <w:name w:val="Default Paragraph Font"/>
    <w:uiPriority w:val="1"/>
    <w:unhideWhenUsed/>
    <w:rsid w:val="005040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08C"/>
  </w:style>
  <w:style w:type="character" w:customStyle="1" w:styleId="Heading1Char">
    <w:name w:val="Heading 1 Char"/>
    <w:basedOn w:val="DefaultParagraphFont"/>
    <w:link w:val="Heading1"/>
    <w:rsid w:val="0050408C"/>
    <w:rPr>
      <w:rFonts w:ascii="Times New Roman" w:eastAsia="Times New Roman" w:hAnsi="Times New Roman" w:cs="Times New Roman"/>
      <w:b/>
      <w:sz w:val="32"/>
      <w:szCs w:val="20"/>
      <w:lang w:eastAsia="en-US"/>
    </w:rPr>
  </w:style>
  <w:style w:type="paragraph" w:styleId="BodyText">
    <w:name w:val="Body Text"/>
    <w:basedOn w:val="Normal"/>
    <w:link w:val="BodyTextChar"/>
    <w:rsid w:val="005040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408C"/>
    <w:rPr>
      <w:rFonts w:ascii="Times New Roman" w:eastAsia="Times New Roman" w:hAnsi="Times New Roman" w:cs="Times New Roman"/>
      <w:sz w:val="24"/>
      <w:lang w:eastAsia="en-US"/>
    </w:rPr>
  </w:style>
  <w:style w:type="paragraph" w:styleId="ListBullet">
    <w:name w:val="List Bullet"/>
    <w:basedOn w:val="List"/>
    <w:rsid w:val="0050408C"/>
    <w:pPr>
      <w:numPr>
        <w:numId w:val="13"/>
      </w:numPr>
      <w:tabs>
        <w:tab w:val="clear" w:pos="340"/>
      </w:tabs>
      <w:spacing w:before="40" w:after="40"/>
    </w:pPr>
  </w:style>
  <w:style w:type="character" w:customStyle="1" w:styleId="SpecialBold">
    <w:name w:val="Special Bold"/>
    <w:basedOn w:val="DefaultParagraphFont"/>
    <w:rsid w:val="0050408C"/>
    <w:rPr>
      <w:b/>
      <w:spacing w:val="0"/>
    </w:rPr>
  </w:style>
  <w:style w:type="paragraph" w:styleId="ListBullet2">
    <w:name w:val="List Bullet 2"/>
    <w:basedOn w:val="List2"/>
    <w:rsid w:val="0050408C"/>
    <w:pPr>
      <w:numPr>
        <w:numId w:val="14"/>
      </w:numPr>
      <w:tabs>
        <w:tab w:val="clear" w:pos="680"/>
      </w:tabs>
    </w:pPr>
  </w:style>
  <w:style w:type="paragraph" w:customStyle="1" w:styleId="SuperHeading">
    <w:name w:val="SuperHeading"/>
    <w:basedOn w:val="Normal"/>
    <w:rsid w:val="0050408C"/>
    <w:pPr>
      <w:spacing w:before="240" w:after="120"/>
      <w:outlineLvl w:val="0"/>
    </w:pPr>
    <w:rPr>
      <w:rFonts w:ascii="Times New Roman" w:hAnsi="Times New Roman"/>
      <w:b/>
      <w:sz w:val="32"/>
    </w:rPr>
  </w:style>
  <w:style w:type="paragraph" w:customStyle="1" w:styleId="AllowPageBreak">
    <w:name w:val="AllowPageBreak"/>
    <w:rsid w:val="005040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40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0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0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0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0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0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40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408C"/>
    <w:rPr>
      <w:rFonts w:ascii="Courier New" w:eastAsia="Times New Roman" w:hAnsi="Courier New" w:cs="Times New Roman"/>
      <w:i/>
      <w:szCs w:val="20"/>
      <w:lang w:eastAsia="en-US"/>
    </w:rPr>
  </w:style>
  <w:style w:type="paragraph" w:customStyle="1" w:styleId="HeadingBase">
    <w:name w:val="Heading Base"/>
    <w:rsid w:val="005040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08C"/>
    <w:pPr>
      <w:tabs>
        <w:tab w:val="right" w:leader="dot" w:pos="9072"/>
      </w:tabs>
      <w:ind w:left="567"/>
    </w:pPr>
    <w:rPr>
      <w:szCs w:val="22"/>
    </w:rPr>
  </w:style>
  <w:style w:type="paragraph" w:customStyle="1" w:styleId="TOCBase">
    <w:name w:val="TOC Base"/>
    <w:rsid w:val="005040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08C"/>
    <w:pPr>
      <w:tabs>
        <w:tab w:val="right" w:leader="dot" w:pos="9072"/>
      </w:tabs>
      <w:spacing w:before="40" w:after="40"/>
      <w:ind w:left="284"/>
    </w:pPr>
    <w:rPr>
      <w:rFonts w:ascii="Times New Roman" w:hAnsi="Times New Roman"/>
    </w:rPr>
  </w:style>
  <w:style w:type="paragraph" w:styleId="TOC1">
    <w:name w:val="toc 1"/>
    <w:basedOn w:val="TOCBase"/>
    <w:next w:val="Normal"/>
    <w:rsid w:val="005040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40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08C"/>
    <w:rPr>
      <w:rFonts w:ascii="Times New Roman" w:eastAsia="Times New Roman" w:hAnsi="Times New Roman" w:cs="Times New Roman"/>
      <w:sz w:val="16"/>
      <w:lang w:eastAsia="en-US"/>
    </w:rPr>
  </w:style>
  <w:style w:type="paragraph" w:styleId="Title">
    <w:name w:val="Title"/>
    <w:basedOn w:val="HeadingBase"/>
    <w:link w:val="TitleChar"/>
    <w:qFormat/>
    <w:rsid w:val="0050408C"/>
    <w:pPr>
      <w:spacing w:before="5040"/>
      <w:jc w:val="center"/>
    </w:pPr>
    <w:rPr>
      <w:sz w:val="48"/>
      <w:szCs w:val="72"/>
      <w:lang w:val="en-US"/>
    </w:rPr>
  </w:style>
  <w:style w:type="character" w:customStyle="1" w:styleId="TitleChar">
    <w:name w:val="Title Char"/>
    <w:basedOn w:val="DefaultParagraphFont"/>
    <w:link w:val="Title"/>
    <w:rsid w:val="005040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08C"/>
    <w:pPr>
      <w:tabs>
        <w:tab w:val="left" w:pos="3600"/>
        <w:tab w:val="left" w:pos="3958"/>
      </w:tabs>
    </w:pPr>
  </w:style>
  <w:style w:type="paragraph" w:styleId="List">
    <w:name w:val="List"/>
    <w:basedOn w:val="BodyText"/>
    <w:next w:val="BodyText"/>
    <w:rsid w:val="0050408C"/>
    <w:pPr>
      <w:tabs>
        <w:tab w:val="left" w:pos="340"/>
      </w:tabs>
      <w:spacing w:before="60" w:after="60"/>
      <w:ind w:left="340" w:hanging="340"/>
    </w:pPr>
  </w:style>
  <w:style w:type="paragraph" w:customStyle="1" w:styleId="Note">
    <w:name w:val="Note"/>
    <w:basedOn w:val="BodyText"/>
    <w:rsid w:val="005040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408C"/>
    <w:pPr>
      <w:framePr w:wrap="auto" w:hAnchor="text" w:y="6049"/>
    </w:pPr>
    <w:rPr>
      <w:color w:val="000000"/>
      <w:sz w:val="40"/>
    </w:rPr>
  </w:style>
  <w:style w:type="paragraph" w:customStyle="1" w:styleId="TOCTitle">
    <w:name w:val="TOCTitle"/>
    <w:basedOn w:val="Heading1"/>
    <w:rsid w:val="0050408C"/>
    <w:pPr>
      <w:spacing w:after="240"/>
      <w:jc w:val="center"/>
      <w:outlineLvl w:val="9"/>
    </w:pPr>
    <w:rPr>
      <w:caps/>
    </w:rPr>
  </w:style>
  <w:style w:type="paragraph" w:customStyle="1" w:styleId="Version">
    <w:name w:val="Version"/>
    <w:rsid w:val="005040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408C"/>
    <w:pPr>
      <w:keepNext w:val="0"/>
      <w:tabs>
        <w:tab w:val="right" w:pos="4176"/>
      </w:tabs>
      <w:ind w:left="198" w:hanging="198"/>
    </w:pPr>
    <w:rPr>
      <w:rFonts w:ascii="Garamond" w:hAnsi="Garamond"/>
    </w:rPr>
  </w:style>
  <w:style w:type="paragraph" w:styleId="IndexHeading">
    <w:name w:val="index heading"/>
    <w:basedOn w:val="Normal"/>
    <w:next w:val="Index1"/>
    <w:semiHidden/>
    <w:rsid w:val="0050408C"/>
    <w:pPr>
      <w:spacing w:before="120" w:after="120"/>
    </w:pPr>
    <w:rPr>
      <w:rFonts w:ascii="Arial" w:hAnsi="Arial"/>
      <w:b/>
      <w:color w:val="918585"/>
      <w:sz w:val="24"/>
    </w:rPr>
  </w:style>
  <w:style w:type="paragraph" w:styleId="Header">
    <w:name w:val="header"/>
    <w:basedOn w:val="Normal"/>
    <w:link w:val="HeaderChar"/>
    <w:rsid w:val="005040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08C"/>
    <w:rPr>
      <w:rFonts w:ascii="Times New Roman" w:eastAsia="Times New Roman" w:hAnsi="Times New Roman" w:cs="Times New Roman"/>
      <w:sz w:val="16"/>
      <w:szCs w:val="20"/>
      <w:lang w:val="en-GB" w:eastAsia="en-US"/>
    </w:rPr>
  </w:style>
  <w:style w:type="paragraph" w:customStyle="1" w:styleId="Chapter">
    <w:name w:val="Chapter"/>
    <w:basedOn w:val="Normal"/>
    <w:rsid w:val="0050408C"/>
    <w:pPr>
      <w:spacing w:before="240"/>
    </w:pPr>
    <w:rPr>
      <w:rFonts w:ascii="Times New Roman" w:hAnsi="Times New Roman"/>
      <w:smallCaps/>
      <w:spacing w:val="80"/>
      <w:sz w:val="28"/>
    </w:rPr>
  </w:style>
  <w:style w:type="paragraph" w:customStyle="1" w:styleId="InChapter">
    <w:name w:val="InChapter"/>
    <w:basedOn w:val="Heading3"/>
    <w:rsid w:val="0050408C"/>
    <w:pPr>
      <w:spacing w:after="240"/>
      <w:outlineLvl w:val="9"/>
    </w:pPr>
    <w:rPr>
      <w:noProof/>
    </w:rPr>
  </w:style>
  <w:style w:type="paragraph" w:styleId="Index2">
    <w:name w:val="index 2"/>
    <w:basedOn w:val="Normal"/>
    <w:next w:val="Normal"/>
    <w:semiHidden/>
    <w:rsid w:val="0050408C"/>
    <w:pPr>
      <w:tabs>
        <w:tab w:val="right" w:pos="4176"/>
      </w:tabs>
      <w:ind w:left="568" w:hanging="284"/>
    </w:pPr>
    <w:rPr>
      <w:rFonts w:ascii="Garamond" w:hAnsi="Garamond"/>
    </w:rPr>
  </w:style>
  <w:style w:type="paragraph" w:customStyle="1" w:styleId="Byline">
    <w:name w:val="Byline"/>
    <w:rsid w:val="005040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08C"/>
    <w:pPr>
      <w:tabs>
        <w:tab w:val="clear" w:pos="3600"/>
        <w:tab w:val="clear" w:pos="3958"/>
      </w:tabs>
      <w:jc w:val="right"/>
    </w:pPr>
  </w:style>
  <w:style w:type="character" w:styleId="Emphasis">
    <w:name w:val="Emphasis"/>
    <w:basedOn w:val="DefaultParagraphFont"/>
    <w:qFormat/>
    <w:rsid w:val="0050408C"/>
    <w:rPr>
      <w:i/>
    </w:rPr>
  </w:style>
  <w:style w:type="paragraph" w:styleId="Caption">
    <w:name w:val="caption"/>
    <w:basedOn w:val="BodyText"/>
    <w:next w:val="Normal"/>
    <w:qFormat/>
    <w:rsid w:val="0050408C"/>
    <w:pPr>
      <w:framePr w:w="2268" w:hSpace="181" w:vSpace="181" w:wrap="around" w:vAnchor="text" w:hAnchor="page" w:x="1135" w:y="285" w:anchorLock="1"/>
    </w:pPr>
    <w:rPr>
      <w:i/>
    </w:rPr>
  </w:style>
  <w:style w:type="paragraph" w:customStyle="1" w:styleId="MiniTOCTitle">
    <w:name w:val="MiniTOCTitle"/>
    <w:basedOn w:val="Heading4"/>
    <w:rsid w:val="0050408C"/>
    <w:pPr>
      <w:spacing w:before="240"/>
      <w:outlineLvl w:val="9"/>
    </w:pPr>
    <w:rPr>
      <w:noProof/>
      <w:sz w:val="24"/>
    </w:rPr>
  </w:style>
  <w:style w:type="paragraph" w:customStyle="1" w:styleId="MiniTOCItem">
    <w:name w:val="MiniTOCItem"/>
    <w:basedOn w:val="ListBullet"/>
    <w:rsid w:val="0050408C"/>
    <w:pPr>
      <w:numPr>
        <w:numId w:val="0"/>
      </w:numPr>
      <w:tabs>
        <w:tab w:val="right" w:leader="dot" w:pos="6521"/>
      </w:tabs>
      <w:spacing w:before="0" w:after="0"/>
    </w:pPr>
  </w:style>
  <w:style w:type="paragraph" w:customStyle="1" w:styleId="TOFTitle">
    <w:name w:val="TOFTitle"/>
    <w:basedOn w:val="TOCTitle"/>
    <w:rsid w:val="0050408C"/>
  </w:style>
  <w:style w:type="paragraph" w:styleId="TableofFigures">
    <w:name w:val="table of figures"/>
    <w:basedOn w:val="Normal"/>
    <w:next w:val="Normal"/>
    <w:semiHidden/>
    <w:rsid w:val="0050408C"/>
    <w:pPr>
      <w:tabs>
        <w:tab w:val="right" w:leader="dot" w:pos="9072"/>
      </w:tabs>
      <w:ind w:left="970" w:hanging="403"/>
    </w:pPr>
    <w:rPr>
      <w:rFonts w:ascii="Times New Roman" w:hAnsi="Times New Roman"/>
      <w:b/>
    </w:rPr>
  </w:style>
  <w:style w:type="paragraph" w:styleId="ListNumber">
    <w:name w:val="List Number"/>
    <w:basedOn w:val="List"/>
    <w:rsid w:val="0050408C"/>
    <w:pPr>
      <w:numPr>
        <w:numId w:val="11"/>
      </w:numPr>
    </w:pPr>
  </w:style>
  <w:style w:type="character" w:customStyle="1" w:styleId="WingdingSymbols">
    <w:name w:val="Wingding Symbols"/>
    <w:rsid w:val="0050408C"/>
    <w:rPr>
      <w:rFonts w:ascii="Wingdings" w:hAnsi="Wingdings"/>
    </w:rPr>
  </w:style>
  <w:style w:type="paragraph" w:customStyle="1" w:styleId="TableHeading">
    <w:name w:val="Table Heading"/>
    <w:basedOn w:val="HeadingBase"/>
    <w:rsid w:val="0050408C"/>
    <w:pPr>
      <w:keepLines/>
      <w:pBdr>
        <w:bottom w:val="single" w:sz="6" w:space="1" w:color="918585"/>
      </w:pBdr>
      <w:spacing w:before="240"/>
    </w:pPr>
  </w:style>
  <w:style w:type="character" w:customStyle="1" w:styleId="HotSpot">
    <w:name w:val="HotSpot"/>
    <w:rsid w:val="0050408C"/>
    <w:rPr>
      <w:color w:val="0033CC"/>
      <w:u w:val="none"/>
    </w:rPr>
  </w:style>
  <w:style w:type="paragraph" w:customStyle="1" w:styleId="BodyTextRight">
    <w:name w:val="Body Text Right"/>
    <w:basedOn w:val="BodyText"/>
    <w:rsid w:val="0050408C"/>
    <w:pPr>
      <w:spacing w:before="0" w:after="0"/>
      <w:jc w:val="right"/>
    </w:pPr>
  </w:style>
  <w:style w:type="paragraph" w:styleId="Index3">
    <w:name w:val="index 3"/>
    <w:basedOn w:val="ListNumber2"/>
    <w:next w:val="Normal"/>
    <w:semiHidden/>
    <w:rsid w:val="0050408C"/>
    <w:pPr>
      <w:numPr>
        <w:numId w:val="0"/>
      </w:numPr>
      <w:tabs>
        <w:tab w:val="right" w:leader="dot" w:pos="4176"/>
      </w:tabs>
    </w:pPr>
  </w:style>
  <w:style w:type="paragraph" w:styleId="ListNumber2">
    <w:name w:val="List Number 2"/>
    <w:basedOn w:val="List2"/>
    <w:rsid w:val="0050408C"/>
    <w:pPr>
      <w:numPr>
        <w:numId w:val="10"/>
      </w:numPr>
      <w:tabs>
        <w:tab w:val="clear" w:pos="1060"/>
      </w:tabs>
    </w:pPr>
  </w:style>
  <w:style w:type="paragraph" w:customStyle="1" w:styleId="MarginNote">
    <w:name w:val="Margin Note"/>
    <w:basedOn w:val="BodyText"/>
    <w:rsid w:val="005040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0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0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408C"/>
    <w:rPr>
      <w:sz w:val="32"/>
    </w:rPr>
  </w:style>
  <w:style w:type="paragraph" w:customStyle="1" w:styleId="HeadingProcedure">
    <w:name w:val="Heading Procedure"/>
    <w:basedOn w:val="HeadingBase"/>
    <w:next w:val="Normal"/>
    <w:rsid w:val="0050408C"/>
    <w:pPr>
      <w:tabs>
        <w:tab w:val="left" w:pos="0"/>
      </w:tabs>
      <w:spacing w:before="120" w:after="60"/>
    </w:pPr>
    <w:rPr>
      <w:i/>
      <w:color w:val="918585"/>
      <w:sz w:val="22"/>
    </w:rPr>
  </w:style>
  <w:style w:type="paragraph" w:customStyle="1" w:styleId="TableBodyText">
    <w:name w:val="Table Body Text"/>
    <w:basedOn w:val="BodyText"/>
    <w:rsid w:val="0050408C"/>
    <w:pPr>
      <w:spacing w:before="60" w:after="60"/>
    </w:pPr>
  </w:style>
  <w:style w:type="paragraph" w:styleId="ListContinue">
    <w:name w:val="List Continue"/>
    <w:basedOn w:val="List"/>
    <w:rsid w:val="0050408C"/>
    <w:pPr>
      <w:ind w:firstLine="0"/>
    </w:pPr>
  </w:style>
  <w:style w:type="paragraph" w:customStyle="1" w:styleId="ListNote">
    <w:name w:val="List Note"/>
    <w:basedOn w:val="List"/>
    <w:rsid w:val="0050408C"/>
    <w:pPr>
      <w:pBdr>
        <w:top w:val="single" w:sz="6" w:space="2" w:color="918585"/>
        <w:bottom w:val="single" w:sz="6" w:space="2" w:color="918585"/>
      </w:pBdr>
      <w:tabs>
        <w:tab w:val="left" w:pos="1021"/>
      </w:tabs>
      <w:ind w:firstLine="0"/>
    </w:pPr>
  </w:style>
  <w:style w:type="paragraph" w:customStyle="1" w:styleId="Warning">
    <w:name w:val="Warning"/>
    <w:basedOn w:val="BodyText"/>
    <w:rsid w:val="0050408C"/>
    <w:pPr>
      <w:shd w:val="clear" w:color="auto" w:fill="D9D9D9"/>
      <w:tabs>
        <w:tab w:val="left" w:pos="992"/>
      </w:tabs>
      <w:ind w:left="119" w:right="119"/>
    </w:pPr>
    <w:rPr>
      <w:sz w:val="20"/>
    </w:rPr>
  </w:style>
  <w:style w:type="paragraph" w:customStyle="1" w:styleId="MarginIcons">
    <w:name w:val="Margin Icons"/>
    <w:basedOn w:val="BodyText"/>
    <w:rsid w:val="005040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08C"/>
    <w:rPr>
      <w:rFonts w:ascii="Courier New" w:hAnsi="Courier New"/>
    </w:rPr>
  </w:style>
  <w:style w:type="paragraph" w:customStyle="1" w:styleId="NoteBullet">
    <w:name w:val="Note Bullet"/>
    <w:basedOn w:val="Note"/>
    <w:rsid w:val="0050408C"/>
    <w:pPr>
      <w:tabs>
        <w:tab w:val="clear" w:pos="680"/>
      </w:tabs>
      <w:spacing w:before="60" w:after="60"/>
    </w:pPr>
  </w:style>
  <w:style w:type="paragraph" w:customStyle="1" w:styleId="SubHeading2">
    <w:name w:val="SubHeading2"/>
    <w:basedOn w:val="HeadingBase"/>
    <w:rsid w:val="0050408C"/>
    <w:pPr>
      <w:spacing w:before="240" w:after="60"/>
    </w:pPr>
    <w:rPr>
      <w:sz w:val="20"/>
    </w:rPr>
  </w:style>
  <w:style w:type="paragraph" w:customStyle="1" w:styleId="SubHeading1">
    <w:name w:val="SubHeading1"/>
    <w:basedOn w:val="HeadingBase"/>
    <w:rsid w:val="0050408C"/>
    <w:pPr>
      <w:spacing w:before="240" w:after="60"/>
    </w:pPr>
    <w:rPr>
      <w:color w:val="918585"/>
      <w:sz w:val="22"/>
    </w:rPr>
  </w:style>
  <w:style w:type="paragraph" w:customStyle="1" w:styleId="SideHeading">
    <w:name w:val="Side Heading"/>
    <w:basedOn w:val="HeadingBase"/>
    <w:rsid w:val="005040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08C"/>
    <w:pPr>
      <w:numPr>
        <w:numId w:val="12"/>
      </w:numPr>
    </w:pPr>
  </w:style>
  <w:style w:type="paragraph" w:styleId="PlainText">
    <w:name w:val="Plain Text"/>
    <w:basedOn w:val="Normal"/>
    <w:link w:val="PlainTextChar"/>
    <w:rsid w:val="0050408C"/>
    <w:rPr>
      <w:sz w:val="20"/>
    </w:rPr>
  </w:style>
  <w:style w:type="character" w:customStyle="1" w:styleId="PlainTextChar">
    <w:name w:val="Plain Text Char"/>
    <w:basedOn w:val="DefaultParagraphFont"/>
    <w:link w:val="PlainText"/>
    <w:rsid w:val="0050408C"/>
    <w:rPr>
      <w:rFonts w:ascii="Courier New" w:eastAsia="Times New Roman" w:hAnsi="Courier New" w:cs="Times New Roman"/>
      <w:sz w:val="20"/>
      <w:szCs w:val="20"/>
      <w:lang w:eastAsia="en-US"/>
    </w:rPr>
  </w:style>
  <w:style w:type="character" w:customStyle="1" w:styleId="MenuOption">
    <w:name w:val="Menu Option"/>
    <w:basedOn w:val="DefaultParagraphFont"/>
    <w:rsid w:val="0050408C"/>
    <w:rPr>
      <w:b/>
      <w:smallCaps/>
    </w:rPr>
  </w:style>
  <w:style w:type="paragraph" w:customStyle="1" w:styleId="TableListNumber">
    <w:name w:val="Table List Number"/>
    <w:basedOn w:val="ListNumber"/>
    <w:rsid w:val="0050408C"/>
    <w:pPr>
      <w:numPr>
        <w:numId w:val="0"/>
      </w:numPr>
    </w:pPr>
  </w:style>
  <w:style w:type="paragraph" w:styleId="TOC4">
    <w:name w:val="toc 4"/>
    <w:basedOn w:val="TOCBase"/>
    <w:next w:val="Normal"/>
    <w:semiHidden/>
    <w:rsid w:val="0050408C"/>
    <w:pPr>
      <w:tabs>
        <w:tab w:val="right" w:leader="dot" w:pos="9071"/>
      </w:tabs>
      <w:ind w:left="1701"/>
    </w:pPr>
  </w:style>
  <w:style w:type="paragraph" w:customStyle="1" w:styleId="ListAlpha">
    <w:name w:val="List Alpha"/>
    <w:basedOn w:val="List"/>
    <w:rsid w:val="0050408C"/>
    <w:pPr>
      <w:numPr>
        <w:numId w:val="9"/>
      </w:numPr>
    </w:pPr>
  </w:style>
  <w:style w:type="paragraph" w:customStyle="1" w:styleId="ListAlpha2">
    <w:name w:val="List Alpha 2"/>
    <w:basedOn w:val="List2"/>
    <w:rsid w:val="0050408C"/>
    <w:pPr>
      <w:numPr>
        <w:numId w:val="8"/>
      </w:numPr>
    </w:pPr>
  </w:style>
  <w:style w:type="paragraph" w:styleId="List2">
    <w:name w:val="List 2"/>
    <w:basedOn w:val="BodyText"/>
    <w:rsid w:val="0050408C"/>
    <w:pPr>
      <w:tabs>
        <w:tab w:val="left" w:pos="680"/>
      </w:tabs>
      <w:spacing w:before="60" w:after="60"/>
      <w:ind w:left="680" w:hanging="340"/>
    </w:pPr>
  </w:style>
  <w:style w:type="paragraph" w:styleId="List3">
    <w:name w:val="List 3"/>
    <w:basedOn w:val="BodyText"/>
    <w:rsid w:val="0050408C"/>
    <w:pPr>
      <w:tabs>
        <w:tab w:val="left" w:pos="1021"/>
      </w:tabs>
      <w:spacing w:before="60" w:after="60"/>
      <w:ind w:left="1020" w:hanging="340"/>
    </w:pPr>
  </w:style>
  <w:style w:type="paragraph" w:styleId="List4">
    <w:name w:val="List 4"/>
    <w:basedOn w:val="BodyText"/>
    <w:rsid w:val="0050408C"/>
    <w:pPr>
      <w:tabs>
        <w:tab w:val="left" w:pos="1361"/>
      </w:tabs>
      <w:spacing w:before="60" w:after="60"/>
      <w:ind w:left="1361" w:hanging="340"/>
    </w:pPr>
  </w:style>
  <w:style w:type="paragraph" w:styleId="List5">
    <w:name w:val="List 5"/>
    <w:basedOn w:val="BodyText"/>
    <w:rsid w:val="0050408C"/>
    <w:pPr>
      <w:tabs>
        <w:tab w:val="left" w:pos="1701"/>
      </w:tabs>
      <w:spacing w:before="60" w:after="60"/>
      <w:ind w:left="1701" w:hanging="340"/>
    </w:pPr>
  </w:style>
  <w:style w:type="paragraph" w:styleId="ListBullet3">
    <w:name w:val="List Bullet 3"/>
    <w:basedOn w:val="List3"/>
    <w:rsid w:val="0050408C"/>
    <w:pPr>
      <w:numPr>
        <w:numId w:val="15"/>
      </w:numPr>
      <w:tabs>
        <w:tab w:val="clear" w:pos="1021"/>
      </w:tabs>
      <w:ind w:left="1037" w:hanging="357"/>
    </w:pPr>
  </w:style>
  <w:style w:type="paragraph" w:styleId="ListBullet4">
    <w:name w:val="List Bullet 4"/>
    <w:basedOn w:val="List4"/>
    <w:rsid w:val="0050408C"/>
    <w:pPr>
      <w:numPr>
        <w:numId w:val="3"/>
      </w:numPr>
    </w:pPr>
  </w:style>
  <w:style w:type="paragraph" w:styleId="ListBullet5">
    <w:name w:val="List Bullet 5"/>
    <w:basedOn w:val="List5"/>
    <w:rsid w:val="0050408C"/>
    <w:pPr>
      <w:numPr>
        <w:numId w:val="4"/>
      </w:numPr>
    </w:pPr>
  </w:style>
  <w:style w:type="paragraph" w:styleId="ListContinue2">
    <w:name w:val="List Continue 2"/>
    <w:basedOn w:val="List2"/>
    <w:rsid w:val="0050408C"/>
    <w:pPr>
      <w:ind w:firstLine="0"/>
    </w:pPr>
  </w:style>
  <w:style w:type="paragraph" w:styleId="ListContinue3">
    <w:name w:val="List Continue 3"/>
    <w:basedOn w:val="List3"/>
    <w:rsid w:val="0050408C"/>
    <w:pPr>
      <w:ind w:left="1021" w:firstLine="0"/>
    </w:pPr>
  </w:style>
  <w:style w:type="paragraph" w:styleId="ListContinue4">
    <w:name w:val="List Continue 4"/>
    <w:basedOn w:val="List4"/>
    <w:rsid w:val="0050408C"/>
    <w:pPr>
      <w:ind w:firstLine="0"/>
    </w:pPr>
  </w:style>
  <w:style w:type="paragraph" w:styleId="ListContinue5">
    <w:name w:val="List Continue 5"/>
    <w:basedOn w:val="List5"/>
    <w:rsid w:val="0050408C"/>
    <w:pPr>
      <w:ind w:firstLine="0"/>
    </w:pPr>
  </w:style>
  <w:style w:type="paragraph" w:styleId="ListNumber3">
    <w:name w:val="List Number 3"/>
    <w:basedOn w:val="List3"/>
    <w:rsid w:val="0050408C"/>
    <w:pPr>
      <w:numPr>
        <w:numId w:val="5"/>
      </w:numPr>
    </w:pPr>
  </w:style>
  <w:style w:type="paragraph" w:styleId="ListNumber4">
    <w:name w:val="List Number 4"/>
    <w:basedOn w:val="List4"/>
    <w:rsid w:val="0050408C"/>
    <w:pPr>
      <w:numPr>
        <w:numId w:val="6"/>
      </w:numPr>
    </w:pPr>
  </w:style>
  <w:style w:type="paragraph" w:styleId="ListNumber5">
    <w:name w:val="List Number 5"/>
    <w:basedOn w:val="List5"/>
    <w:rsid w:val="0050408C"/>
    <w:pPr>
      <w:numPr>
        <w:numId w:val="7"/>
      </w:numPr>
    </w:pPr>
  </w:style>
  <w:style w:type="paragraph" w:styleId="BlockText">
    <w:name w:val="Block Text"/>
    <w:basedOn w:val="Normal"/>
    <w:rsid w:val="0050408C"/>
    <w:pPr>
      <w:spacing w:after="120"/>
      <w:ind w:left="1440" w:right="1440"/>
    </w:pPr>
  </w:style>
  <w:style w:type="character" w:customStyle="1" w:styleId="Subscript">
    <w:name w:val="Subscript"/>
    <w:basedOn w:val="DefaultParagraphFont"/>
    <w:rsid w:val="0050408C"/>
    <w:rPr>
      <w:sz w:val="16"/>
      <w:vertAlign w:val="subscript"/>
    </w:rPr>
  </w:style>
  <w:style w:type="character" w:customStyle="1" w:styleId="Superscript">
    <w:name w:val="Superscript"/>
    <w:basedOn w:val="DefaultParagraphFont"/>
    <w:rsid w:val="0050408C"/>
    <w:rPr>
      <w:sz w:val="16"/>
      <w:vertAlign w:val="superscript"/>
    </w:rPr>
  </w:style>
  <w:style w:type="character" w:customStyle="1" w:styleId="Symbols">
    <w:name w:val="Symbols"/>
    <w:basedOn w:val="DefaultParagraphFont"/>
    <w:rsid w:val="0050408C"/>
    <w:rPr>
      <w:rFonts w:ascii="Symbol" w:hAnsi="Symbol"/>
    </w:rPr>
  </w:style>
  <w:style w:type="character" w:customStyle="1" w:styleId="MenuOptions">
    <w:name w:val="Menu Options"/>
    <w:basedOn w:val="DefaultParagraphFont"/>
    <w:rsid w:val="0050408C"/>
    <w:rPr>
      <w:rFonts w:ascii="Arial Narrow" w:hAnsi="Arial Narrow"/>
      <w:smallCaps/>
    </w:rPr>
  </w:style>
  <w:style w:type="character" w:customStyle="1" w:styleId="Buttons">
    <w:name w:val="Buttons"/>
    <w:basedOn w:val="DefaultParagraphFont"/>
    <w:rsid w:val="0050408C"/>
    <w:rPr>
      <w:b/>
    </w:rPr>
  </w:style>
  <w:style w:type="character" w:customStyle="1" w:styleId="Underlined">
    <w:name w:val="Underlined"/>
    <w:basedOn w:val="DefaultParagraphFont"/>
    <w:rsid w:val="0050408C"/>
    <w:rPr>
      <w:u w:val="single"/>
    </w:rPr>
  </w:style>
  <w:style w:type="paragraph" w:customStyle="1" w:styleId="TableBodyTextRight">
    <w:name w:val="Table Body Text Right"/>
    <w:basedOn w:val="TableBodyText"/>
    <w:rsid w:val="0050408C"/>
    <w:pPr>
      <w:widowControl w:val="0"/>
      <w:autoSpaceDE w:val="0"/>
      <w:autoSpaceDN w:val="0"/>
      <w:adjustRightInd w:val="0"/>
      <w:jc w:val="right"/>
    </w:pPr>
    <w:rPr>
      <w:rFonts w:cs="Arial"/>
      <w:szCs w:val="18"/>
    </w:rPr>
  </w:style>
  <w:style w:type="paragraph" w:customStyle="1" w:styleId="CopyrightText">
    <w:name w:val="Copyright Text"/>
    <w:basedOn w:val="BodyText"/>
    <w:rsid w:val="0050408C"/>
    <w:rPr>
      <w:sz w:val="18"/>
    </w:rPr>
  </w:style>
  <w:style w:type="paragraph" w:customStyle="1" w:styleId="BodySmallRight">
    <w:name w:val="Body Small Right"/>
    <w:basedOn w:val="BodyTextRight"/>
    <w:rsid w:val="0050408C"/>
    <w:rPr>
      <w:sz w:val="18"/>
      <w:szCs w:val="18"/>
    </w:rPr>
  </w:style>
  <w:style w:type="paragraph" w:customStyle="1" w:styleId="MarginEdition">
    <w:name w:val="Margin Edition"/>
    <w:basedOn w:val="MarginNote"/>
    <w:rsid w:val="0050408C"/>
    <w:pPr>
      <w:spacing w:before="0" w:after="0"/>
    </w:pPr>
    <w:rPr>
      <w:rFonts w:ascii="Times New Roman" w:hAnsi="Times New Roman"/>
      <w:color w:val="999999"/>
    </w:rPr>
  </w:style>
  <w:style w:type="paragraph" w:customStyle="1" w:styleId="Spacer">
    <w:name w:val="Spacer"/>
    <w:basedOn w:val="Normal"/>
    <w:rsid w:val="0050408C"/>
    <w:rPr>
      <w:sz w:val="2"/>
      <w:szCs w:val="2"/>
    </w:rPr>
  </w:style>
  <w:style w:type="character" w:customStyle="1" w:styleId="Small">
    <w:name w:val="Small"/>
    <w:basedOn w:val="DefaultParagraphFont"/>
    <w:rsid w:val="0050408C"/>
    <w:rPr>
      <w:sz w:val="16"/>
    </w:rPr>
  </w:style>
  <w:style w:type="paragraph" w:customStyle="1" w:styleId="WideTable">
    <w:name w:val="Wide Table"/>
    <w:basedOn w:val="Normal"/>
    <w:rsid w:val="0050408C"/>
    <w:pPr>
      <w:ind w:left="-1418"/>
    </w:pPr>
    <w:rPr>
      <w:sz w:val="2"/>
      <w:szCs w:val="2"/>
    </w:rPr>
  </w:style>
  <w:style w:type="character" w:styleId="PageNumber">
    <w:name w:val="page number"/>
    <w:basedOn w:val="DefaultParagraphFont"/>
    <w:rsid w:val="0050408C"/>
  </w:style>
  <w:style w:type="paragraph" w:styleId="Quote">
    <w:name w:val="Quote"/>
    <w:basedOn w:val="Heading1"/>
    <w:link w:val="QuoteChar"/>
    <w:qFormat/>
    <w:rsid w:val="0050408C"/>
    <w:rPr>
      <w:b w:val="0"/>
      <w:sz w:val="72"/>
      <w:szCs w:val="72"/>
      <w:lang w:val="en-NZ"/>
    </w:rPr>
  </w:style>
  <w:style w:type="character" w:customStyle="1" w:styleId="QuoteChar">
    <w:name w:val="Quote Char"/>
    <w:basedOn w:val="DefaultParagraphFont"/>
    <w:link w:val="Quote"/>
    <w:rsid w:val="005040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08C"/>
    <w:pPr>
      <w:pageBreakBefore/>
    </w:pPr>
  </w:style>
  <w:style w:type="paragraph" w:customStyle="1" w:styleId="Border">
    <w:name w:val="Border"/>
    <w:basedOn w:val="Normal"/>
    <w:qFormat/>
    <w:rsid w:val="005040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08C"/>
    <w:rPr>
      <w:b/>
      <w:bCs/>
      <w:i/>
      <w:iCs/>
      <w:color w:val="auto"/>
    </w:rPr>
  </w:style>
  <w:style w:type="paragraph" w:styleId="IntenseQuote">
    <w:name w:val="Intense Quote"/>
    <w:basedOn w:val="Normal"/>
    <w:next w:val="Normal"/>
    <w:link w:val="IntenseQuoteChar"/>
    <w:uiPriority w:val="30"/>
    <w:qFormat/>
    <w:rsid w:val="005040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0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408C"/>
    <w:rPr>
      <w:smallCaps/>
      <w:color w:val="auto"/>
      <w:u w:val="single"/>
    </w:rPr>
  </w:style>
  <w:style w:type="character" w:styleId="IntenseReference">
    <w:name w:val="Intense Reference"/>
    <w:basedOn w:val="DefaultParagraphFont"/>
    <w:uiPriority w:val="32"/>
    <w:qFormat/>
    <w:rsid w:val="0050408C"/>
    <w:rPr>
      <w:b/>
      <w:bCs/>
      <w:smallCaps/>
      <w:color w:val="auto"/>
      <w:spacing w:val="5"/>
      <w:u w:val="single"/>
    </w:rPr>
  </w:style>
  <w:style w:type="paragraph" w:customStyle="1" w:styleId="2ColumnHeading">
    <w:name w:val="2Column Heading"/>
    <w:basedOn w:val="BodyText"/>
    <w:qFormat/>
    <w:rsid w:val="0050408C"/>
    <w:pPr>
      <w:spacing w:after="60"/>
      <w:ind w:left="-2268"/>
    </w:pPr>
    <w:rPr>
      <w:b/>
    </w:rPr>
  </w:style>
  <w:style w:type="paragraph" w:customStyle="1" w:styleId="Heading1TOC">
    <w:name w:val="Heading1 TOC"/>
    <w:basedOn w:val="Normal"/>
    <w:qFormat/>
    <w:rsid w:val="0050408C"/>
    <w:pPr>
      <w:spacing w:before="240" w:after="120"/>
    </w:pPr>
    <w:rPr>
      <w:rFonts w:ascii="Times New Roman" w:hAnsi="Times New Roman"/>
      <w:b/>
      <w:sz w:val="32"/>
    </w:rPr>
  </w:style>
  <w:style w:type="paragraph" w:customStyle="1" w:styleId="Heading2TOC">
    <w:name w:val="Heading2 TOC"/>
    <w:basedOn w:val="Normal"/>
    <w:qFormat/>
    <w:rsid w:val="0050408C"/>
    <w:pPr>
      <w:spacing w:before="240" w:after="60"/>
    </w:pPr>
    <w:rPr>
      <w:rFonts w:ascii="Times New Roman" w:hAnsi="Times New Roman"/>
      <w:b/>
      <w:sz w:val="28"/>
    </w:rPr>
  </w:style>
  <w:style w:type="character" w:customStyle="1" w:styleId="Underline">
    <w:name w:val="Underline"/>
    <w:basedOn w:val="DefaultParagraphFont"/>
    <w:qFormat/>
    <w:rsid w:val="0050408C"/>
    <w:rPr>
      <w:u w:val="single"/>
    </w:rPr>
  </w:style>
  <w:style w:type="character" w:customStyle="1" w:styleId="BoldandItalics">
    <w:name w:val="Bold and Italics"/>
    <w:qFormat/>
    <w:rsid w:val="0050408C"/>
    <w:rPr>
      <w:b/>
      <w:i/>
      <w:u w:val="none"/>
    </w:rPr>
  </w:style>
  <w:style w:type="paragraph" w:styleId="BalloonText">
    <w:name w:val="Balloon Text"/>
    <w:basedOn w:val="Normal"/>
    <w:link w:val="BalloonTextChar"/>
    <w:rsid w:val="0050408C"/>
    <w:rPr>
      <w:rFonts w:ascii="Tahoma" w:hAnsi="Tahoma" w:cs="Tahoma"/>
      <w:sz w:val="16"/>
      <w:szCs w:val="16"/>
    </w:rPr>
  </w:style>
  <w:style w:type="character" w:customStyle="1" w:styleId="BalloonTextChar">
    <w:name w:val="Balloon Text Char"/>
    <w:basedOn w:val="DefaultParagraphFont"/>
    <w:link w:val="BalloonText"/>
    <w:rsid w:val="005040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40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40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408C"/>
    <w:rPr>
      <w:b/>
      <w:color w:val="660033"/>
      <w:spacing w:val="0"/>
    </w:rPr>
  </w:style>
  <w:style w:type="paragraph" w:customStyle="1" w:styleId="Nameditemlist">
    <w:name w:val="Named item list"/>
    <w:basedOn w:val="BodyText"/>
    <w:qFormat/>
    <w:rsid w:val="005040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1195</Words>
  <Characters>7222</Characters>
  <Application>Microsoft Office Word</Application>
  <DocSecurity>0</DocSecurity>
  <Lines>265</Lines>
  <Paragraphs>124</Paragraphs>
  <ScaleCrop>false</ScaleCrop>
  <Company>Author-it Software Corporation Ltd.</Company>
  <LinksUpToDate>false</LinksUpToDate>
  <CharactersWithSpaces>8318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MEA397A Test aircraft piston engines after repair or overhaul</dc:title>
  <dc:subject>Approved</dc:subject>
  <dc:creator>Manufacturing Skills Australia</dc:creator>
  <cp:keywords>Release 1</cp:keywords>
  <dc:description>Review Date: 12 April 2008</dc:description>
  <cp:lastModifiedBy>TPCMS</cp:lastModifiedBy>
  <cp:revision>3</cp:revision>
  <dcterms:created xsi:type="dcterms:W3CDTF">2013-08-22T16:40:00Z</dcterms:created>
  <dcterms:modified xsi:type="dcterms:W3CDTF">2013-08-22T16:40:00Z</dcterms:modified>
</cp:coreProperties>
</file>