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E01" w:rsidP="00364E01">
      <w:pPr>
        <w:pStyle w:val="Title"/>
      </w:pPr>
      <w:r>
        <w:fldChar w:fldCharType="begin"/>
      </w:r>
      <w:r>
        <w:instrText xml:space="preserve"> TITLE   \* MERGEFORMAT </w:instrText>
      </w:r>
      <w:r>
        <w:fldChar w:fldCharType="separate"/>
      </w:r>
      <w:r>
        <w:t>MEA396A Assemble aircraft piston engine quick engine change unit</w:t>
      </w:r>
      <w:r>
        <w:fldChar w:fldCharType="end"/>
      </w:r>
    </w:p>
    <w:p w:rsidR="00364E01" w:rsidP="00364E01">
      <w:pPr>
        <w:pStyle w:val="Version"/>
        <w:sectPr w:rsidSect="00071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DDA" w:rsidP="00071DDA">
      <w:pPr>
        <w:pStyle w:val="SuperHeading"/>
      </w:pPr>
      <w:r w:rsidRPr="00071DDA">
        <w:t>MEA396A Assemble aircraft piston engine quick engine change unit</w:t>
      </w:r>
    </w:p>
    <w:p w:rsidR="00000000" w:rsidRPr="00071DDA" w:rsidP="00071DDA">
      <w:pPr>
        <w:pStyle w:val="Heading1"/>
      </w:pPr>
      <w:bookmarkStart w:id="1" w:name="O_592144"/>
      <w:bookmarkEnd w:id="1"/>
      <w:r w:rsidRPr="00071DDA">
        <w:t>Modification History</w:t>
      </w:r>
    </w:p>
    <w:p w:rsidR="00000000" w:rsidRPr="00071DDA" w:rsidP="00071DDA">
      <w:pPr>
        <w:pStyle w:val="BodyText"/>
      </w:pPr>
      <w:r w:rsidRPr="00071DDA">
        <w:t>Release 1 - New unit of competency. Covers components of MEA388A - Not equivalent</w:t>
      </w:r>
    </w:p>
    <w:p w:rsidR="00000000" w:rsidRPr="00071DDA" w:rsidP="00071DDA">
      <w:pPr>
        <w:pStyle w:val="AllowPageBreak"/>
      </w:pPr>
    </w:p>
    <w:p w:rsidR="00000000" w:rsidRPr="00071DDA" w:rsidP="00071DDA">
      <w:pPr>
        <w:pStyle w:val="Heading1"/>
      </w:pPr>
      <w:bookmarkStart w:id="2" w:name="O_592145"/>
      <w:bookmarkEnd w:id="2"/>
      <w:r w:rsidRPr="00071DDA">
        <w:t>Unit Descriptor</w:t>
      </w:r>
    </w:p>
    <w:p w:rsidR="00000000" w:rsidRPr="00071DDA" w:rsidP="00071DDA">
      <w:pPr>
        <w:pStyle w:val="BodyText"/>
      </w:pPr>
      <w:r w:rsidRPr="00071DDA">
        <w:t>This unit of competency is part of the Mechanical Certificate IV (Component Workshop Maintenance Stream) training pathway. It covers the competencies required to assemble aircraft piston engine quick engine change (QEC) units following engine repair and/or</w:t>
      </w:r>
      <w:r w:rsidRPr="00071DDA">
        <w:t xml:space="preserve"> overhaul. The unit is used in workplaces that operate under the airworthiness regulatory systems of the Australian Defence Force (ADF) and the Civil Aviation Safety Authority (CASA).</w:t>
      </w:r>
    </w:p>
    <w:p w:rsidR="00000000" w:rsidRPr="00071DDA" w:rsidP="00071DDA">
      <w:pPr>
        <w:pStyle w:val="AllowPageBreak"/>
      </w:pPr>
    </w:p>
    <w:p w:rsidR="00000000" w:rsidRPr="00071DDA" w:rsidP="00071DDA">
      <w:pPr>
        <w:pStyle w:val="Heading1"/>
      </w:pPr>
      <w:bookmarkStart w:id="3" w:name="O_592146"/>
      <w:bookmarkEnd w:id="3"/>
      <w:r w:rsidRPr="00071DDA">
        <w:t>Application of the Unit</w:t>
      </w:r>
    </w:p>
    <w:p w:rsidR="00000000" w:rsidRPr="00071DDA" w:rsidP="00071DDA">
      <w:pPr>
        <w:pStyle w:val="BodyText"/>
      </w:pPr>
      <w:r w:rsidRPr="00071DDA">
        <w:t xml:space="preserve">This unit requires application </w:t>
      </w:r>
      <w:r w:rsidRPr="00071DDA">
        <w:t>of hand skills, theory knowledge and maintenance publication procedures to assemble aircraft piston engines QEC units.</w:t>
      </w:r>
    </w:p>
    <w:p w:rsidR="00000000" w:rsidRPr="00071DDA" w:rsidP="00071DDA">
      <w:pPr>
        <w:pStyle w:val="BodyText"/>
      </w:pPr>
      <w:r w:rsidRPr="00071DDA">
        <w:t>Applications include fixed and rotary wing aircraft piston engines and components.</w:t>
      </w:r>
    </w:p>
    <w:p w:rsidR="00000000" w:rsidRPr="00071DDA" w:rsidP="00071DDA">
      <w:pPr>
        <w:pStyle w:val="AllowPageBreak"/>
      </w:pPr>
    </w:p>
    <w:p w:rsidR="00000000" w:rsidRPr="00071DDA" w:rsidP="00071DDA">
      <w:pPr>
        <w:pStyle w:val="Heading1"/>
      </w:pPr>
      <w:bookmarkStart w:id="4" w:name="O_592147"/>
      <w:bookmarkEnd w:id="4"/>
      <w:r w:rsidRPr="00071DDA">
        <w:t>Licensing/Regulatory Information</w:t>
      </w:r>
    </w:p>
    <w:p w:rsidR="00000000" w:rsidRPr="00071DDA" w:rsidP="00071DDA">
      <w:pPr>
        <w:pStyle w:val="BodyText"/>
      </w:pPr>
      <w:r w:rsidRPr="00071DDA">
        <w:t xml:space="preserve">Not </w:t>
      </w:r>
      <w:r w:rsidRPr="00071DDA">
        <w:t>applicable.</w:t>
      </w:r>
    </w:p>
    <w:p w:rsidR="00000000" w:rsidRPr="00071DDA" w:rsidP="00071DDA">
      <w:pPr>
        <w:pStyle w:val="AllowPageBreak"/>
      </w:pPr>
    </w:p>
    <w:p w:rsidR="00000000" w:rsidRPr="00071DDA" w:rsidP="00071DDA">
      <w:pPr>
        <w:pStyle w:val="Heading1"/>
      </w:pPr>
      <w:bookmarkStart w:id="5" w:name="O_592148"/>
      <w:bookmarkEnd w:id="5"/>
      <w:r w:rsidRPr="00071DDA">
        <w:t>Pre-Requisites</w:t>
      </w:r>
    </w:p>
    <w:tbl>
      <w:tblPr>
        <w:tblW w:w="0" w:type="auto"/>
        <w:tblLayout w:type="fixed"/>
        <w:tblCellMar>
          <w:left w:w="62" w:type="dxa"/>
          <w:right w:w="62" w:type="dxa"/>
        </w:tblCellMar>
        <w:tblLook w:val="0000"/>
      </w:tblPr>
      <w:tblGrid>
        <w:gridCol w:w="1444"/>
        <w:gridCol w:w="7556"/>
      </w:tblGrid>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MEA101B </w:t>
            </w:r>
          </w:p>
        </w:tc>
        <w:tc>
          <w:tcPr>
            <w:tcW w:w="7556"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Interpret occupational health and safety practices in aviation maintenance</w:t>
            </w:r>
          </w:p>
        </w:tc>
      </w:tr>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MEA103B </w:t>
            </w:r>
          </w:p>
        </w:tc>
        <w:tc>
          <w:tcPr>
            <w:tcW w:w="7556"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Plan and organise aviation maintenance work activity</w:t>
            </w:r>
          </w:p>
        </w:tc>
      </w:tr>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MEA105C </w:t>
            </w:r>
          </w:p>
        </w:tc>
        <w:tc>
          <w:tcPr>
            <w:tcW w:w="7556"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Apply quality standards applicable to aviation maintenance processes</w:t>
            </w:r>
          </w:p>
        </w:tc>
      </w:tr>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MEA107B </w:t>
            </w:r>
          </w:p>
        </w:tc>
        <w:tc>
          <w:tcPr>
            <w:tcW w:w="7556"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Interpret and use aviation maintenance industry manuals and specifications</w:t>
            </w:r>
          </w:p>
        </w:tc>
      </w:tr>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MEA108B </w:t>
            </w:r>
          </w:p>
        </w:tc>
        <w:tc>
          <w:tcPr>
            <w:tcW w:w="7556"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Complete aviation maintenance industry documentation</w:t>
            </w:r>
          </w:p>
        </w:tc>
      </w:tr>
      <w:tr w:rsidTr="00071DD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 xml:space="preserve">MEA109B </w:t>
            </w:r>
          </w:p>
        </w:tc>
        <w:tc>
          <w:tcPr>
            <w:tcW w:w="7556" w:type="dxa"/>
            <w:tcBorders>
              <w:top w:val="nil"/>
              <w:left w:val="nil"/>
              <w:bottom w:val="nil"/>
              <w:right w:val="nil"/>
            </w:tcBorders>
            <w:tcMar>
              <w:top w:w="0" w:type="dxa"/>
              <w:left w:w="62" w:type="dxa"/>
              <w:bottom w:w="0" w:type="dxa"/>
              <w:right w:w="62" w:type="dxa"/>
            </w:tcMar>
          </w:tcPr>
          <w:p w:rsidR="00000000" w:rsidRPr="00071DDA" w:rsidP="00071DDA">
            <w:pPr>
              <w:pStyle w:val="BodyText"/>
            </w:pPr>
            <w:r w:rsidRPr="00071DDA">
              <w:t>Perform basic hand skills, st</w:t>
            </w:r>
            <w:r w:rsidRPr="00071DDA">
              <w:t>andard trade practices and fundamentals in aviation maintenance</w:t>
            </w: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6" w:name="O_592149"/>
      <w:bookmarkEnd w:id="6"/>
      <w:r w:rsidRPr="00071DDA">
        <w:t>Employability Skills Information</w:t>
      </w:r>
    </w:p>
    <w:p w:rsidR="00000000" w:rsidRPr="00071DDA" w:rsidP="00071DDA">
      <w:pPr>
        <w:pStyle w:val="BodyText"/>
      </w:pPr>
      <w:r w:rsidRPr="00071DDA">
        <w:t>This unit contains employability skills</w:t>
      </w:r>
    </w:p>
    <w:p w:rsidR="00000000" w:rsidRPr="00071DDA" w:rsidP="00071DDA">
      <w:pPr>
        <w:pStyle w:val="AllowPageBreak"/>
      </w:pPr>
    </w:p>
    <w:p w:rsidR="00000000" w:rsidRPr="00071DDA" w:rsidP="00071DDA">
      <w:pPr>
        <w:pStyle w:val="Heading1"/>
      </w:pPr>
      <w:bookmarkStart w:id="7" w:name="O_592150"/>
      <w:bookmarkEnd w:id="7"/>
      <w:r w:rsidRPr="00071DDA">
        <w:t>Elements and Performance Criteria Pre-Content</w:t>
      </w:r>
    </w:p>
    <w:tbl>
      <w:tblPr>
        <w:tblW w:w="9354" w:type="dxa"/>
        <w:tblLayout w:type="fixed"/>
        <w:tblCellMar>
          <w:left w:w="62" w:type="dxa"/>
          <w:right w:w="62" w:type="dxa"/>
        </w:tblCellMar>
        <w:tblLook w:val="0000"/>
      </w:tblPr>
      <w:tblGrid>
        <w:gridCol w:w="2592"/>
        <w:gridCol w:w="6762"/>
      </w:tblGrid>
      <w:tr w:rsidTr="00071DDA">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t>Elements describe the essential outco</w:t>
            </w:r>
            <w:r w:rsidRPr="00071DDA">
              <w:t>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r w:rsidRPr="00071DDA">
              <w:t>Performance criteria describe the performance needed to demonstrate achievement of the element. Assessment of performance is to be consistent with the evidence guide.</w:t>
            </w: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8" w:name="O_592151"/>
      <w:bookmarkEnd w:id="8"/>
      <w:r w:rsidRPr="00071DDA">
        <w:t>Elements and Performance Criteria</w:t>
      </w:r>
    </w:p>
    <w:tbl>
      <w:tblPr>
        <w:tblW w:w="9354" w:type="dxa"/>
        <w:tblLayout w:type="fixed"/>
        <w:tblCellMar>
          <w:left w:w="62" w:type="dxa"/>
          <w:right w:w="62" w:type="dxa"/>
        </w:tblCellMar>
        <w:tblLook w:val="0000"/>
      </w:tblPr>
      <w:tblGrid>
        <w:gridCol w:w="601"/>
        <w:gridCol w:w="2729"/>
        <w:gridCol w:w="673"/>
        <w:gridCol w:w="5351"/>
      </w:tblGrid>
      <w:tr w:rsidTr="00071DDA">
        <w:tblPrEx>
          <w:tblW w:w="9354" w:type="dxa"/>
          <w:tblLayout w:type="fixed"/>
          <w:tblCellMar>
            <w:left w:w="62" w:type="dxa"/>
            <w:right w:w="62" w:type="dxa"/>
          </w:tblCellMar>
          <w:tblLook w:val="0000"/>
        </w:tblPrEx>
        <w:trPr>
          <w:trHeight w:val="675"/>
        </w:trPr>
        <w:tc>
          <w:tcPr>
            <w:tcW w:w="60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1</w:t>
            </w:r>
          </w:p>
        </w:tc>
        <w:tc>
          <w:tcPr>
            <w:tcW w:w="2729"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Prepare to assemble piston engine QEC unit</w:t>
            </w: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1.1</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QEC build requirements are correctly interpreted and matched by part and serial numbers</w:t>
            </w:r>
          </w:p>
        </w:tc>
      </w:tr>
      <w:tr w:rsidTr="00071DD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1.2</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Correct QEC components are gathered for assembly and their serviceability state and modification status is confirm</w:t>
            </w:r>
            <w:r w:rsidRPr="00071DDA">
              <w:t>ed in accordance with the relevant maintenance documentation and quality procedures</w:t>
            </w:r>
          </w:p>
        </w:tc>
      </w:tr>
      <w:tr w:rsidTr="00071DD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1.3</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Required hardware and plumbing is obtained and confirmed as approved items</w:t>
            </w:r>
          </w:p>
        </w:tc>
      </w:tr>
      <w:tr w:rsidTr="00071DDA">
        <w:tblPrEx>
          <w:tblW w:w="9354" w:type="dxa"/>
          <w:tblLayout w:type="fixed"/>
          <w:tblCellMar>
            <w:left w:w="62" w:type="dxa"/>
            <w:right w:w="62" w:type="dxa"/>
          </w:tblCellMar>
          <w:tblLook w:val="0000"/>
        </w:tblPrEx>
        <w:trPr>
          <w:trHeight w:val="636"/>
        </w:trPr>
        <w:tc>
          <w:tcPr>
            <w:tcW w:w="60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2</w:t>
            </w:r>
          </w:p>
        </w:tc>
        <w:tc>
          <w:tcPr>
            <w:tcW w:w="2729"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Assemble piston engine QEC unit</w:t>
            </w: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2.1</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Piston engine is prepared for QEC assembly in accordance with maintenance manual and/or enterprise procedures</w:t>
            </w:r>
          </w:p>
        </w:tc>
      </w:tr>
      <w:tr w:rsidTr="00071DDA">
        <w:tblPrEx>
          <w:tblW w:w="9354" w:type="dxa"/>
          <w:tblLayout w:type="fixed"/>
          <w:tblCellMar>
            <w:left w:w="62" w:type="dxa"/>
            <w:right w:w="62" w:type="dxa"/>
          </w:tblCellMar>
          <w:tblLook w:val="0000"/>
        </w:tblPrEx>
        <w:trPr>
          <w:trHeight w:val="633"/>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2.2</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QEC components are assembled to the engine and adjusted in accordance with the maintenance manual and/or enterprise procedures</w:t>
            </w:r>
          </w:p>
        </w:tc>
      </w:tr>
      <w:tr w:rsidTr="00071DD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2.3</w:t>
            </w:r>
          </w:p>
        </w:tc>
        <w:tc>
          <w:tcPr>
            <w:tcW w:w="5351"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QEC unit is assembled and components and linkages are adjusted in accordance with maintenance data requirements</w:t>
            </w:r>
          </w:p>
        </w:tc>
      </w:tr>
      <w:tr w:rsidTr="00071DDA">
        <w:tblPrEx>
          <w:tblW w:w="9354" w:type="dxa"/>
          <w:tblLayout w:type="fixed"/>
          <w:tblCellMar>
            <w:left w:w="62" w:type="dxa"/>
            <w:right w:w="62" w:type="dxa"/>
          </w:tblCellMar>
          <w:tblLook w:val="0000"/>
        </w:tblPrEx>
        <w:trPr>
          <w:trHeight w:val="633"/>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2.4</w:t>
            </w:r>
          </w:p>
        </w:tc>
        <w:tc>
          <w:tcPr>
            <w:tcW w:w="5351" w:type="dxa"/>
            <w:tcBorders>
              <w:top w:val="nil"/>
              <w:left w:val="nil"/>
              <w:bottom w:val="nil"/>
              <w:right w:val="nil"/>
            </w:tcBorders>
            <w:tcMar>
              <w:top w:w="0" w:type="dxa"/>
              <w:left w:w="62" w:type="dxa"/>
              <w:bottom w:w="0" w:type="dxa"/>
              <w:right w:w="62" w:type="dxa"/>
            </w:tcMar>
          </w:tcPr>
          <w:p w:rsidR="00000000" w:rsidRPr="00071DDA" w:rsidP="00071DDA">
            <w:pPr>
              <w:pStyle w:val="BodyText"/>
            </w:pPr>
            <w:r w:rsidRPr="00071DDA">
              <w:t>Where required, QEC unit is prepared for testing</w:t>
            </w: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9" w:name="O_592152"/>
      <w:bookmarkEnd w:id="9"/>
      <w:r w:rsidRPr="00071DDA">
        <w:t>Required Skills and Knowledge</w:t>
      </w:r>
    </w:p>
    <w:tbl>
      <w:tblPr>
        <w:tblW w:w="9354" w:type="dxa"/>
        <w:tblLayout w:type="fixed"/>
        <w:tblCellMar>
          <w:left w:w="62" w:type="dxa"/>
          <w:right w:w="62" w:type="dxa"/>
        </w:tblCellMar>
        <w:tblLook w:val="0000"/>
      </w:tblPr>
      <w:tblGrid>
        <w:gridCol w:w="9354"/>
      </w:tblGrid>
      <w:tr w:rsidTr="00071D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t>This section describes the skills and k</w:t>
            </w:r>
            <w:r w:rsidRPr="00071DDA">
              <w:t>nowledge required for this unit.</w:t>
            </w:r>
          </w:p>
        </w:tc>
      </w:tr>
      <w:tr w:rsidTr="00071D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rPr>
                <w:rStyle w:val="SpecialBold"/>
              </w:rPr>
              <w:t>Required skills</w:t>
            </w:r>
          </w:p>
        </w:tc>
      </w:tr>
      <w:tr w:rsidTr="00071D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71DDA" w:rsidP="00071DDA">
            <w:pPr>
              <w:pStyle w:val="BodyText"/>
            </w:pPr>
            <w:r w:rsidRPr="00071DDA">
              <w:t>Required skills include:</w:t>
            </w:r>
          </w:p>
          <w:p w:rsidR="00000000" w:rsidRPr="00071DDA" w:rsidP="00071DDA">
            <w:pPr>
              <w:pStyle w:val="ListBullet"/>
            </w:pPr>
            <w:r w:rsidRPr="00071DDA">
              <w:t>applying relevant work health and safety (WHS) procedures, including the use of material safety data sheets (MSDS) and personal protective equipment (PPE)</w:t>
            </w:r>
          </w:p>
          <w:p w:rsidR="00000000" w:rsidRPr="00071DDA" w:rsidP="00071DDA">
            <w:pPr>
              <w:pStyle w:val="ListBullet"/>
            </w:pPr>
            <w:r w:rsidRPr="00071DDA">
              <w:t>using relevant maintenance documentation, enterprise procedures, specifications and aircraft/component manuals to:</w:t>
            </w:r>
          </w:p>
          <w:p w:rsidR="00000000" w:rsidRPr="00071DDA" w:rsidP="00071DDA">
            <w:pPr>
              <w:pStyle w:val="ListBullet2"/>
            </w:pPr>
            <w:r w:rsidRPr="00071DDA">
              <w:t>identify the required QEC build level and configuration</w:t>
            </w:r>
          </w:p>
          <w:p w:rsidR="00000000" w:rsidRPr="00071DDA" w:rsidP="00071DDA">
            <w:pPr>
              <w:pStyle w:val="ListBullet2"/>
            </w:pPr>
            <w:r w:rsidRPr="00071DDA">
              <w:t>recognise state of serviceability of the QEC components, hardware and plumbing</w:t>
            </w:r>
          </w:p>
          <w:p w:rsidR="00000000" w:rsidP="00071DDA">
            <w:pPr>
              <w:pStyle w:val="ListBullet2"/>
              <w:rPr>
                <w:lang w:val="en-NZ"/>
              </w:rPr>
            </w:pPr>
            <w:r w:rsidRPr="00071DDA">
              <w:t>assemble the QEC and adjust components and linkages</w:t>
            </w:r>
          </w:p>
        </w:tc>
      </w:tr>
      <w:tr w:rsidTr="00071D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1DDA">
            <w:pPr>
              <w:pStyle w:val="BodyText"/>
              <w:rPr>
                <w:lang w:val="en-NZ"/>
              </w:rPr>
            </w:pPr>
            <w:r w:rsidRPr="00071DDA">
              <w:rPr>
                <w:rStyle w:val="SpecialBold"/>
              </w:rPr>
              <w:t>Required knowledge</w:t>
            </w:r>
          </w:p>
        </w:tc>
      </w:tr>
      <w:tr w:rsidTr="00071DD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71DDA" w:rsidP="00071DDA">
            <w:pPr>
              <w:pStyle w:val="BodyText"/>
            </w:pPr>
            <w:r w:rsidRPr="00071DDA">
              <w:t>Required knowledge includes:</w:t>
            </w:r>
          </w:p>
          <w:p w:rsidR="00000000" w:rsidRPr="00071DDA" w:rsidP="00071DDA">
            <w:pPr>
              <w:pStyle w:val="ListBullet"/>
            </w:pPr>
            <w:r w:rsidRPr="00071DDA">
              <w:t>how to obtain relevant MSDS</w:t>
            </w:r>
          </w:p>
          <w:p w:rsidR="00000000" w:rsidRPr="00071DDA" w:rsidP="00071DDA">
            <w:pPr>
              <w:pStyle w:val="ListBullet"/>
            </w:pPr>
            <w:r w:rsidRPr="00071DDA">
              <w:t>the use of applicable items of PPE</w:t>
            </w:r>
          </w:p>
          <w:p w:rsidR="00000000" w:rsidRPr="00071DDA" w:rsidP="00071DDA">
            <w:pPr>
              <w:pStyle w:val="ListBullet"/>
            </w:pPr>
            <w:r w:rsidRPr="00071DDA">
              <w:t>WHS procedures</w:t>
            </w:r>
          </w:p>
          <w:p w:rsidR="00000000" w:rsidRPr="00071DDA" w:rsidP="00071DDA">
            <w:pPr>
              <w:pStyle w:val="ListBullet"/>
            </w:pPr>
            <w:r w:rsidRPr="00071DDA">
              <w:t>fault diagnosis techniques</w:t>
            </w:r>
          </w:p>
          <w:p w:rsidR="00000000" w:rsidRPr="00071DDA" w:rsidP="00071DDA">
            <w:pPr>
              <w:pStyle w:val="ListBullet"/>
            </w:pPr>
            <w:r w:rsidRPr="00071DDA">
              <w:t>system and component operation</w:t>
            </w:r>
          </w:p>
          <w:p w:rsidR="00000000" w:rsidRPr="00071DDA" w:rsidP="00071DDA">
            <w:pPr>
              <w:pStyle w:val="ListBullet"/>
            </w:pPr>
            <w:r w:rsidRPr="00071DDA">
              <w:t>QEC assembly and component adjustment requirements</w:t>
            </w: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10" w:name="O_592153"/>
      <w:bookmarkEnd w:id="10"/>
      <w:r w:rsidRPr="00071DDA">
        <w:t>Evidence Guide</w:t>
      </w:r>
    </w:p>
    <w:tbl>
      <w:tblPr>
        <w:tblW w:w="9354" w:type="dxa"/>
        <w:tblLayout w:type="fixed"/>
        <w:tblCellMar>
          <w:left w:w="62" w:type="dxa"/>
          <w:right w:w="62" w:type="dxa"/>
        </w:tblCellMar>
        <w:tblLook w:val="0000"/>
      </w:tblPr>
      <w:tblGrid>
        <w:gridCol w:w="3692"/>
        <w:gridCol w:w="5662"/>
      </w:tblGrid>
      <w:tr w:rsidTr="00071DDA">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t>The evidence guide provides advice on assessment and must be read in conjunction with the performance criteria, required skills and knowledge, range statement and the Asse</w:t>
            </w:r>
            <w:r w:rsidRPr="00071DDA">
              <w:t>ssment Guidelines for the Training Package.</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t xml:space="preserve">A person who demonstrates competency in this unit must be able to apply hand skills and component theory knowledge and use maintenance publications </w:t>
            </w:r>
            <w:r w:rsidRPr="00071DDA">
              <w:t>to assemble piston engine QEC units while applying all relevant safety precautions.</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r w:rsidRPr="00071DDA">
              <w:t>Evidence of transferability of skills and knowledge related to repair and over</w:t>
            </w:r>
            <w:r w:rsidRPr="00071DDA">
              <w:t>haul is essential. This may be demonstrated through application across a number of different piston engine QECs. Ability to assess component serviceability and interpret parts requirements will be necessary to supplement the required evidence. Capability t</w:t>
            </w:r>
            <w:r w:rsidRPr="00071DDA">
              <w:t>o interpret inspection procedures and specifications (allowable limits) and apply them in practice is critical. The application of adjustment procedures should also clearly indicate knowledge of system operation. The work plan should take account of applic</w:t>
            </w:r>
            <w:r w:rsidRPr="00071DDA">
              <w:t>able safety and quality requirements in accordance with the industry and regulatory standards.</w:t>
            </w:r>
          </w:p>
          <w:p w:rsidR="00000000" w:rsidP="00071DDA">
            <w:pPr>
              <w:pStyle w:val="BodyText"/>
              <w:rPr>
                <w:lang w:val="en-NZ"/>
              </w:rPr>
            </w:pPr>
            <w:r w:rsidRPr="00071DDA">
              <w:t>A person cannot be assessed as competent until it can be demonstrated to the satisfaction of the workplace assessor that the relevant elements of the unit of com</w:t>
            </w:r>
            <w:r w:rsidRPr="00071DDA">
              <w:t>petency are being achieved under routine supervision on a representative range of the engine types maintained by the enterprise. This shall be established via the records in the Log of Industrial Experience and Achievement or, where appropriate, an equival</w:t>
            </w:r>
            <w:r w:rsidRPr="00071DDA">
              <w:t>ent Industry Evidence Guide.</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t xml:space="preserve">Competency should be assessed in the work environment, or simulated work environment, using tools and equipment specified in maintenance documentation. It is also expected that </w:t>
            </w:r>
            <w:r w:rsidRPr="00071DDA">
              <w:t>general purpose tools and test equipment found in most routine situations would be used where appropriate.</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11" w:name="O_592154"/>
      <w:bookmarkEnd w:id="11"/>
      <w:r w:rsidRPr="00071DDA">
        <w:t>Range Statement</w:t>
      </w:r>
    </w:p>
    <w:tbl>
      <w:tblPr>
        <w:tblW w:w="9354" w:type="dxa"/>
        <w:tblLayout w:type="fixed"/>
        <w:tblCellMar>
          <w:left w:w="62" w:type="dxa"/>
          <w:right w:w="62" w:type="dxa"/>
        </w:tblCellMar>
        <w:tblLook w:val="0000"/>
      </w:tblPr>
      <w:tblGrid>
        <w:gridCol w:w="3692"/>
        <w:gridCol w:w="5662"/>
      </w:tblGrid>
      <w:tr w:rsidTr="00071DDA">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t>The range statement relates to the unit of competency as a whole. It allows for different work environments and situations that may affect performance. Essential operating conditions that may be present with training and assessment (depending on the work s</w:t>
            </w:r>
            <w:r w:rsidRPr="00071DDA">
              <w:t>ituation, needs of the candidate, accessibility of the item, and local industry and regional contexts) may also be included.</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Piston engine QEC unit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r w:rsidRPr="00071DDA">
              <w:t>The build requirements for individual QEC units may include components from the following list:</w:t>
            </w:r>
          </w:p>
          <w:p w:rsidR="00000000" w:rsidRPr="00071DDA" w:rsidP="00071DDA">
            <w:pPr>
              <w:pStyle w:val="ListBullet"/>
            </w:pPr>
            <w:r w:rsidRPr="00071DDA">
              <w:t>engine</w:t>
            </w:r>
          </w:p>
          <w:p w:rsidR="00000000" w:rsidRPr="00071DDA" w:rsidP="00071DDA">
            <w:pPr>
              <w:pStyle w:val="ListBullet"/>
            </w:pPr>
            <w:r w:rsidRPr="00071DDA">
              <w:t>engine mount frame</w:t>
            </w:r>
          </w:p>
          <w:p w:rsidR="00000000" w:rsidRPr="00071DDA" w:rsidP="00071DDA">
            <w:pPr>
              <w:pStyle w:val="ListBullet"/>
            </w:pPr>
            <w:r w:rsidRPr="00071DDA">
              <w:t>external lubrication system components</w:t>
            </w:r>
          </w:p>
          <w:p w:rsidR="00000000" w:rsidRPr="00071DDA" w:rsidP="00071DDA">
            <w:pPr>
              <w:pStyle w:val="ListBullet"/>
            </w:pPr>
            <w:r w:rsidRPr="00071DDA">
              <w:t>baffles</w:t>
            </w:r>
          </w:p>
          <w:p w:rsidR="00000000" w:rsidRPr="00071DDA" w:rsidP="00071DDA">
            <w:pPr>
              <w:pStyle w:val="ListBullet"/>
            </w:pPr>
            <w:r w:rsidRPr="00071DDA">
              <w:t>heat shields</w:t>
            </w:r>
          </w:p>
          <w:p w:rsidR="00000000" w:rsidRPr="00071DDA" w:rsidP="00071DDA">
            <w:pPr>
              <w:pStyle w:val="ListBullet"/>
            </w:pPr>
            <w:r w:rsidRPr="00071DDA">
              <w:t>fuel system plumbing</w:t>
            </w:r>
          </w:p>
          <w:p w:rsidR="00000000" w:rsidRPr="00071DDA" w:rsidP="00071DDA">
            <w:pPr>
              <w:pStyle w:val="ListBullet"/>
            </w:pPr>
            <w:r w:rsidRPr="00071DDA">
              <w:t>pneumatic plumbing</w:t>
            </w:r>
          </w:p>
          <w:p w:rsidR="00000000" w:rsidRPr="00071DDA" w:rsidP="00071DDA">
            <w:pPr>
              <w:pStyle w:val="ListBullet"/>
            </w:pPr>
            <w:r w:rsidRPr="00071DDA">
              <w:t>control linkages</w:t>
            </w:r>
          </w:p>
          <w:p w:rsidR="00000000" w:rsidRPr="00071DDA" w:rsidP="00071DDA">
            <w:pPr>
              <w:pStyle w:val="ListBullet"/>
            </w:pPr>
            <w:r w:rsidRPr="00071DDA">
              <w:t>induction system</w:t>
            </w:r>
          </w:p>
          <w:p w:rsidR="00000000" w:rsidRPr="00071DDA" w:rsidP="00071DDA">
            <w:pPr>
              <w:pStyle w:val="ListBullet"/>
            </w:pPr>
            <w:r w:rsidRPr="00071DDA">
              <w:t>exhaust system components</w:t>
            </w:r>
          </w:p>
          <w:p w:rsidR="00000000" w:rsidRPr="00071DDA" w:rsidP="00071DDA">
            <w:pPr>
              <w:pStyle w:val="ListBullet"/>
            </w:pPr>
            <w:r w:rsidRPr="00071DDA">
              <w:t xml:space="preserve">turbocharger and waste gate </w:t>
            </w:r>
          </w:p>
          <w:p w:rsidR="00000000" w:rsidRPr="00071DDA" w:rsidP="00071DDA">
            <w:pPr>
              <w:pStyle w:val="ListBullet"/>
            </w:pPr>
            <w:r w:rsidRPr="00071DDA">
              <w:t>tachometer generator and wiring</w:t>
            </w:r>
          </w:p>
          <w:p w:rsidR="00000000" w:rsidRPr="00071DDA" w:rsidP="00071DDA">
            <w:pPr>
              <w:pStyle w:val="ListBullet"/>
            </w:pPr>
            <w:r w:rsidRPr="00071DDA">
              <w:t>vacuum pump</w:t>
            </w:r>
          </w:p>
          <w:p w:rsidR="00000000" w:rsidRPr="00071DDA" w:rsidP="00071DDA">
            <w:pPr>
              <w:pStyle w:val="ListBullet"/>
            </w:pPr>
            <w:r w:rsidRPr="00071DDA">
              <w:t xml:space="preserve">air pump </w:t>
            </w:r>
          </w:p>
          <w:p w:rsidR="00000000" w:rsidRPr="00071DDA" w:rsidP="00071DDA">
            <w:pPr>
              <w:pStyle w:val="ListBullet"/>
            </w:pPr>
            <w:r w:rsidRPr="00071DDA">
              <w:t xml:space="preserve">hydraulic pump </w:t>
            </w:r>
          </w:p>
          <w:p w:rsidR="00000000" w:rsidP="00071DDA">
            <w:pPr>
              <w:pStyle w:val="ListBullet"/>
              <w:rPr>
                <w:lang w:val="en-NZ"/>
              </w:rPr>
            </w:pPr>
            <w:r w:rsidRPr="00071DDA">
              <w:t xml:space="preserve">fire warning system </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r w:rsidRPr="00071DDA">
              <w:t>Application of this unit may relate to:</w:t>
            </w:r>
          </w:p>
          <w:p w:rsidR="00000000" w:rsidRPr="00071DDA" w:rsidP="00071DDA">
            <w:pPr>
              <w:pStyle w:val="ListBullet"/>
            </w:pPr>
            <w:r w:rsidRPr="00071DDA">
              <w:t>scheduled or unscheduled maintenance</w:t>
            </w:r>
          </w:p>
          <w:p w:rsidR="00000000" w:rsidRPr="00071DDA" w:rsidP="00071DDA">
            <w:pPr>
              <w:pStyle w:val="ListBullet"/>
            </w:pPr>
            <w:r w:rsidRPr="00071DDA">
              <w:t>individual or team-related activities</w:t>
            </w:r>
          </w:p>
          <w:p w:rsidR="00000000" w:rsidP="00071DDA">
            <w:pPr>
              <w:pStyle w:val="ListBullet"/>
              <w:rPr>
                <w:lang w:val="en-NZ"/>
              </w:rPr>
            </w:pPr>
            <w:r w:rsidRPr="00071DDA">
              <w:t>complex testing and adjusting of components, and where this is undertaken, may be carried out under supervision at the appropriate level</w:t>
            </w:r>
          </w:p>
        </w:tc>
      </w:tr>
      <w:tr w:rsidTr="00071DD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DA">
            <w:pPr>
              <w:pStyle w:val="BodyText"/>
              <w:rPr>
                <w:lang w:val="en-NZ"/>
              </w:rPr>
            </w:pPr>
            <w:r w:rsidRPr="00071DDA">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DA" w:rsidP="00071DDA">
            <w:pPr>
              <w:pStyle w:val="BodyText"/>
            </w:pPr>
            <w:r w:rsidRPr="00071DDA">
              <w:t>Procedures and requirements refer to industry standard procedures specified by manufacture</w:t>
            </w:r>
            <w:r w:rsidRPr="00071DDA">
              <w:t>rs, regulatory authorities or the enterprise</w:t>
            </w:r>
          </w:p>
        </w:tc>
      </w:tr>
    </w:tbl>
    <w:p w:rsidR="00000000" w:rsidRPr="00071DDA" w:rsidP="00071DDA">
      <w:pPr>
        <w:pStyle w:val="BodyText"/>
      </w:pPr>
    </w:p>
    <w:p w:rsidR="00000000" w:rsidRPr="00071DDA" w:rsidP="00071DDA">
      <w:pPr>
        <w:pStyle w:val="AllowPageBreak"/>
      </w:pPr>
    </w:p>
    <w:p w:rsidR="00000000" w:rsidRPr="00071DDA" w:rsidP="00071DDA">
      <w:pPr>
        <w:pStyle w:val="Heading1"/>
      </w:pPr>
      <w:bookmarkStart w:id="12" w:name="O_592155"/>
      <w:bookmarkEnd w:id="12"/>
      <w:r w:rsidRPr="00071DDA">
        <w:t>Unit Sector(s)</w:t>
      </w:r>
    </w:p>
    <w:p w:rsidR="00000000" w:rsidRPr="00071DDA" w:rsidP="00071DDA">
      <w:pPr>
        <w:pStyle w:val="BodyText"/>
      </w:pPr>
      <w:r w:rsidRPr="00071DDA">
        <w:t>Aviation maintenance</w:t>
      </w:r>
    </w:p>
    <w:p w:rsidR="00000000" w:rsidRPr="00071DDA" w:rsidP="00071DDA">
      <w:pPr>
        <w:pStyle w:val="AllowPageBreak"/>
      </w:pPr>
    </w:p>
    <w:p w:rsidR="00000000" w:rsidRPr="00071DDA" w:rsidP="00071DDA">
      <w:pPr>
        <w:pStyle w:val="Heading1"/>
      </w:pPr>
      <w:bookmarkStart w:id="13" w:name="O_592156"/>
      <w:bookmarkEnd w:id="13"/>
      <w:r w:rsidRPr="00071DDA">
        <w:t>Custom Content Section</w:t>
      </w:r>
    </w:p>
    <w:p w:rsidR="00000000" w:rsidRPr="00071DDA" w:rsidP="00071DDA">
      <w:pPr>
        <w:pStyle w:val="BodyText"/>
      </w:pPr>
      <w:r w:rsidRPr="00071DDA">
        <w:t>Not applicable.</w:t>
      </w:r>
    </w:p>
    <w:p w:rsidR="00000000" w:rsidRPr="00071DDA" w:rsidP="00071DDA"/>
    <w:sectPr w:rsidSect="00071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rsidRPr="00364E01" w:rsidP="00364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01" w:rsidP="00071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4E01" w:rsidP="00071D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4E01" w:rsidP="00071D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rsidRPr="00364E01" w:rsidP="00364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01" w:rsidRPr="002D2AF8" w:rsidP="00071DDA">
    <w:pPr>
      <w:pStyle w:val="Header"/>
      <w:framePr w:wrap="around"/>
    </w:pPr>
    <w:r>
      <w:fldChar w:fldCharType="begin"/>
    </w:r>
    <w:r>
      <w:instrText xml:space="preserve"> TITLE   \* MERGEFORMAT </w:instrText>
    </w:r>
    <w:r>
      <w:fldChar w:fldCharType="separate"/>
    </w:r>
    <w:r>
      <w:t>MEA396A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364E01" w:rsidP="00071D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65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47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A1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D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DDA"/>
    <w:pPr>
      <w:spacing w:before="360" w:after="60"/>
      <w:outlineLvl w:val="0"/>
    </w:pPr>
    <w:rPr>
      <w:sz w:val="32"/>
    </w:rPr>
  </w:style>
  <w:style w:type="paragraph" w:styleId="Heading2">
    <w:name w:val="heading 2"/>
    <w:basedOn w:val="HeadingBase"/>
    <w:next w:val="BodyText"/>
    <w:link w:val="Heading2Char"/>
    <w:qFormat/>
    <w:rsid w:val="00071DDA"/>
    <w:pPr>
      <w:keepLines/>
      <w:spacing w:before="240" w:after="120"/>
      <w:outlineLvl w:val="1"/>
    </w:pPr>
    <w:rPr>
      <w:sz w:val="28"/>
      <w:szCs w:val="40"/>
    </w:rPr>
  </w:style>
  <w:style w:type="paragraph" w:styleId="Heading3">
    <w:name w:val="heading 3"/>
    <w:basedOn w:val="HeadingBase"/>
    <w:next w:val="BodyText"/>
    <w:link w:val="Heading3Char"/>
    <w:qFormat/>
    <w:rsid w:val="00071DDA"/>
    <w:pPr>
      <w:spacing w:before="180" w:after="120"/>
      <w:outlineLvl w:val="2"/>
    </w:pPr>
    <w:rPr>
      <w:spacing w:val="-10"/>
      <w:kern w:val="32"/>
    </w:rPr>
  </w:style>
  <w:style w:type="paragraph" w:styleId="Heading4">
    <w:name w:val="heading 4"/>
    <w:basedOn w:val="HeadingBase"/>
    <w:next w:val="BodyText"/>
    <w:link w:val="Heading4Char"/>
    <w:qFormat/>
    <w:rsid w:val="00071DDA"/>
    <w:pPr>
      <w:spacing w:before="160" w:after="120"/>
      <w:outlineLvl w:val="3"/>
    </w:pPr>
    <w:rPr>
      <w:sz w:val="22"/>
    </w:rPr>
  </w:style>
  <w:style w:type="paragraph" w:styleId="Heading5">
    <w:name w:val="heading 5"/>
    <w:basedOn w:val="HeadingBase"/>
    <w:next w:val="Normal"/>
    <w:link w:val="Heading5Char"/>
    <w:qFormat/>
    <w:rsid w:val="00071DDA"/>
    <w:pPr>
      <w:spacing w:before="80"/>
      <w:outlineLvl w:val="4"/>
    </w:pPr>
    <w:rPr>
      <w:color w:val="918585"/>
      <w:sz w:val="20"/>
    </w:rPr>
  </w:style>
  <w:style w:type="paragraph" w:styleId="Heading6">
    <w:name w:val="heading 6"/>
    <w:basedOn w:val="HeadingBase"/>
    <w:next w:val="Normal"/>
    <w:link w:val="Heading6Char"/>
    <w:qFormat/>
    <w:rsid w:val="00071DDA"/>
    <w:pPr>
      <w:spacing w:before="60"/>
      <w:outlineLvl w:val="5"/>
    </w:pPr>
    <w:rPr>
      <w:color w:val="918585"/>
      <w:sz w:val="20"/>
    </w:rPr>
  </w:style>
  <w:style w:type="paragraph" w:styleId="Heading7">
    <w:name w:val="heading 7"/>
    <w:basedOn w:val="Normal"/>
    <w:next w:val="Normal"/>
    <w:link w:val="Heading7Char"/>
    <w:qFormat/>
    <w:rsid w:val="00071DDA"/>
    <w:pPr>
      <w:ind w:left="720"/>
      <w:outlineLvl w:val="6"/>
    </w:pPr>
    <w:rPr>
      <w:i/>
    </w:rPr>
  </w:style>
  <w:style w:type="paragraph" w:styleId="Heading8">
    <w:name w:val="heading 8"/>
    <w:basedOn w:val="Normal"/>
    <w:next w:val="Normal"/>
    <w:link w:val="Heading8Char"/>
    <w:qFormat/>
    <w:rsid w:val="00071DDA"/>
    <w:pPr>
      <w:ind w:left="720"/>
      <w:outlineLvl w:val="7"/>
    </w:pPr>
    <w:rPr>
      <w:i/>
    </w:rPr>
  </w:style>
  <w:style w:type="paragraph" w:styleId="Heading9">
    <w:name w:val="heading 9"/>
    <w:basedOn w:val="Normal"/>
    <w:next w:val="Normal"/>
    <w:link w:val="Heading9Char"/>
    <w:qFormat/>
    <w:rsid w:val="00071DDA"/>
    <w:pPr>
      <w:ind w:left="720"/>
      <w:outlineLvl w:val="8"/>
    </w:pPr>
    <w:rPr>
      <w:i/>
    </w:rPr>
  </w:style>
  <w:style w:type="character" w:default="1" w:styleId="DefaultParagraphFont">
    <w:name w:val="Default Paragraph Font"/>
    <w:uiPriority w:val="1"/>
    <w:unhideWhenUsed/>
    <w:rsid w:val="00071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DDA"/>
  </w:style>
  <w:style w:type="character" w:customStyle="1" w:styleId="Heading1Char">
    <w:name w:val="Heading 1 Char"/>
    <w:basedOn w:val="DefaultParagraphFont"/>
    <w:link w:val="Heading1"/>
    <w:rsid w:val="00071DDA"/>
    <w:rPr>
      <w:rFonts w:ascii="Times New Roman" w:eastAsia="Times New Roman" w:hAnsi="Times New Roman" w:cs="Times New Roman"/>
      <w:b/>
      <w:sz w:val="32"/>
      <w:szCs w:val="20"/>
      <w:lang w:eastAsia="en-US"/>
    </w:rPr>
  </w:style>
  <w:style w:type="paragraph" w:styleId="BodyText">
    <w:name w:val="Body Text"/>
    <w:basedOn w:val="Normal"/>
    <w:link w:val="BodyTextChar"/>
    <w:rsid w:val="00071D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DDA"/>
    <w:rPr>
      <w:rFonts w:ascii="Times New Roman" w:eastAsia="Times New Roman" w:hAnsi="Times New Roman" w:cs="Times New Roman"/>
      <w:sz w:val="24"/>
      <w:lang w:eastAsia="en-US"/>
    </w:rPr>
  </w:style>
  <w:style w:type="paragraph" w:styleId="ListBullet">
    <w:name w:val="List Bullet"/>
    <w:basedOn w:val="List"/>
    <w:rsid w:val="00071DDA"/>
    <w:pPr>
      <w:numPr>
        <w:numId w:val="13"/>
      </w:numPr>
      <w:tabs>
        <w:tab w:val="clear" w:pos="340"/>
      </w:tabs>
      <w:spacing w:before="40" w:after="40"/>
    </w:pPr>
  </w:style>
  <w:style w:type="character" w:customStyle="1" w:styleId="SpecialBold">
    <w:name w:val="Special Bold"/>
    <w:basedOn w:val="DefaultParagraphFont"/>
    <w:rsid w:val="00071DDA"/>
    <w:rPr>
      <w:b/>
      <w:spacing w:val="0"/>
    </w:rPr>
  </w:style>
  <w:style w:type="paragraph" w:styleId="ListBullet2">
    <w:name w:val="List Bullet 2"/>
    <w:basedOn w:val="List2"/>
    <w:rsid w:val="00071DDA"/>
    <w:pPr>
      <w:numPr>
        <w:numId w:val="14"/>
      </w:numPr>
      <w:tabs>
        <w:tab w:val="clear" w:pos="680"/>
      </w:tabs>
    </w:pPr>
  </w:style>
  <w:style w:type="paragraph" w:customStyle="1" w:styleId="SuperHeading">
    <w:name w:val="SuperHeading"/>
    <w:basedOn w:val="Normal"/>
    <w:rsid w:val="00071DDA"/>
    <w:pPr>
      <w:spacing w:before="240" w:after="120"/>
      <w:outlineLvl w:val="0"/>
    </w:pPr>
    <w:rPr>
      <w:rFonts w:ascii="Times New Roman" w:hAnsi="Times New Roman"/>
      <w:b/>
      <w:sz w:val="32"/>
    </w:rPr>
  </w:style>
  <w:style w:type="paragraph" w:customStyle="1" w:styleId="AllowPageBreak">
    <w:name w:val="AllowPageBreak"/>
    <w:rsid w:val="00071D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D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D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DDA"/>
    <w:rPr>
      <w:rFonts w:ascii="Courier New" w:eastAsia="Times New Roman" w:hAnsi="Courier New" w:cs="Times New Roman"/>
      <w:i/>
      <w:szCs w:val="20"/>
      <w:lang w:eastAsia="en-US"/>
    </w:rPr>
  </w:style>
  <w:style w:type="paragraph" w:customStyle="1" w:styleId="HeadingBase">
    <w:name w:val="Heading Base"/>
    <w:rsid w:val="00071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DDA"/>
    <w:pPr>
      <w:tabs>
        <w:tab w:val="right" w:leader="dot" w:pos="9072"/>
      </w:tabs>
      <w:ind w:left="567"/>
    </w:pPr>
    <w:rPr>
      <w:szCs w:val="22"/>
    </w:rPr>
  </w:style>
  <w:style w:type="paragraph" w:customStyle="1" w:styleId="TOCBase">
    <w:name w:val="TOC Base"/>
    <w:rsid w:val="00071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DDA"/>
    <w:pPr>
      <w:tabs>
        <w:tab w:val="right" w:leader="dot" w:pos="9072"/>
      </w:tabs>
      <w:spacing w:before="40" w:after="40"/>
      <w:ind w:left="284"/>
    </w:pPr>
    <w:rPr>
      <w:rFonts w:ascii="Times New Roman" w:hAnsi="Times New Roman"/>
    </w:rPr>
  </w:style>
  <w:style w:type="paragraph" w:styleId="TOC1">
    <w:name w:val="toc 1"/>
    <w:basedOn w:val="TOCBase"/>
    <w:next w:val="Normal"/>
    <w:rsid w:val="00071D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DDA"/>
    <w:rPr>
      <w:rFonts w:ascii="Times New Roman" w:eastAsia="Times New Roman" w:hAnsi="Times New Roman" w:cs="Times New Roman"/>
      <w:sz w:val="16"/>
      <w:lang w:eastAsia="en-US"/>
    </w:rPr>
  </w:style>
  <w:style w:type="paragraph" w:styleId="Title">
    <w:name w:val="Title"/>
    <w:basedOn w:val="HeadingBase"/>
    <w:link w:val="TitleChar"/>
    <w:qFormat/>
    <w:rsid w:val="00071DDA"/>
    <w:pPr>
      <w:spacing w:before="5040"/>
      <w:jc w:val="center"/>
    </w:pPr>
    <w:rPr>
      <w:sz w:val="48"/>
      <w:szCs w:val="72"/>
      <w:lang w:val="en-US"/>
    </w:rPr>
  </w:style>
  <w:style w:type="character" w:customStyle="1" w:styleId="TitleChar">
    <w:name w:val="Title Char"/>
    <w:basedOn w:val="DefaultParagraphFont"/>
    <w:link w:val="Title"/>
    <w:rsid w:val="00071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DDA"/>
    <w:pPr>
      <w:tabs>
        <w:tab w:val="left" w:pos="3600"/>
        <w:tab w:val="left" w:pos="3958"/>
      </w:tabs>
    </w:pPr>
  </w:style>
  <w:style w:type="paragraph" w:styleId="List">
    <w:name w:val="List"/>
    <w:basedOn w:val="BodyText"/>
    <w:next w:val="BodyText"/>
    <w:rsid w:val="00071DDA"/>
    <w:pPr>
      <w:tabs>
        <w:tab w:val="left" w:pos="340"/>
      </w:tabs>
      <w:spacing w:before="60" w:after="60"/>
      <w:ind w:left="340" w:hanging="340"/>
    </w:pPr>
  </w:style>
  <w:style w:type="paragraph" w:customStyle="1" w:styleId="Note">
    <w:name w:val="Note"/>
    <w:basedOn w:val="BodyText"/>
    <w:rsid w:val="00071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DDA"/>
    <w:pPr>
      <w:framePr w:wrap="auto" w:hAnchor="text" w:y="6049"/>
    </w:pPr>
    <w:rPr>
      <w:color w:val="000000"/>
      <w:sz w:val="40"/>
    </w:rPr>
  </w:style>
  <w:style w:type="paragraph" w:customStyle="1" w:styleId="TOCTitle">
    <w:name w:val="TOCTitle"/>
    <w:basedOn w:val="Heading1"/>
    <w:rsid w:val="00071DDA"/>
    <w:pPr>
      <w:spacing w:after="240"/>
      <w:jc w:val="center"/>
      <w:outlineLvl w:val="9"/>
    </w:pPr>
    <w:rPr>
      <w:caps/>
    </w:rPr>
  </w:style>
  <w:style w:type="paragraph" w:customStyle="1" w:styleId="Version">
    <w:name w:val="Version"/>
    <w:rsid w:val="00071D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DDA"/>
    <w:pPr>
      <w:keepNext w:val="0"/>
      <w:tabs>
        <w:tab w:val="right" w:pos="4176"/>
      </w:tabs>
      <w:ind w:left="198" w:hanging="198"/>
    </w:pPr>
    <w:rPr>
      <w:rFonts w:ascii="Garamond" w:hAnsi="Garamond"/>
    </w:rPr>
  </w:style>
  <w:style w:type="paragraph" w:styleId="IndexHeading">
    <w:name w:val="index heading"/>
    <w:basedOn w:val="Normal"/>
    <w:next w:val="Index1"/>
    <w:semiHidden/>
    <w:rsid w:val="00071DDA"/>
    <w:pPr>
      <w:spacing w:before="120" w:after="120"/>
    </w:pPr>
    <w:rPr>
      <w:rFonts w:ascii="Arial" w:hAnsi="Arial"/>
      <w:b/>
      <w:color w:val="918585"/>
      <w:sz w:val="24"/>
    </w:rPr>
  </w:style>
  <w:style w:type="paragraph" w:styleId="Header">
    <w:name w:val="header"/>
    <w:basedOn w:val="Normal"/>
    <w:link w:val="HeaderChar"/>
    <w:rsid w:val="00071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DDA"/>
    <w:rPr>
      <w:rFonts w:ascii="Times New Roman" w:eastAsia="Times New Roman" w:hAnsi="Times New Roman" w:cs="Times New Roman"/>
      <w:sz w:val="16"/>
      <w:szCs w:val="20"/>
      <w:lang w:val="en-GB" w:eastAsia="en-US"/>
    </w:rPr>
  </w:style>
  <w:style w:type="paragraph" w:customStyle="1" w:styleId="Chapter">
    <w:name w:val="Chapter"/>
    <w:basedOn w:val="Normal"/>
    <w:rsid w:val="00071DDA"/>
    <w:pPr>
      <w:spacing w:before="240"/>
    </w:pPr>
    <w:rPr>
      <w:rFonts w:ascii="Times New Roman" w:hAnsi="Times New Roman"/>
      <w:smallCaps/>
      <w:spacing w:val="80"/>
      <w:sz w:val="28"/>
    </w:rPr>
  </w:style>
  <w:style w:type="paragraph" w:customStyle="1" w:styleId="InChapter">
    <w:name w:val="InChapter"/>
    <w:basedOn w:val="Heading3"/>
    <w:rsid w:val="00071DDA"/>
    <w:pPr>
      <w:spacing w:after="240"/>
      <w:outlineLvl w:val="9"/>
    </w:pPr>
    <w:rPr>
      <w:noProof/>
    </w:rPr>
  </w:style>
  <w:style w:type="paragraph" w:styleId="Index2">
    <w:name w:val="index 2"/>
    <w:basedOn w:val="Normal"/>
    <w:next w:val="Normal"/>
    <w:semiHidden/>
    <w:rsid w:val="00071DDA"/>
    <w:pPr>
      <w:tabs>
        <w:tab w:val="right" w:pos="4176"/>
      </w:tabs>
      <w:ind w:left="568" w:hanging="284"/>
    </w:pPr>
    <w:rPr>
      <w:rFonts w:ascii="Garamond" w:hAnsi="Garamond"/>
    </w:rPr>
  </w:style>
  <w:style w:type="paragraph" w:customStyle="1" w:styleId="Byline">
    <w:name w:val="Byline"/>
    <w:rsid w:val="00071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DDA"/>
    <w:pPr>
      <w:tabs>
        <w:tab w:val="clear" w:pos="3600"/>
        <w:tab w:val="clear" w:pos="3958"/>
      </w:tabs>
      <w:jc w:val="right"/>
    </w:pPr>
  </w:style>
  <w:style w:type="character" w:styleId="Emphasis">
    <w:name w:val="Emphasis"/>
    <w:basedOn w:val="DefaultParagraphFont"/>
    <w:qFormat/>
    <w:rsid w:val="00071DDA"/>
    <w:rPr>
      <w:i/>
    </w:rPr>
  </w:style>
  <w:style w:type="paragraph" w:styleId="Caption">
    <w:name w:val="caption"/>
    <w:basedOn w:val="BodyText"/>
    <w:next w:val="Normal"/>
    <w:qFormat/>
    <w:rsid w:val="00071DDA"/>
    <w:pPr>
      <w:framePr w:w="2268" w:hSpace="181" w:vSpace="181" w:wrap="around" w:vAnchor="text" w:hAnchor="page" w:x="1135" w:y="285" w:anchorLock="1"/>
    </w:pPr>
    <w:rPr>
      <w:i/>
    </w:rPr>
  </w:style>
  <w:style w:type="paragraph" w:customStyle="1" w:styleId="MiniTOCTitle">
    <w:name w:val="MiniTOCTitle"/>
    <w:basedOn w:val="Heading4"/>
    <w:rsid w:val="00071DDA"/>
    <w:pPr>
      <w:spacing w:before="240"/>
      <w:outlineLvl w:val="9"/>
    </w:pPr>
    <w:rPr>
      <w:noProof/>
      <w:sz w:val="24"/>
    </w:rPr>
  </w:style>
  <w:style w:type="paragraph" w:customStyle="1" w:styleId="MiniTOCItem">
    <w:name w:val="MiniTOCItem"/>
    <w:basedOn w:val="ListBullet"/>
    <w:rsid w:val="00071DDA"/>
    <w:pPr>
      <w:numPr>
        <w:numId w:val="0"/>
      </w:numPr>
      <w:tabs>
        <w:tab w:val="right" w:leader="dot" w:pos="6521"/>
      </w:tabs>
      <w:spacing w:before="0" w:after="0"/>
    </w:pPr>
  </w:style>
  <w:style w:type="paragraph" w:customStyle="1" w:styleId="TOFTitle">
    <w:name w:val="TOFTitle"/>
    <w:basedOn w:val="TOCTitle"/>
    <w:rsid w:val="00071DDA"/>
  </w:style>
  <w:style w:type="paragraph" w:styleId="TableofFigures">
    <w:name w:val="table of figures"/>
    <w:basedOn w:val="Normal"/>
    <w:next w:val="Normal"/>
    <w:semiHidden/>
    <w:rsid w:val="00071DDA"/>
    <w:pPr>
      <w:tabs>
        <w:tab w:val="right" w:leader="dot" w:pos="9072"/>
      </w:tabs>
      <w:ind w:left="970" w:hanging="403"/>
    </w:pPr>
    <w:rPr>
      <w:rFonts w:ascii="Times New Roman" w:hAnsi="Times New Roman"/>
      <w:b/>
    </w:rPr>
  </w:style>
  <w:style w:type="paragraph" w:styleId="ListNumber">
    <w:name w:val="List Number"/>
    <w:basedOn w:val="List"/>
    <w:rsid w:val="00071DDA"/>
    <w:pPr>
      <w:numPr>
        <w:numId w:val="11"/>
      </w:numPr>
    </w:pPr>
  </w:style>
  <w:style w:type="character" w:customStyle="1" w:styleId="WingdingSymbols">
    <w:name w:val="Wingding Symbols"/>
    <w:rsid w:val="00071DDA"/>
    <w:rPr>
      <w:rFonts w:ascii="Wingdings" w:hAnsi="Wingdings"/>
    </w:rPr>
  </w:style>
  <w:style w:type="paragraph" w:customStyle="1" w:styleId="TableHeading">
    <w:name w:val="Table Heading"/>
    <w:basedOn w:val="HeadingBase"/>
    <w:rsid w:val="00071DDA"/>
    <w:pPr>
      <w:keepLines/>
      <w:pBdr>
        <w:bottom w:val="single" w:sz="6" w:space="1" w:color="918585"/>
      </w:pBdr>
      <w:spacing w:before="240"/>
    </w:pPr>
  </w:style>
  <w:style w:type="character" w:customStyle="1" w:styleId="HotSpot">
    <w:name w:val="HotSpot"/>
    <w:rsid w:val="00071DDA"/>
    <w:rPr>
      <w:color w:val="0033CC"/>
      <w:u w:val="none"/>
    </w:rPr>
  </w:style>
  <w:style w:type="paragraph" w:customStyle="1" w:styleId="BodyTextRight">
    <w:name w:val="Body Text Right"/>
    <w:basedOn w:val="BodyText"/>
    <w:rsid w:val="00071DDA"/>
    <w:pPr>
      <w:spacing w:before="0" w:after="0"/>
      <w:jc w:val="right"/>
    </w:pPr>
  </w:style>
  <w:style w:type="paragraph" w:styleId="Index3">
    <w:name w:val="index 3"/>
    <w:basedOn w:val="ListNumber2"/>
    <w:next w:val="Normal"/>
    <w:semiHidden/>
    <w:rsid w:val="00071DDA"/>
    <w:pPr>
      <w:numPr>
        <w:numId w:val="0"/>
      </w:numPr>
      <w:tabs>
        <w:tab w:val="right" w:leader="dot" w:pos="4176"/>
      </w:tabs>
    </w:pPr>
  </w:style>
  <w:style w:type="paragraph" w:styleId="ListNumber2">
    <w:name w:val="List Number 2"/>
    <w:basedOn w:val="List2"/>
    <w:rsid w:val="00071DDA"/>
    <w:pPr>
      <w:numPr>
        <w:numId w:val="10"/>
      </w:numPr>
      <w:tabs>
        <w:tab w:val="clear" w:pos="1060"/>
      </w:tabs>
    </w:pPr>
  </w:style>
  <w:style w:type="paragraph" w:customStyle="1" w:styleId="MarginNote">
    <w:name w:val="Margin Note"/>
    <w:basedOn w:val="BodyText"/>
    <w:rsid w:val="00071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D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DDA"/>
    <w:rPr>
      <w:sz w:val="32"/>
    </w:rPr>
  </w:style>
  <w:style w:type="paragraph" w:customStyle="1" w:styleId="HeadingProcedure">
    <w:name w:val="Heading Procedure"/>
    <w:basedOn w:val="HeadingBase"/>
    <w:next w:val="Normal"/>
    <w:rsid w:val="00071DDA"/>
    <w:pPr>
      <w:tabs>
        <w:tab w:val="left" w:pos="0"/>
      </w:tabs>
      <w:spacing w:before="120" w:after="60"/>
    </w:pPr>
    <w:rPr>
      <w:i/>
      <w:color w:val="918585"/>
      <w:sz w:val="22"/>
    </w:rPr>
  </w:style>
  <w:style w:type="paragraph" w:customStyle="1" w:styleId="TableBodyText">
    <w:name w:val="Table Body Text"/>
    <w:basedOn w:val="BodyText"/>
    <w:rsid w:val="00071DDA"/>
    <w:pPr>
      <w:spacing w:before="60" w:after="60"/>
    </w:pPr>
  </w:style>
  <w:style w:type="paragraph" w:styleId="ListContinue">
    <w:name w:val="List Continue"/>
    <w:basedOn w:val="List"/>
    <w:rsid w:val="00071DDA"/>
    <w:pPr>
      <w:ind w:firstLine="0"/>
    </w:pPr>
  </w:style>
  <w:style w:type="paragraph" w:customStyle="1" w:styleId="ListNote">
    <w:name w:val="List Note"/>
    <w:basedOn w:val="List"/>
    <w:rsid w:val="00071DDA"/>
    <w:pPr>
      <w:pBdr>
        <w:top w:val="single" w:sz="6" w:space="2" w:color="918585"/>
        <w:bottom w:val="single" w:sz="6" w:space="2" w:color="918585"/>
      </w:pBdr>
      <w:tabs>
        <w:tab w:val="left" w:pos="1021"/>
      </w:tabs>
      <w:ind w:firstLine="0"/>
    </w:pPr>
  </w:style>
  <w:style w:type="paragraph" w:customStyle="1" w:styleId="Warning">
    <w:name w:val="Warning"/>
    <w:basedOn w:val="BodyText"/>
    <w:rsid w:val="00071DDA"/>
    <w:pPr>
      <w:shd w:val="clear" w:color="auto" w:fill="D9D9D9"/>
      <w:tabs>
        <w:tab w:val="left" w:pos="992"/>
      </w:tabs>
      <w:ind w:left="119" w:right="119"/>
    </w:pPr>
    <w:rPr>
      <w:sz w:val="20"/>
    </w:rPr>
  </w:style>
  <w:style w:type="paragraph" w:customStyle="1" w:styleId="MarginIcons">
    <w:name w:val="Margin Icons"/>
    <w:basedOn w:val="BodyText"/>
    <w:rsid w:val="00071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DDA"/>
    <w:rPr>
      <w:rFonts w:ascii="Courier New" w:hAnsi="Courier New"/>
    </w:rPr>
  </w:style>
  <w:style w:type="paragraph" w:customStyle="1" w:styleId="NoteBullet">
    <w:name w:val="Note Bullet"/>
    <w:basedOn w:val="Note"/>
    <w:rsid w:val="00071DDA"/>
    <w:pPr>
      <w:tabs>
        <w:tab w:val="clear" w:pos="680"/>
      </w:tabs>
      <w:spacing w:before="60" w:after="60"/>
    </w:pPr>
  </w:style>
  <w:style w:type="paragraph" w:customStyle="1" w:styleId="SubHeading2">
    <w:name w:val="SubHeading2"/>
    <w:basedOn w:val="HeadingBase"/>
    <w:rsid w:val="00071DDA"/>
    <w:pPr>
      <w:spacing w:before="240" w:after="60"/>
    </w:pPr>
    <w:rPr>
      <w:sz w:val="20"/>
    </w:rPr>
  </w:style>
  <w:style w:type="paragraph" w:customStyle="1" w:styleId="SubHeading1">
    <w:name w:val="SubHeading1"/>
    <w:basedOn w:val="HeadingBase"/>
    <w:rsid w:val="00071DDA"/>
    <w:pPr>
      <w:spacing w:before="240" w:after="60"/>
    </w:pPr>
    <w:rPr>
      <w:color w:val="918585"/>
      <w:sz w:val="22"/>
    </w:rPr>
  </w:style>
  <w:style w:type="paragraph" w:customStyle="1" w:styleId="SideHeading">
    <w:name w:val="Side Heading"/>
    <w:basedOn w:val="HeadingBase"/>
    <w:rsid w:val="00071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DDA"/>
    <w:pPr>
      <w:numPr>
        <w:numId w:val="12"/>
      </w:numPr>
    </w:pPr>
  </w:style>
  <w:style w:type="paragraph" w:styleId="PlainText">
    <w:name w:val="Plain Text"/>
    <w:basedOn w:val="Normal"/>
    <w:link w:val="PlainTextChar"/>
    <w:rsid w:val="00071DDA"/>
    <w:rPr>
      <w:sz w:val="20"/>
    </w:rPr>
  </w:style>
  <w:style w:type="character" w:customStyle="1" w:styleId="PlainTextChar">
    <w:name w:val="Plain Text Char"/>
    <w:basedOn w:val="DefaultParagraphFont"/>
    <w:link w:val="PlainText"/>
    <w:rsid w:val="00071DDA"/>
    <w:rPr>
      <w:rFonts w:ascii="Courier New" w:eastAsia="Times New Roman" w:hAnsi="Courier New" w:cs="Times New Roman"/>
      <w:sz w:val="20"/>
      <w:szCs w:val="20"/>
      <w:lang w:eastAsia="en-US"/>
    </w:rPr>
  </w:style>
  <w:style w:type="character" w:customStyle="1" w:styleId="MenuOption">
    <w:name w:val="Menu Option"/>
    <w:basedOn w:val="DefaultParagraphFont"/>
    <w:rsid w:val="00071DDA"/>
    <w:rPr>
      <w:b/>
      <w:smallCaps/>
    </w:rPr>
  </w:style>
  <w:style w:type="paragraph" w:customStyle="1" w:styleId="TableListNumber">
    <w:name w:val="Table List Number"/>
    <w:basedOn w:val="ListNumber"/>
    <w:rsid w:val="00071DDA"/>
    <w:pPr>
      <w:numPr>
        <w:numId w:val="0"/>
      </w:numPr>
    </w:pPr>
  </w:style>
  <w:style w:type="paragraph" w:styleId="TOC4">
    <w:name w:val="toc 4"/>
    <w:basedOn w:val="TOCBase"/>
    <w:next w:val="Normal"/>
    <w:semiHidden/>
    <w:rsid w:val="00071DDA"/>
    <w:pPr>
      <w:tabs>
        <w:tab w:val="right" w:leader="dot" w:pos="9071"/>
      </w:tabs>
      <w:ind w:left="1701"/>
    </w:pPr>
  </w:style>
  <w:style w:type="paragraph" w:customStyle="1" w:styleId="ListAlpha">
    <w:name w:val="List Alpha"/>
    <w:basedOn w:val="List"/>
    <w:rsid w:val="00071DDA"/>
    <w:pPr>
      <w:numPr>
        <w:numId w:val="9"/>
      </w:numPr>
    </w:pPr>
  </w:style>
  <w:style w:type="paragraph" w:customStyle="1" w:styleId="ListAlpha2">
    <w:name w:val="List Alpha 2"/>
    <w:basedOn w:val="List2"/>
    <w:rsid w:val="00071DDA"/>
    <w:pPr>
      <w:numPr>
        <w:numId w:val="8"/>
      </w:numPr>
    </w:pPr>
  </w:style>
  <w:style w:type="paragraph" w:styleId="List2">
    <w:name w:val="List 2"/>
    <w:basedOn w:val="BodyText"/>
    <w:rsid w:val="00071DDA"/>
    <w:pPr>
      <w:tabs>
        <w:tab w:val="left" w:pos="680"/>
      </w:tabs>
      <w:spacing w:before="60" w:after="60"/>
      <w:ind w:left="680" w:hanging="340"/>
    </w:pPr>
  </w:style>
  <w:style w:type="paragraph" w:styleId="List3">
    <w:name w:val="List 3"/>
    <w:basedOn w:val="BodyText"/>
    <w:rsid w:val="00071DDA"/>
    <w:pPr>
      <w:tabs>
        <w:tab w:val="left" w:pos="1021"/>
      </w:tabs>
      <w:spacing w:before="60" w:after="60"/>
      <w:ind w:left="1020" w:hanging="340"/>
    </w:pPr>
  </w:style>
  <w:style w:type="paragraph" w:styleId="List4">
    <w:name w:val="List 4"/>
    <w:basedOn w:val="BodyText"/>
    <w:rsid w:val="00071DDA"/>
    <w:pPr>
      <w:tabs>
        <w:tab w:val="left" w:pos="1361"/>
      </w:tabs>
      <w:spacing w:before="60" w:after="60"/>
      <w:ind w:left="1361" w:hanging="340"/>
    </w:pPr>
  </w:style>
  <w:style w:type="paragraph" w:styleId="List5">
    <w:name w:val="List 5"/>
    <w:basedOn w:val="BodyText"/>
    <w:rsid w:val="00071DDA"/>
    <w:pPr>
      <w:tabs>
        <w:tab w:val="left" w:pos="1701"/>
      </w:tabs>
      <w:spacing w:before="60" w:after="60"/>
      <w:ind w:left="1701" w:hanging="340"/>
    </w:pPr>
  </w:style>
  <w:style w:type="paragraph" w:styleId="ListBullet3">
    <w:name w:val="List Bullet 3"/>
    <w:basedOn w:val="List3"/>
    <w:rsid w:val="00071DDA"/>
    <w:pPr>
      <w:numPr>
        <w:numId w:val="15"/>
      </w:numPr>
      <w:tabs>
        <w:tab w:val="clear" w:pos="1021"/>
      </w:tabs>
      <w:ind w:left="1037" w:hanging="357"/>
    </w:pPr>
  </w:style>
  <w:style w:type="paragraph" w:styleId="ListBullet4">
    <w:name w:val="List Bullet 4"/>
    <w:basedOn w:val="List4"/>
    <w:rsid w:val="00071DDA"/>
    <w:pPr>
      <w:numPr>
        <w:numId w:val="3"/>
      </w:numPr>
    </w:pPr>
  </w:style>
  <w:style w:type="paragraph" w:styleId="ListBullet5">
    <w:name w:val="List Bullet 5"/>
    <w:basedOn w:val="List5"/>
    <w:rsid w:val="00071DDA"/>
    <w:pPr>
      <w:numPr>
        <w:numId w:val="4"/>
      </w:numPr>
    </w:pPr>
  </w:style>
  <w:style w:type="paragraph" w:styleId="ListContinue2">
    <w:name w:val="List Continue 2"/>
    <w:basedOn w:val="List2"/>
    <w:rsid w:val="00071DDA"/>
    <w:pPr>
      <w:ind w:firstLine="0"/>
    </w:pPr>
  </w:style>
  <w:style w:type="paragraph" w:styleId="ListContinue3">
    <w:name w:val="List Continue 3"/>
    <w:basedOn w:val="List3"/>
    <w:rsid w:val="00071DDA"/>
    <w:pPr>
      <w:ind w:left="1021" w:firstLine="0"/>
    </w:pPr>
  </w:style>
  <w:style w:type="paragraph" w:styleId="ListContinue4">
    <w:name w:val="List Continue 4"/>
    <w:basedOn w:val="List4"/>
    <w:rsid w:val="00071DDA"/>
    <w:pPr>
      <w:ind w:firstLine="0"/>
    </w:pPr>
  </w:style>
  <w:style w:type="paragraph" w:styleId="ListContinue5">
    <w:name w:val="List Continue 5"/>
    <w:basedOn w:val="List5"/>
    <w:rsid w:val="00071DDA"/>
    <w:pPr>
      <w:ind w:firstLine="0"/>
    </w:pPr>
  </w:style>
  <w:style w:type="paragraph" w:styleId="ListNumber3">
    <w:name w:val="List Number 3"/>
    <w:basedOn w:val="List3"/>
    <w:rsid w:val="00071DDA"/>
    <w:pPr>
      <w:numPr>
        <w:numId w:val="5"/>
      </w:numPr>
    </w:pPr>
  </w:style>
  <w:style w:type="paragraph" w:styleId="ListNumber4">
    <w:name w:val="List Number 4"/>
    <w:basedOn w:val="List4"/>
    <w:rsid w:val="00071DDA"/>
    <w:pPr>
      <w:numPr>
        <w:numId w:val="6"/>
      </w:numPr>
    </w:pPr>
  </w:style>
  <w:style w:type="paragraph" w:styleId="ListNumber5">
    <w:name w:val="List Number 5"/>
    <w:basedOn w:val="List5"/>
    <w:rsid w:val="00071DDA"/>
    <w:pPr>
      <w:numPr>
        <w:numId w:val="7"/>
      </w:numPr>
    </w:pPr>
  </w:style>
  <w:style w:type="paragraph" w:styleId="BlockText">
    <w:name w:val="Block Text"/>
    <w:basedOn w:val="Normal"/>
    <w:rsid w:val="00071DDA"/>
    <w:pPr>
      <w:spacing w:after="120"/>
      <w:ind w:left="1440" w:right="1440"/>
    </w:pPr>
  </w:style>
  <w:style w:type="character" w:customStyle="1" w:styleId="Subscript">
    <w:name w:val="Subscript"/>
    <w:basedOn w:val="DefaultParagraphFont"/>
    <w:rsid w:val="00071DDA"/>
    <w:rPr>
      <w:sz w:val="16"/>
      <w:vertAlign w:val="subscript"/>
    </w:rPr>
  </w:style>
  <w:style w:type="character" w:customStyle="1" w:styleId="Superscript">
    <w:name w:val="Superscript"/>
    <w:basedOn w:val="DefaultParagraphFont"/>
    <w:rsid w:val="00071DDA"/>
    <w:rPr>
      <w:sz w:val="16"/>
      <w:vertAlign w:val="superscript"/>
    </w:rPr>
  </w:style>
  <w:style w:type="character" w:customStyle="1" w:styleId="Symbols">
    <w:name w:val="Symbols"/>
    <w:basedOn w:val="DefaultParagraphFont"/>
    <w:rsid w:val="00071DDA"/>
    <w:rPr>
      <w:rFonts w:ascii="Symbol" w:hAnsi="Symbol"/>
    </w:rPr>
  </w:style>
  <w:style w:type="character" w:customStyle="1" w:styleId="MenuOptions">
    <w:name w:val="Menu Options"/>
    <w:basedOn w:val="DefaultParagraphFont"/>
    <w:rsid w:val="00071DDA"/>
    <w:rPr>
      <w:rFonts w:ascii="Arial Narrow" w:hAnsi="Arial Narrow"/>
      <w:smallCaps/>
    </w:rPr>
  </w:style>
  <w:style w:type="character" w:customStyle="1" w:styleId="Buttons">
    <w:name w:val="Buttons"/>
    <w:basedOn w:val="DefaultParagraphFont"/>
    <w:rsid w:val="00071DDA"/>
    <w:rPr>
      <w:b/>
    </w:rPr>
  </w:style>
  <w:style w:type="character" w:customStyle="1" w:styleId="Underlined">
    <w:name w:val="Underlined"/>
    <w:basedOn w:val="DefaultParagraphFont"/>
    <w:rsid w:val="00071DDA"/>
    <w:rPr>
      <w:u w:val="single"/>
    </w:rPr>
  </w:style>
  <w:style w:type="paragraph" w:customStyle="1" w:styleId="TableBodyTextRight">
    <w:name w:val="Table Body Text Right"/>
    <w:basedOn w:val="TableBodyText"/>
    <w:rsid w:val="00071DDA"/>
    <w:pPr>
      <w:widowControl w:val="0"/>
      <w:autoSpaceDE w:val="0"/>
      <w:autoSpaceDN w:val="0"/>
      <w:adjustRightInd w:val="0"/>
      <w:jc w:val="right"/>
    </w:pPr>
    <w:rPr>
      <w:rFonts w:cs="Arial"/>
      <w:szCs w:val="18"/>
    </w:rPr>
  </w:style>
  <w:style w:type="paragraph" w:customStyle="1" w:styleId="CopyrightText">
    <w:name w:val="Copyright Text"/>
    <w:basedOn w:val="BodyText"/>
    <w:rsid w:val="00071DDA"/>
    <w:rPr>
      <w:sz w:val="18"/>
    </w:rPr>
  </w:style>
  <w:style w:type="paragraph" w:customStyle="1" w:styleId="BodySmallRight">
    <w:name w:val="Body Small Right"/>
    <w:basedOn w:val="BodyTextRight"/>
    <w:rsid w:val="00071DDA"/>
    <w:rPr>
      <w:sz w:val="18"/>
      <w:szCs w:val="18"/>
    </w:rPr>
  </w:style>
  <w:style w:type="paragraph" w:customStyle="1" w:styleId="MarginEdition">
    <w:name w:val="Margin Edition"/>
    <w:basedOn w:val="MarginNote"/>
    <w:rsid w:val="00071DDA"/>
    <w:pPr>
      <w:spacing w:before="0" w:after="0"/>
    </w:pPr>
    <w:rPr>
      <w:rFonts w:ascii="Times New Roman" w:hAnsi="Times New Roman"/>
      <w:color w:val="999999"/>
    </w:rPr>
  </w:style>
  <w:style w:type="paragraph" w:customStyle="1" w:styleId="Spacer">
    <w:name w:val="Spacer"/>
    <w:basedOn w:val="Normal"/>
    <w:rsid w:val="00071DDA"/>
    <w:rPr>
      <w:sz w:val="2"/>
      <w:szCs w:val="2"/>
    </w:rPr>
  </w:style>
  <w:style w:type="character" w:customStyle="1" w:styleId="Small">
    <w:name w:val="Small"/>
    <w:basedOn w:val="DefaultParagraphFont"/>
    <w:rsid w:val="00071DDA"/>
    <w:rPr>
      <w:sz w:val="16"/>
    </w:rPr>
  </w:style>
  <w:style w:type="paragraph" w:customStyle="1" w:styleId="WideTable">
    <w:name w:val="Wide Table"/>
    <w:basedOn w:val="Normal"/>
    <w:rsid w:val="00071DDA"/>
    <w:pPr>
      <w:ind w:left="-1418"/>
    </w:pPr>
    <w:rPr>
      <w:sz w:val="2"/>
      <w:szCs w:val="2"/>
    </w:rPr>
  </w:style>
  <w:style w:type="character" w:styleId="PageNumber">
    <w:name w:val="page number"/>
    <w:basedOn w:val="DefaultParagraphFont"/>
    <w:rsid w:val="00071DDA"/>
  </w:style>
  <w:style w:type="paragraph" w:styleId="Quote">
    <w:name w:val="Quote"/>
    <w:basedOn w:val="Heading1"/>
    <w:link w:val="QuoteChar"/>
    <w:qFormat/>
    <w:rsid w:val="00071DDA"/>
    <w:rPr>
      <w:b w:val="0"/>
      <w:sz w:val="72"/>
      <w:szCs w:val="72"/>
      <w:lang w:val="en-NZ"/>
    </w:rPr>
  </w:style>
  <w:style w:type="character" w:customStyle="1" w:styleId="QuoteChar">
    <w:name w:val="Quote Char"/>
    <w:basedOn w:val="DefaultParagraphFont"/>
    <w:link w:val="Quote"/>
    <w:rsid w:val="00071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DDA"/>
    <w:pPr>
      <w:pageBreakBefore/>
    </w:pPr>
  </w:style>
  <w:style w:type="paragraph" w:customStyle="1" w:styleId="Border">
    <w:name w:val="Border"/>
    <w:basedOn w:val="Normal"/>
    <w:qFormat/>
    <w:rsid w:val="00071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DDA"/>
    <w:rPr>
      <w:b/>
      <w:bCs/>
      <w:i/>
      <w:iCs/>
      <w:color w:val="auto"/>
    </w:rPr>
  </w:style>
  <w:style w:type="paragraph" w:styleId="IntenseQuote">
    <w:name w:val="Intense Quote"/>
    <w:basedOn w:val="Normal"/>
    <w:next w:val="Normal"/>
    <w:link w:val="IntenseQuoteChar"/>
    <w:uiPriority w:val="30"/>
    <w:qFormat/>
    <w:rsid w:val="00071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D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DDA"/>
    <w:rPr>
      <w:smallCaps/>
      <w:color w:val="auto"/>
      <w:u w:val="single"/>
    </w:rPr>
  </w:style>
  <w:style w:type="character" w:styleId="IntenseReference">
    <w:name w:val="Intense Reference"/>
    <w:basedOn w:val="DefaultParagraphFont"/>
    <w:uiPriority w:val="32"/>
    <w:qFormat/>
    <w:rsid w:val="00071DDA"/>
    <w:rPr>
      <w:b/>
      <w:bCs/>
      <w:smallCaps/>
      <w:color w:val="auto"/>
      <w:spacing w:val="5"/>
      <w:u w:val="single"/>
    </w:rPr>
  </w:style>
  <w:style w:type="paragraph" w:customStyle="1" w:styleId="2ColumnHeading">
    <w:name w:val="2Column Heading"/>
    <w:basedOn w:val="BodyText"/>
    <w:qFormat/>
    <w:rsid w:val="00071DDA"/>
    <w:pPr>
      <w:spacing w:after="60"/>
      <w:ind w:left="-2268"/>
    </w:pPr>
    <w:rPr>
      <w:b/>
    </w:rPr>
  </w:style>
  <w:style w:type="paragraph" w:customStyle="1" w:styleId="Heading1TOC">
    <w:name w:val="Heading1 TOC"/>
    <w:basedOn w:val="Normal"/>
    <w:qFormat/>
    <w:rsid w:val="00071DDA"/>
    <w:pPr>
      <w:spacing w:before="240" w:after="120"/>
    </w:pPr>
    <w:rPr>
      <w:rFonts w:ascii="Times New Roman" w:hAnsi="Times New Roman"/>
      <w:b/>
      <w:sz w:val="32"/>
    </w:rPr>
  </w:style>
  <w:style w:type="paragraph" w:customStyle="1" w:styleId="Heading2TOC">
    <w:name w:val="Heading2 TOC"/>
    <w:basedOn w:val="Normal"/>
    <w:qFormat/>
    <w:rsid w:val="00071DDA"/>
    <w:pPr>
      <w:spacing w:before="240" w:after="60"/>
    </w:pPr>
    <w:rPr>
      <w:rFonts w:ascii="Times New Roman" w:hAnsi="Times New Roman"/>
      <w:b/>
      <w:sz w:val="28"/>
    </w:rPr>
  </w:style>
  <w:style w:type="character" w:customStyle="1" w:styleId="Underline">
    <w:name w:val="Underline"/>
    <w:basedOn w:val="DefaultParagraphFont"/>
    <w:qFormat/>
    <w:rsid w:val="00071DDA"/>
    <w:rPr>
      <w:u w:val="single"/>
    </w:rPr>
  </w:style>
  <w:style w:type="character" w:customStyle="1" w:styleId="BoldandItalics">
    <w:name w:val="Bold and Italics"/>
    <w:qFormat/>
    <w:rsid w:val="00071DDA"/>
    <w:rPr>
      <w:b/>
      <w:i/>
      <w:u w:val="none"/>
    </w:rPr>
  </w:style>
  <w:style w:type="paragraph" w:styleId="BalloonText">
    <w:name w:val="Balloon Text"/>
    <w:basedOn w:val="Normal"/>
    <w:link w:val="BalloonTextChar"/>
    <w:rsid w:val="00071DDA"/>
    <w:rPr>
      <w:rFonts w:ascii="Tahoma" w:hAnsi="Tahoma" w:cs="Tahoma"/>
      <w:sz w:val="16"/>
      <w:szCs w:val="16"/>
    </w:rPr>
  </w:style>
  <w:style w:type="character" w:customStyle="1" w:styleId="BalloonTextChar">
    <w:name w:val="Balloon Text Char"/>
    <w:basedOn w:val="DefaultParagraphFont"/>
    <w:link w:val="BalloonText"/>
    <w:rsid w:val="00071D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D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D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DDA"/>
    <w:rPr>
      <w:b/>
      <w:color w:val="660033"/>
      <w:spacing w:val="0"/>
    </w:rPr>
  </w:style>
  <w:style w:type="paragraph" w:customStyle="1" w:styleId="Nameditemlist">
    <w:name w:val="Named item list"/>
    <w:basedOn w:val="BodyText"/>
    <w:qFormat/>
    <w:rsid w:val="00071D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972</Words>
  <Characters>6060</Characters>
  <Application>Microsoft Office Word</Application>
  <DocSecurity>0</DocSecurity>
  <Lines>214</Lines>
  <Paragraphs>108</Paragraphs>
  <ScaleCrop>false</ScaleCrop>
  <Company>Author-it Software Corporation Ltd.</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MEA396A Assemble aircraft piston engine quick engine change unit</dc:title>
  <dc:subject>Approved</dc:subject>
  <dc:creator>Manufacturing Skills Australia</dc:creator>
  <cp:keywords>Release 1</cp:keywords>
  <dc:description>Review Date: 12 April 2008</dc:description>
  <cp:lastModifiedBy>TPCMS</cp:lastModifiedBy>
  <cp:revision>3</cp:revision>
  <dcterms:created xsi:type="dcterms:W3CDTF">2013-08-22T17:15:00Z</dcterms:created>
  <dcterms:modified xsi:type="dcterms:W3CDTF">2013-08-22T17:15:00Z</dcterms:modified>
</cp:coreProperties>
</file>