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408D" w:rsidP="0005408D">
      <w:pPr>
        <w:pStyle w:val="Title"/>
      </w:pPr>
      <w:r>
        <w:fldChar w:fldCharType="begin"/>
      </w:r>
      <w:r>
        <w:instrText xml:space="preserve"> TITLE   \* MERGEFORMAT </w:instrText>
      </w:r>
      <w:r>
        <w:fldChar w:fldCharType="separate"/>
      </w:r>
      <w:r>
        <w:t>MEA394A Repair and/or overhaul aircraft piston engine crankcase assembly components</w:t>
      </w:r>
      <w:r>
        <w:fldChar w:fldCharType="end"/>
      </w:r>
    </w:p>
    <w:p w:rsidR="0005408D" w:rsidP="0005408D">
      <w:pPr>
        <w:pStyle w:val="Version"/>
        <w:sectPr w:rsidSect="00CE1C6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E1C6C" w:rsidP="00CE1C6C">
      <w:pPr>
        <w:pStyle w:val="SuperHeading"/>
      </w:pPr>
      <w:r w:rsidRPr="00CE1C6C">
        <w:t>MEA394A Repair and/or overhaul aircraft piston engine crankcase assembly components</w:t>
      </w:r>
    </w:p>
    <w:p w:rsidR="00000000" w:rsidRPr="00CE1C6C" w:rsidP="00CE1C6C">
      <w:pPr>
        <w:pStyle w:val="Heading1"/>
      </w:pPr>
      <w:bookmarkStart w:id="1" w:name="O_592090"/>
      <w:bookmarkEnd w:id="1"/>
      <w:r w:rsidRPr="00CE1C6C">
        <w:t>Modification History</w:t>
      </w:r>
    </w:p>
    <w:p w:rsidR="00000000" w:rsidRPr="00CE1C6C" w:rsidP="00CE1C6C">
      <w:pPr>
        <w:pStyle w:val="BodyText"/>
      </w:pPr>
      <w:r w:rsidRPr="00CE1C6C">
        <w:t>Release 1 - New unit of competency. Covers components of MEA388A - Not equivalent</w:t>
      </w:r>
    </w:p>
    <w:p w:rsidR="00000000" w:rsidRPr="00CE1C6C" w:rsidP="00CE1C6C">
      <w:pPr>
        <w:pStyle w:val="AllowPageBreak"/>
      </w:pPr>
    </w:p>
    <w:p w:rsidR="00000000" w:rsidRPr="00CE1C6C" w:rsidP="00CE1C6C">
      <w:pPr>
        <w:pStyle w:val="Heading1"/>
      </w:pPr>
      <w:bookmarkStart w:id="2" w:name="O_592091"/>
      <w:bookmarkEnd w:id="2"/>
      <w:r w:rsidRPr="00CE1C6C">
        <w:t>Unit Descriptor</w:t>
      </w:r>
    </w:p>
    <w:p w:rsidR="00000000" w:rsidRPr="00CE1C6C" w:rsidP="00CE1C6C">
      <w:pPr>
        <w:pStyle w:val="BodyText"/>
      </w:pPr>
      <w:r w:rsidRPr="00CE1C6C">
        <w:t xml:space="preserve">This unit of competency is part of the Mechanical Certificate IV (Component Workshop Maintenance Stream) training pathway. It covers the competencies required to overhaul and repair aircraft piston engine crankcase assembly components. The unit is used in </w:t>
      </w:r>
      <w:r w:rsidRPr="00CE1C6C">
        <w:t>workplaces that operate under the airworthiness regulatory systems of the Australian Defence Force (ADF) and the Civil Aviation Safety Authority (CASA).</w:t>
      </w:r>
    </w:p>
    <w:p w:rsidR="00000000" w:rsidRPr="00CE1C6C" w:rsidP="00CE1C6C">
      <w:pPr>
        <w:pStyle w:val="AllowPageBreak"/>
      </w:pPr>
    </w:p>
    <w:p w:rsidR="00000000" w:rsidRPr="00CE1C6C" w:rsidP="00CE1C6C">
      <w:pPr>
        <w:pStyle w:val="Heading1"/>
      </w:pPr>
      <w:bookmarkStart w:id="3" w:name="O_592092"/>
      <w:bookmarkEnd w:id="3"/>
      <w:r w:rsidRPr="00CE1C6C">
        <w:t>Application of the Unit</w:t>
      </w:r>
    </w:p>
    <w:p w:rsidR="00000000" w:rsidRPr="00CE1C6C" w:rsidP="00CE1C6C">
      <w:pPr>
        <w:pStyle w:val="BodyText"/>
      </w:pPr>
      <w:r w:rsidRPr="00CE1C6C">
        <w:t>This unit requires application of hand skills, theory knowledg</w:t>
      </w:r>
      <w:r w:rsidRPr="00CE1C6C">
        <w:t>e and maintenance publication procedures to repair and overhaul aircraft piston engine crankcase assembly components.</w:t>
      </w:r>
    </w:p>
    <w:p w:rsidR="00000000" w:rsidRPr="00CE1C6C" w:rsidP="00CE1C6C">
      <w:pPr>
        <w:pStyle w:val="BodyText"/>
      </w:pPr>
      <w:r w:rsidRPr="00CE1C6C">
        <w:t>Applications include components from fixed and rotary wing aircraft piston engines.</w:t>
      </w:r>
    </w:p>
    <w:p w:rsidR="00000000" w:rsidRPr="00CE1C6C" w:rsidP="00CE1C6C">
      <w:pPr>
        <w:pStyle w:val="AllowPageBreak"/>
      </w:pPr>
    </w:p>
    <w:p w:rsidR="00000000" w:rsidRPr="00CE1C6C" w:rsidP="00CE1C6C">
      <w:pPr>
        <w:pStyle w:val="Heading1"/>
      </w:pPr>
      <w:bookmarkStart w:id="4" w:name="O_592093"/>
      <w:bookmarkEnd w:id="4"/>
      <w:r w:rsidRPr="00CE1C6C">
        <w:t>Licensing/Regulatory Information</w:t>
      </w:r>
    </w:p>
    <w:p w:rsidR="00000000" w:rsidRPr="00CE1C6C" w:rsidP="00CE1C6C">
      <w:pPr>
        <w:pStyle w:val="BodyText"/>
      </w:pPr>
      <w:r w:rsidRPr="00CE1C6C">
        <w:t xml:space="preserve">Not </w:t>
      </w:r>
      <w:r w:rsidRPr="00CE1C6C">
        <w:t>applicable.</w:t>
      </w:r>
    </w:p>
    <w:p w:rsidR="00000000" w:rsidRPr="00CE1C6C" w:rsidP="00CE1C6C">
      <w:pPr>
        <w:pStyle w:val="AllowPageBreak"/>
      </w:pPr>
    </w:p>
    <w:p w:rsidR="00000000" w:rsidRPr="00CE1C6C" w:rsidP="00CE1C6C">
      <w:pPr>
        <w:pStyle w:val="Heading1"/>
      </w:pPr>
      <w:bookmarkStart w:id="5" w:name="O_592094"/>
      <w:bookmarkEnd w:id="5"/>
      <w:r w:rsidRPr="00CE1C6C">
        <w:t>Pre-Requisites</w:t>
      </w:r>
    </w:p>
    <w:tbl>
      <w:tblPr>
        <w:tblW w:w="0" w:type="auto"/>
        <w:tblLayout w:type="fixed"/>
        <w:tblCellMar>
          <w:left w:w="62" w:type="dxa"/>
          <w:right w:w="62" w:type="dxa"/>
        </w:tblCellMar>
        <w:tblLook w:val="0000"/>
      </w:tblPr>
      <w:tblGrid>
        <w:gridCol w:w="1444"/>
        <w:gridCol w:w="7736"/>
      </w:tblGrid>
      <w:tr w:rsidTr="00CE1C6C">
        <w:tblPrEx>
          <w:tblW w:w="0" w:type="auto"/>
          <w:tblLayout w:type="fixed"/>
          <w:tblCellMar>
            <w:left w:w="62" w:type="dxa"/>
            <w:right w:w="62" w:type="dxa"/>
          </w:tblCellMar>
          <w:tblLook w:val="0000"/>
        </w:tblPrEx>
        <w:tc>
          <w:tcPr>
            <w:tcW w:w="1444" w:type="dxa"/>
            <w:tcBorders>
              <w:top w:val="nil"/>
              <w:left w:val="nil"/>
              <w:bottom w:val="nil"/>
              <w:right w:val="nil"/>
            </w:tcBorders>
            <w:tcMar>
              <w:top w:w="0" w:type="dxa"/>
              <w:left w:w="62" w:type="dxa"/>
              <w:bottom w:w="0" w:type="dxa"/>
              <w:right w:w="62" w:type="dxa"/>
            </w:tcMar>
          </w:tcPr>
          <w:p w:rsidR="00000000" w:rsidP="00CE1C6C">
            <w:pPr>
              <w:pStyle w:val="BodyText"/>
              <w:rPr>
                <w:lang w:val="en-NZ"/>
              </w:rPr>
            </w:pPr>
            <w:r w:rsidRPr="00CE1C6C">
              <w:t xml:space="preserve">MEA101B </w:t>
            </w:r>
          </w:p>
        </w:tc>
        <w:tc>
          <w:tcPr>
            <w:tcW w:w="7736" w:type="dxa"/>
            <w:tcBorders>
              <w:top w:val="nil"/>
              <w:left w:val="nil"/>
              <w:bottom w:val="nil"/>
              <w:right w:val="nil"/>
            </w:tcBorders>
            <w:tcMar>
              <w:top w:w="0" w:type="dxa"/>
              <w:left w:w="62" w:type="dxa"/>
              <w:bottom w:w="0" w:type="dxa"/>
              <w:right w:w="62" w:type="dxa"/>
            </w:tcMar>
          </w:tcPr>
          <w:p w:rsidR="00000000" w:rsidP="00CE1C6C">
            <w:pPr>
              <w:pStyle w:val="BodyText"/>
              <w:rPr>
                <w:lang w:val="en-NZ"/>
              </w:rPr>
            </w:pPr>
            <w:r w:rsidRPr="00CE1C6C">
              <w:t>Interpret occupational health and safety practices in aviation maintenance</w:t>
            </w:r>
          </w:p>
        </w:tc>
      </w:tr>
      <w:tr w:rsidTr="00CE1C6C">
        <w:tblPrEx>
          <w:tblW w:w="0" w:type="auto"/>
          <w:tblLayout w:type="fixed"/>
          <w:tblCellMar>
            <w:left w:w="62" w:type="dxa"/>
            <w:right w:w="62" w:type="dxa"/>
          </w:tblCellMar>
          <w:tblLook w:val="0000"/>
        </w:tblPrEx>
        <w:tc>
          <w:tcPr>
            <w:tcW w:w="1444" w:type="dxa"/>
            <w:tcBorders>
              <w:top w:val="nil"/>
              <w:left w:val="nil"/>
              <w:bottom w:val="nil"/>
              <w:right w:val="nil"/>
            </w:tcBorders>
            <w:tcMar>
              <w:top w:w="0" w:type="dxa"/>
              <w:left w:w="62" w:type="dxa"/>
              <w:bottom w:w="0" w:type="dxa"/>
              <w:right w:w="62" w:type="dxa"/>
            </w:tcMar>
          </w:tcPr>
          <w:p w:rsidR="00000000" w:rsidP="00CE1C6C">
            <w:pPr>
              <w:pStyle w:val="BodyText"/>
              <w:rPr>
                <w:lang w:val="en-NZ"/>
              </w:rPr>
            </w:pPr>
            <w:r w:rsidRPr="00CE1C6C">
              <w:t xml:space="preserve">MEA103B </w:t>
            </w:r>
          </w:p>
        </w:tc>
        <w:tc>
          <w:tcPr>
            <w:tcW w:w="7736" w:type="dxa"/>
            <w:tcBorders>
              <w:top w:val="nil"/>
              <w:left w:val="nil"/>
              <w:bottom w:val="nil"/>
              <w:right w:val="nil"/>
            </w:tcBorders>
            <w:tcMar>
              <w:top w:w="0" w:type="dxa"/>
              <w:left w:w="62" w:type="dxa"/>
              <w:bottom w:w="0" w:type="dxa"/>
              <w:right w:w="62" w:type="dxa"/>
            </w:tcMar>
          </w:tcPr>
          <w:p w:rsidR="00000000" w:rsidP="00CE1C6C">
            <w:pPr>
              <w:pStyle w:val="BodyText"/>
              <w:rPr>
                <w:lang w:val="en-NZ"/>
              </w:rPr>
            </w:pPr>
            <w:r w:rsidRPr="00CE1C6C">
              <w:t>Plan and organise aviation maintenance work activity</w:t>
            </w:r>
          </w:p>
        </w:tc>
      </w:tr>
      <w:tr w:rsidTr="00CE1C6C">
        <w:tblPrEx>
          <w:tblW w:w="0" w:type="auto"/>
          <w:tblLayout w:type="fixed"/>
          <w:tblCellMar>
            <w:left w:w="62" w:type="dxa"/>
            <w:right w:w="62" w:type="dxa"/>
          </w:tblCellMar>
          <w:tblLook w:val="0000"/>
        </w:tblPrEx>
        <w:tc>
          <w:tcPr>
            <w:tcW w:w="1444" w:type="dxa"/>
            <w:tcBorders>
              <w:top w:val="nil"/>
              <w:left w:val="nil"/>
              <w:bottom w:val="nil"/>
              <w:right w:val="nil"/>
            </w:tcBorders>
            <w:tcMar>
              <w:top w:w="0" w:type="dxa"/>
              <w:left w:w="62" w:type="dxa"/>
              <w:bottom w:w="0" w:type="dxa"/>
              <w:right w:w="62" w:type="dxa"/>
            </w:tcMar>
          </w:tcPr>
          <w:p w:rsidR="00000000" w:rsidP="00CE1C6C">
            <w:pPr>
              <w:pStyle w:val="BodyText"/>
              <w:rPr>
                <w:lang w:val="en-NZ"/>
              </w:rPr>
            </w:pPr>
            <w:r w:rsidRPr="00CE1C6C">
              <w:t xml:space="preserve">MEA105C </w:t>
            </w:r>
          </w:p>
        </w:tc>
        <w:tc>
          <w:tcPr>
            <w:tcW w:w="7736" w:type="dxa"/>
            <w:tcBorders>
              <w:top w:val="nil"/>
              <w:left w:val="nil"/>
              <w:bottom w:val="nil"/>
              <w:right w:val="nil"/>
            </w:tcBorders>
            <w:tcMar>
              <w:top w:w="0" w:type="dxa"/>
              <w:left w:w="62" w:type="dxa"/>
              <w:bottom w:w="0" w:type="dxa"/>
              <w:right w:w="62" w:type="dxa"/>
            </w:tcMar>
          </w:tcPr>
          <w:p w:rsidR="00000000" w:rsidP="00CE1C6C">
            <w:pPr>
              <w:pStyle w:val="BodyText"/>
              <w:rPr>
                <w:lang w:val="en-NZ"/>
              </w:rPr>
            </w:pPr>
            <w:r w:rsidRPr="00CE1C6C">
              <w:t>Apply quality standards applicable to aviation maintenance processes</w:t>
            </w:r>
          </w:p>
        </w:tc>
      </w:tr>
      <w:tr w:rsidTr="00CE1C6C">
        <w:tblPrEx>
          <w:tblW w:w="0" w:type="auto"/>
          <w:tblLayout w:type="fixed"/>
          <w:tblCellMar>
            <w:left w:w="62" w:type="dxa"/>
            <w:right w:w="62" w:type="dxa"/>
          </w:tblCellMar>
          <w:tblLook w:val="0000"/>
        </w:tblPrEx>
        <w:tc>
          <w:tcPr>
            <w:tcW w:w="1444" w:type="dxa"/>
            <w:tcBorders>
              <w:top w:val="nil"/>
              <w:left w:val="nil"/>
              <w:bottom w:val="nil"/>
              <w:right w:val="nil"/>
            </w:tcBorders>
            <w:tcMar>
              <w:top w:w="0" w:type="dxa"/>
              <w:left w:w="62" w:type="dxa"/>
              <w:bottom w:w="0" w:type="dxa"/>
              <w:right w:w="62" w:type="dxa"/>
            </w:tcMar>
          </w:tcPr>
          <w:p w:rsidR="00000000" w:rsidP="00CE1C6C">
            <w:pPr>
              <w:pStyle w:val="BodyText"/>
              <w:rPr>
                <w:lang w:val="en-NZ"/>
              </w:rPr>
            </w:pPr>
            <w:r w:rsidRPr="00CE1C6C">
              <w:t xml:space="preserve">MEA107B </w:t>
            </w:r>
          </w:p>
        </w:tc>
        <w:tc>
          <w:tcPr>
            <w:tcW w:w="7736" w:type="dxa"/>
            <w:tcBorders>
              <w:top w:val="nil"/>
              <w:left w:val="nil"/>
              <w:bottom w:val="nil"/>
              <w:right w:val="nil"/>
            </w:tcBorders>
            <w:tcMar>
              <w:top w:w="0" w:type="dxa"/>
              <w:left w:w="62" w:type="dxa"/>
              <w:bottom w:w="0" w:type="dxa"/>
              <w:right w:w="62" w:type="dxa"/>
            </w:tcMar>
          </w:tcPr>
          <w:p w:rsidR="00000000" w:rsidP="00CE1C6C">
            <w:pPr>
              <w:pStyle w:val="BodyText"/>
              <w:rPr>
                <w:lang w:val="en-NZ"/>
              </w:rPr>
            </w:pPr>
            <w:r w:rsidRPr="00CE1C6C">
              <w:t>Interpret and use aviation maintenance industry manuals and specifications</w:t>
            </w:r>
          </w:p>
        </w:tc>
      </w:tr>
      <w:tr w:rsidTr="00CE1C6C">
        <w:tblPrEx>
          <w:tblW w:w="0" w:type="auto"/>
          <w:tblLayout w:type="fixed"/>
          <w:tblCellMar>
            <w:left w:w="62" w:type="dxa"/>
            <w:right w:w="62" w:type="dxa"/>
          </w:tblCellMar>
          <w:tblLook w:val="0000"/>
        </w:tblPrEx>
        <w:tc>
          <w:tcPr>
            <w:tcW w:w="1444" w:type="dxa"/>
            <w:tcBorders>
              <w:top w:val="nil"/>
              <w:left w:val="nil"/>
              <w:bottom w:val="nil"/>
              <w:right w:val="nil"/>
            </w:tcBorders>
            <w:tcMar>
              <w:top w:w="0" w:type="dxa"/>
              <w:left w:w="62" w:type="dxa"/>
              <w:bottom w:w="0" w:type="dxa"/>
              <w:right w:w="62" w:type="dxa"/>
            </w:tcMar>
          </w:tcPr>
          <w:p w:rsidR="00000000" w:rsidP="00CE1C6C">
            <w:pPr>
              <w:pStyle w:val="BodyText"/>
              <w:rPr>
                <w:lang w:val="en-NZ"/>
              </w:rPr>
            </w:pPr>
            <w:r w:rsidRPr="00CE1C6C">
              <w:t xml:space="preserve">MEA108B </w:t>
            </w:r>
          </w:p>
        </w:tc>
        <w:tc>
          <w:tcPr>
            <w:tcW w:w="7736" w:type="dxa"/>
            <w:tcBorders>
              <w:top w:val="nil"/>
              <w:left w:val="nil"/>
              <w:bottom w:val="nil"/>
              <w:right w:val="nil"/>
            </w:tcBorders>
            <w:tcMar>
              <w:top w:w="0" w:type="dxa"/>
              <w:left w:w="62" w:type="dxa"/>
              <w:bottom w:w="0" w:type="dxa"/>
              <w:right w:w="62" w:type="dxa"/>
            </w:tcMar>
          </w:tcPr>
          <w:p w:rsidR="00000000" w:rsidP="00CE1C6C">
            <w:pPr>
              <w:pStyle w:val="BodyText"/>
              <w:rPr>
                <w:lang w:val="en-NZ"/>
              </w:rPr>
            </w:pPr>
            <w:r w:rsidRPr="00CE1C6C">
              <w:t>Complete aviation maintenance industry documentation</w:t>
            </w:r>
          </w:p>
        </w:tc>
      </w:tr>
      <w:tr w:rsidTr="00CE1C6C">
        <w:tblPrEx>
          <w:tblW w:w="0" w:type="auto"/>
          <w:tblLayout w:type="fixed"/>
          <w:tblCellMar>
            <w:left w:w="62" w:type="dxa"/>
            <w:right w:w="62" w:type="dxa"/>
          </w:tblCellMar>
          <w:tblLook w:val="0000"/>
        </w:tblPrEx>
        <w:tc>
          <w:tcPr>
            <w:tcW w:w="1444" w:type="dxa"/>
            <w:tcBorders>
              <w:top w:val="nil"/>
              <w:left w:val="nil"/>
              <w:bottom w:val="nil"/>
              <w:right w:val="nil"/>
            </w:tcBorders>
            <w:tcMar>
              <w:top w:w="0" w:type="dxa"/>
              <w:left w:w="62" w:type="dxa"/>
              <w:bottom w:w="0" w:type="dxa"/>
              <w:right w:w="62" w:type="dxa"/>
            </w:tcMar>
          </w:tcPr>
          <w:p w:rsidR="00000000" w:rsidP="00CE1C6C">
            <w:pPr>
              <w:pStyle w:val="BodyText"/>
              <w:rPr>
                <w:lang w:val="en-NZ"/>
              </w:rPr>
            </w:pPr>
            <w:r w:rsidRPr="00CE1C6C">
              <w:t xml:space="preserve">MEA109B </w:t>
            </w:r>
          </w:p>
        </w:tc>
        <w:tc>
          <w:tcPr>
            <w:tcW w:w="7736" w:type="dxa"/>
            <w:tcBorders>
              <w:top w:val="nil"/>
              <w:left w:val="nil"/>
              <w:bottom w:val="nil"/>
              <w:right w:val="nil"/>
            </w:tcBorders>
            <w:tcMar>
              <w:top w:w="0" w:type="dxa"/>
              <w:left w:w="62" w:type="dxa"/>
              <w:bottom w:w="0" w:type="dxa"/>
              <w:right w:w="62" w:type="dxa"/>
            </w:tcMar>
          </w:tcPr>
          <w:p w:rsidR="00000000" w:rsidRPr="00CE1C6C" w:rsidP="00CE1C6C">
            <w:pPr>
              <w:pStyle w:val="BodyText"/>
            </w:pPr>
            <w:r w:rsidRPr="00CE1C6C">
              <w:t>Perform basic hand skills, st</w:t>
            </w:r>
            <w:r w:rsidRPr="00CE1C6C">
              <w:t>andard trade practices and fundamentals in aviation maintenance</w:t>
            </w:r>
          </w:p>
        </w:tc>
      </w:tr>
    </w:tbl>
    <w:p w:rsidR="00000000" w:rsidRPr="00CE1C6C" w:rsidP="00CE1C6C">
      <w:pPr>
        <w:pStyle w:val="BodyText"/>
      </w:pPr>
    </w:p>
    <w:p w:rsidR="00000000" w:rsidRPr="00CE1C6C" w:rsidP="00CE1C6C">
      <w:pPr>
        <w:pStyle w:val="AllowPageBreak"/>
      </w:pPr>
    </w:p>
    <w:p w:rsidR="00000000" w:rsidRPr="00CE1C6C" w:rsidP="00CE1C6C">
      <w:pPr>
        <w:pStyle w:val="Heading1"/>
      </w:pPr>
      <w:bookmarkStart w:id="6" w:name="O_592095"/>
      <w:bookmarkEnd w:id="6"/>
      <w:r w:rsidRPr="00CE1C6C">
        <w:t>Employability Skills Information</w:t>
      </w:r>
    </w:p>
    <w:p w:rsidR="00000000" w:rsidRPr="00CE1C6C" w:rsidP="00CE1C6C">
      <w:pPr>
        <w:pStyle w:val="BodyText"/>
      </w:pPr>
      <w:r w:rsidRPr="00CE1C6C">
        <w:t>This unit contains employability skills</w:t>
      </w:r>
    </w:p>
    <w:p w:rsidR="00000000" w:rsidRPr="00CE1C6C" w:rsidP="00CE1C6C">
      <w:pPr>
        <w:pStyle w:val="AllowPageBreak"/>
      </w:pPr>
    </w:p>
    <w:p w:rsidR="00000000" w:rsidRPr="00CE1C6C" w:rsidP="00CE1C6C">
      <w:pPr>
        <w:pStyle w:val="Heading1"/>
      </w:pPr>
      <w:bookmarkStart w:id="7" w:name="O_592096"/>
      <w:bookmarkEnd w:id="7"/>
      <w:r w:rsidRPr="00CE1C6C">
        <w:t>Elements and Performance Criteria Pre-Content</w:t>
      </w:r>
    </w:p>
    <w:tbl>
      <w:tblPr>
        <w:tblW w:w="9354" w:type="dxa"/>
        <w:tblLayout w:type="fixed"/>
        <w:tblCellMar>
          <w:left w:w="62" w:type="dxa"/>
          <w:right w:w="62" w:type="dxa"/>
        </w:tblCellMar>
        <w:tblLook w:val="0000"/>
      </w:tblPr>
      <w:tblGrid>
        <w:gridCol w:w="2592"/>
        <w:gridCol w:w="6762"/>
      </w:tblGrid>
      <w:tr w:rsidTr="00CE1C6C">
        <w:tblPrEx>
          <w:tblW w:w="9354" w:type="dxa"/>
          <w:tblLayout w:type="fixed"/>
          <w:tblCellMar>
            <w:left w:w="62" w:type="dxa"/>
            <w:right w:w="62" w:type="dxa"/>
          </w:tblCellMar>
          <w:tblLook w:val="0000"/>
        </w:tblPrEx>
        <w:tc>
          <w:tcPr>
            <w:tcW w:w="259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E1C6C">
            <w:pPr>
              <w:pStyle w:val="BodyText"/>
              <w:rPr>
                <w:lang w:val="en-NZ"/>
              </w:rPr>
            </w:pPr>
            <w:r w:rsidRPr="00CE1C6C">
              <w:t>Elements describe the essential outco</w:t>
            </w:r>
            <w:r w:rsidRPr="00CE1C6C">
              <w:t>mes of a unit of competency.</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E1C6C" w:rsidP="00CE1C6C">
            <w:pPr>
              <w:pStyle w:val="BodyText"/>
            </w:pPr>
            <w:r w:rsidRPr="00CE1C6C">
              <w:t>Performance criteria describe the performance needed to demonstrate achievement of the element. Assessment of performance is to be consistent with the evidence guide.</w:t>
            </w:r>
          </w:p>
        </w:tc>
      </w:tr>
    </w:tbl>
    <w:p w:rsidR="00000000" w:rsidRPr="00CE1C6C" w:rsidP="00CE1C6C">
      <w:pPr>
        <w:pStyle w:val="BodyText"/>
      </w:pPr>
    </w:p>
    <w:p w:rsidR="00000000" w:rsidRPr="00CE1C6C" w:rsidP="00CE1C6C">
      <w:pPr>
        <w:pStyle w:val="AllowPageBreak"/>
      </w:pPr>
    </w:p>
    <w:p w:rsidR="00000000" w:rsidRPr="00CE1C6C" w:rsidP="00CE1C6C">
      <w:pPr>
        <w:pStyle w:val="Heading1"/>
      </w:pPr>
      <w:bookmarkStart w:id="8" w:name="O_592097"/>
      <w:bookmarkEnd w:id="8"/>
      <w:r w:rsidRPr="00CE1C6C">
        <w:t>Elements and Performance Criteria</w:t>
      </w:r>
    </w:p>
    <w:tbl>
      <w:tblPr>
        <w:tblW w:w="9354" w:type="dxa"/>
        <w:tblLayout w:type="fixed"/>
        <w:tblCellMar>
          <w:left w:w="62" w:type="dxa"/>
          <w:right w:w="62" w:type="dxa"/>
        </w:tblCellMar>
        <w:tblLook w:val="0000"/>
      </w:tblPr>
      <w:tblGrid>
        <w:gridCol w:w="540"/>
        <w:gridCol w:w="2790"/>
        <w:gridCol w:w="630"/>
        <w:gridCol w:w="5394"/>
      </w:tblGrid>
      <w:tr w:rsidTr="00CE1C6C">
        <w:tblPrEx>
          <w:tblW w:w="9354" w:type="dxa"/>
          <w:tblLayout w:type="fixed"/>
          <w:tblCellMar>
            <w:left w:w="62" w:type="dxa"/>
            <w:right w:w="62" w:type="dxa"/>
          </w:tblCellMar>
          <w:tblLook w:val="0000"/>
        </w:tblPrEx>
        <w:trPr>
          <w:trHeight w:val="636"/>
        </w:trPr>
        <w:tc>
          <w:tcPr>
            <w:tcW w:w="540" w:type="dxa"/>
            <w:tcBorders>
              <w:top w:val="nil"/>
              <w:left w:val="nil"/>
              <w:bottom w:val="nil"/>
              <w:right w:val="nil"/>
            </w:tcBorders>
            <w:tcMar>
              <w:top w:w="0" w:type="dxa"/>
              <w:left w:w="62" w:type="dxa"/>
              <w:bottom w:w="0" w:type="dxa"/>
              <w:right w:w="62" w:type="dxa"/>
            </w:tcMar>
          </w:tcPr>
          <w:p w:rsidR="00000000" w:rsidP="00CE1C6C">
            <w:pPr>
              <w:pStyle w:val="BodyText"/>
              <w:rPr>
                <w:lang w:val="en-NZ"/>
              </w:rPr>
            </w:pPr>
            <w:r w:rsidRPr="00CE1C6C">
              <w:t>1</w:t>
            </w:r>
          </w:p>
        </w:tc>
        <w:tc>
          <w:tcPr>
            <w:tcW w:w="2790" w:type="dxa"/>
            <w:tcBorders>
              <w:top w:val="nil"/>
              <w:left w:val="nil"/>
              <w:bottom w:val="nil"/>
              <w:right w:val="nil"/>
            </w:tcBorders>
            <w:tcMar>
              <w:top w:w="0" w:type="dxa"/>
              <w:left w:w="62" w:type="dxa"/>
              <w:bottom w:w="0" w:type="dxa"/>
              <w:right w:w="62" w:type="dxa"/>
            </w:tcMar>
          </w:tcPr>
          <w:p w:rsidR="00000000" w:rsidP="00CE1C6C">
            <w:pPr>
              <w:pStyle w:val="BodyText"/>
              <w:rPr>
                <w:lang w:val="en-NZ"/>
              </w:rPr>
            </w:pPr>
            <w:r w:rsidRPr="00CE1C6C">
              <w:t>Determine requirements</w:t>
            </w:r>
          </w:p>
        </w:tc>
        <w:tc>
          <w:tcPr>
            <w:tcW w:w="630" w:type="dxa"/>
            <w:tcBorders>
              <w:top w:val="nil"/>
              <w:left w:val="nil"/>
              <w:bottom w:val="nil"/>
              <w:right w:val="nil"/>
            </w:tcBorders>
            <w:tcMar>
              <w:top w:w="0" w:type="dxa"/>
              <w:left w:w="62" w:type="dxa"/>
              <w:bottom w:w="0" w:type="dxa"/>
              <w:right w:w="62" w:type="dxa"/>
            </w:tcMar>
          </w:tcPr>
          <w:p w:rsidR="00000000" w:rsidP="00CE1C6C">
            <w:pPr>
              <w:pStyle w:val="BodyText"/>
              <w:rPr>
                <w:lang w:val="en-NZ"/>
              </w:rPr>
            </w:pPr>
            <w:r w:rsidRPr="00CE1C6C">
              <w:t>1.1</w:t>
            </w:r>
          </w:p>
        </w:tc>
        <w:tc>
          <w:tcPr>
            <w:tcW w:w="5394" w:type="dxa"/>
            <w:tcBorders>
              <w:top w:val="nil"/>
              <w:left w:val="nil"/>
              <w:bottom w:val="nil"/>
              <w:right w:val="nil"/>
            </w:tcBorders>
            <w:tcMar>
              <w:top w:w="0" w:type="dxa"/>
              <w:left w:w="62" w:type="dxa"/>
              <w:bottom w:w="0" w:type="dxa"/>
              <w:right w:w="62" w:type="dxa"/>
            </w:tcMar>
          </w:tcPr>
          <w:p w:rsidR="00000000" w:rsidP="00CE1C6C">
            <w:pPr>
              <w:pStyle w:val="BodyText"/>
              <w:rPr>
                <w:lang w:val="en-NZ"/>
              </w:rPr>
            </w:pPr>
            <w:r w:rsidRPr="00CE1C6C">
              <w:t>Component defect reports (removal tags) or customer order are correctly interpreted and matched by part and serial numbers</w:t>
            </w:r>
          </w:p>
        </w:tc>
      </w:tr>
      <w:tr w:rsidTr="00CE1C6C">
        <w:tblPrEx>
          <w:tblW w:w="9354" w:type="dxa"/>
          <w:tblLayout w:type="fixed"/>
          <w:tblCellMar>
            <w:left w:w="62" w:type="dxa"/>
            <w:right w:w="62" w:type="dxa"/>
          </w:tblCellMar>
          <w:tblLook w:val="0000"/>
        </w:tblPrEx>
        <w:trPr>
          <w:trHeight w:val="633"/>
        </w:trPr>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 w:type="dxa"/>
            <w:tcBorders>
              <w:top w:val="nil"/>
              <w:left w:val="nil"/>
              <w:bottom w:val="nil"/>
              <w:right w:val="nil"/>
            </w:tcBorders>
            <w:tcMar>
              <w:top w:w="0" w:type="dxa"/>
              <w:left w:w="62" w:type="dxa"/>
              <w:bottom w:w="0" w:type="dxa"/>
              <w:right w:w="62" w:type="dxa"/>
            </w:tcMar>
          </w:tcPr>
          <w:p w:rsidR="00000000" w:rsidP="00CE1C6C">
            <w:pPr>
              <w:pStyle w:val="BodyText"/>
              <w:rPr>
                <w:lang w:val="en-NZ"/>
              </w:rPr>
            </w:pPr>
            <w:r w:rsidRPr="00CE1C6C">
              <w:t>1.2</w:t>
            </w:r>
          </w:p>
        </w:tc>
        <w:tc>
          <w:tcPr>
            <w:tcW w:w="5394" w:type="dxa"/>
            <w:tcBorders>
              <w:top w:val="nil"/>
              <w:left w:val="nil"/>
              <w:bottom w:val="nil"/>
              <w:right w:val="nil"/>
            </w:tcBorders>
            <w:tcMar>
              <w:top w:w="0" w:type="dxa"/>
              <w:left w:w="62" w:type="dxa"/>
              <w:bottom w:w="0" w:type="dxa"/>
              <w:right w:w="62" w:type="dxa"/>
            </w:tcMar>
          </w:tcPr>
          <w:p w:rsidR="00000000" w:rsidP="00CE1C6C">
            <w:pPr>
              <w:pStyle w:val="BodyText"/>
              <w:rPr>
                <w:lang w:val="en-NZ"/>
              </w:rPr>
            </w:pPr>
            <w:r w:rsidRPr="00CE1C6C">
              <w:t>Crankcase assembly components are inspected and/or operated through prescribed test procedures to e</w:t>
            </w:r>
            <w:r w:rsidRPr="00CE1C6C">
              <w:t>stablish serviceability and confirm defects, if necessary</w:t>
            </w:r>
          </w:p>
        </w:tc>
      </w:tr>
      <w:tr w:rsidTr="00CE1C6C">
        <w:tblPrEx>
          <w:tblW w:w="9354"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 w:type="dxa"/>
            <w:tcBorders>
              <w:top w:val="nil"/>
              <w:left w:val="nil"/>
              <w:bottom w:val="nil"/>
              <w:right w:val="nil"/>
            </w:tcBorders>
            <w:tcMar>
              <w:top w:w="0" w:type="dxa"/>
              <w:left w:w="62" w:type="dxa"/>
              <w:bottom w:w="0" w:type="dxa"/>
              <w:right w:w="62" w:type="dxa"/>
            </w:tcMar>
          </w:tcPr>
          <w:p w:rsidR="00000000" w:rsidP="00CE1C6C">
            <w:pPr>
              <w:pStyle w:val="BodyText"/>
              <w:rPr>
                <w:lang w:val="en-NZ"/>
              </w:rPr>
            </w:pPr>
            <w:r w:rsidRPr="00CE1C6C">
              <w:t>1.3</w:t>
            </w:r>
          </w:p>
        </w:tc>
        <w:tc>
          <w:tcPr>
            <w:tcW w:w="5394" w:type="dxa"/>
            <w:tcBorders>
              <w:top w:val="nil"/>
              <w:left w:val="nil"/>
              <w:bottom w:val="nil"/>
              <w:right w:val="nil"/>
            </w:tcBorders>
            <w:tcMar>
              <w:top w:w="0" w:type="dxa"/>
              <w:left w:w="62" w:type="dxa"/>
              <w:bottom w:w="0" w:type="dxa"/>
              <w:right w:w="62" w:type="dxa"/>
            </w:tcMar>
          </w:tcPr>
          <w:p w:rsidR="00000000" w:rsidP="00CE1C6C">
            <w:pPr>
              <w:pStyle w:val="BodyText"/>
              <w:rPr>
                <w:lang w:val="en-NZ"/>
              </w:rPr>
            </w:pPr>
            <w:r w:rsidRPr="00CE1C6C">
              <w:t>Modification status is clearly established to assist in determining the overhaul requirements for the components</w:t>
            </w:r>
          </w:p>
        </w:tc>
      </w:tr>
      <w:tr w:rsidTr="00CE1C6C">
        <w:tblPrEx>
          <w:tblW w:w="9354"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 w:type="dxa"/>
            <w:tcBorders>
              <w:top w:val="nil"/>
              <w:left w:val="nil"/>
              <w:bottom w:val="nil"/>
              <w:right w:val="nil"/>
            </w:tcBorders>
            <w:tcMar>
              <w:top w:w="0" w:type="dxa"/>
              <w:left w:w="62" w:type="dxa"/>
              <w:bottom w:w="0" w:type="dxa"/>
              <w:right w:w="62" w:type="dxa"/>
            </w:tcMar>
          </w:tcPr>
          <w:p w:rsidR="00000000" w:rsidP="00CE1C6C">
            <w:pPr>
              <w:pStyle w:val="BodyText"/>
              <w:rPr>
                <w:lang w:val="en-NZ"/>
              </w:rPr>
            </w:pPr>
            <w:r w:rsidRPr="00CE1C6C">
              <w:t>1.4</w:t>
            </w:r>
          </w:p>
        </w:tc>
        <w:tc>
          <w:tcPr>
            <w:tcW w:w="5394" w:type="dxa"/>
            <w:tcBorders>
              <w:top w:val="nil"/>
              <w:left w:val="nil"/>
              <w:bottom w:val="nil"/>
              <w:right w:val="nil"/>
            </w:tcBorders>
            <w:tcMar>
              <w:top w:w="0" w:type="dxa"/>
              <w:left w:w="62" w:type="dxa"/>
              <w:bottom w:w="0" w:type="dxa"/>
              <w:right w:w="62" w:type="dxa"/>
            </w:tcMar>
          </w:tcPr>
          <w:p w:rsidR="00000000" w:rsidP="00CE1C6C">
            <w:pPr>
              <w:pStyle w:val="BodyText"/>
              <w:rPr>
                <w:lang w:val="en-NZ"/>
              </w:rPr>
            </w:pPr>
            <w:r w:rsidRPr="00CE1C6C">
              <w:t>Extent of overhaul or repair is identified and documented in accordance with standard enterprise procedures</w:t>
            </w:r>
          </w:p>
        </w:tc>
      </w:tr>
      <w:tr w:rsidTr="00CE1C6C">
        <w:tblPrEx>
          <w:tblW w:w="9354" w:type="dxa"/>
          <w:tblLayout w:type="fixed"/>
          <w:tblCellMar>
            <w:left w:w="62" w:type="dxa"/>
            <w:right w:w="62" w:type="dxa"/>
          </w:tblCellMar>
          <w:tblLook w:val="0000"/>
        </w:tblPrEx>
        <w:trPr>
          <w:trHeight w:val="657"/>
        </w:trPr>
        <w:tc>
          <w:tcPr>
            <w:tcW w:w="540" w:type="dxa"/>
            <w:tcBorders>
              <w:top w:val="nil"/>
              <w:left w:val="nil"/>
              <w:bottom w:val="nil"/>
              <w:right w:val="nil"/>
            </w:tcBorders>
            <w:tcMar>
              <w:top w:w="0" w:type="dxa"/>
              <w:left w:w="62" w:type="dxa"/>
              <w:bottom w:w="0" w:type="dxa"/>
              <w:right w:w="62" w:type="dxa"/>
            </w:tcMar>
          </w:tcPr>
          <w:p w:rsidR="00000000" w:rsidP="00CE1C6C">
            <w:pPr>
              <w:pStyle w:val="BodyText"/>
              <w:rPr>
                <w:lang w:val="en-NZ"/>
              </w:rPr>
            </w:pPr>
            <w:r w:rsidRPr="00CE1C6C">
              <w:t>2</w:t>
            </w:r>
          </w:p>
        </w:tc>
        <w:tc>
          <w:tcPr>
            <w:tcW w:w="2790" w:type="dxa"/>
            <w:tcBorders>
              <w:top w:val="nil"/>
              <w:left w:val="nil"/>
              <w:bottom w:val="nil"/>
              <w:right w:val="nil"/>
            </w:tcBorders>
            <w:tcMar>
              <w:top w:w="0" w:type="dxa"/>
              <w:left w:w="62" w:type="dxa"/>
              <w:bottom w:w="0" w:type="dxa"/>
              <w:right w:w="62" w:type="dxa"/>
            </w:tcMar>
          </w:tcPr>
          <w:p w:rsidR="00000000" w:rsidP="00CE1C6C">
            <w:pPr>
              <w:pStyle w:val="BodyText"/>
              <w:rPr>
                <w:lang w:val="en-NZ"/>
              </w:rPr>
            </w:pPr>
            <w:r w:rsidRPr="00CE1C6C">
              <w:t>Dismantle and inspect piston engine crankcase assembly components/parts</w:t>
            </w:r>
          </w:p>
        </w:tc>
        <w:tc>
          <w:tcPr>
            <w:tcW w:w="630" w:type="dxa"/>
            <w:tcBorders>
              <w:top w:val="nil"/>
              <w:left w:val="nil"/>
              <w:bottom w:val="nil"/>
              <w:right w:val="nil"/>
            </w:tcBorders>
            <w:tcMar>
              <w:top w:w="0" w:type="dxa"/>
              <w:left w:w="62" w:type="dxa"/>
              <w:bottom w:w="0" w:type="dxa"/>
              <w:right w:w="62" w:type="dxa"/>
            </w:tcMar>
          </w:tcPr>
          <w:p w:rsidR="00000000" w:rsidP="00CE1C6C">
            <w:pPr>
              <w:pStyle w:val="BodyText"/>
              <w:rPr>
                <w:lang w:val="en-NZ"/>
              </w:rPr>
            </w:pPr>
            <w:r w:rsidRPr="00CE1C6C">
              <w:t>2.1</w:t>
            </w:r>
          </w:p>
        </w:tc>
        <w:tc>
          <w:tcPr>
            <w:tcW w:w="5394" w:type="dxa"/>
            <w:tcBorders>
              <w:top w:val="nil"/>
              <w:left w:val="nil"/>
              <w:bottom w:val="nil"/>
              <w:right w:val="nil"/>
            </w:tcBorders>
            <w:tcMar>
              <w:top w:w="0" w:type="dxa"/>
              <w:left w:w="62" w:type="dxa"/>
              <w:bottom w:w="0" w:type="dxa"/>
              <w:right w:w="62" w:type="dxa"/>
            </w:tcMar>
          </w:tcPr>
          <w:p w:rsidR="00000000" w:rsidP="00CE1C6C">
            <w:pPr>
              <w:pStyle w:val="BodyText"/>
              <w:rPr>
                <w:lang w:val="en-NZ"/>
              </w:rPr>
            </w:pPr>
            <w:r w:rsidRPr="00CE1C6C">
              <w:t xml:space="preserve">Crankcase assembly component parts are dismantled in accordance with </w:t>
            </w:r>
            <w:r w:rsidRPr="00CE1C6C">
              <w:t>maintenance manual and/or enterprise procedures</w:t>
            </w:r>
          </w:p>
        </w:tc>
      </w:tr>
      <w:tr w:rsidTr="00CE1C6C">
        <w:tblPrEx>
          <w:tblW w:w="9354"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 w:type="dxa"/>
            <w:tcBorders>
              <w:top w:val="nil"/>
              <w:left w:val="nil"/>
              <w:bottom w:val="nil"/>
              <w:right w:val="nil"/>
            </w:tcBorders>
            <w:tcMar>
              <w:top w:w="0" w:type="dxa"/>
              <w:left w:w="62" w:type="dxa"/>
              <w:bottom w:w="0" w:type="dxa"/>
              <w:right w:w="62" w:type="dxa"/>
            </w:tcMar>
          </w:tcPr>
          <w:p w:rsidR="00000000" w:rsidP="00CE1C6C">
            <w:pPr>
              <w:pStyle w:val="BodyText"/>
              <w:rPr>
                <w:lang w:val="en-NZ"/>
              </w:rPr>
            </w:pPr>
            <w:r w:rsidRPr="00CE1C6C">
              <w:t>2.2</w:t>
            </w:r>
          </w:p>
        </w:tc>
        <w:tc>
          <w:tcPr>
            <w:tcW w:w="5394" w:type="dxa"/>
            <w:tcBorders>
              <w:top w:val="nil"/>
              <w:left w:val="nil"/>
              <w:bottom w:val="nil"/>
              <w:right w:val="nil"/>
            </w:tcBorders>
            <w:tcMar>
              <w:top w:w="0" w:type="dxa"/>
              <w:left w:w="62" w:type="dxa"/>
              <w:bottom w:w="0" w:type="dxa"/>
              <w:right w:w="62" w:type="dxa"/>
            </w:tcMar>
          </w:tcPr>
          <w:p w:rsidR="00000000" w:rsidP="00CE1C6C">
            <w:pPr>
              <w:pStyle w:val="BodyText"/>
              <w:rPr>
                <w:lang w:val="en-NZ"/>
              </w:rPr>
            </w:pPr>
            <w:r w:rsidRPr="00CE1C6C">
              <w:t>Component parts are assessed for serviceability in accordance with the relevant maintenance documentation</w:t>
            </w:r>
          </w:p>
        </w:tc>
      </w:tr>
      <w:tr w:rsidTr="00CE1C6C">
        <w:tblPrEx>
          <w:tblW w:w="9354"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 w:type="dxa"/>
            <w:tcBorders>
              <w:top w:val="nil"/>
              <w:left w:val="nil"/>
              <w:bottom w:val="nil"/>
              <w:right w:val="nil"/>
            </w:tcBorders>
            <w:tcMar>
              <w:top w:w="0" w:type="dxa"/>
              <w:left w:w="62" w:type="dxa"/>
              <w:bottom w:w="0" w:type="dxa"/>
              <w:right w:w="62" w:type="dxa"/>
            </w:tcMar>
          </w:tcPr>
          <w:p w:rsidR="00000000" w:rsidP="00CE1C6C">
            <w:pPr>
              <w:pStyle w:val="BodyText"/>
              <w:rPr>
                <w:lang w:val="en-NZ"/>
              </w:rPr>
            </w:pPr>
            <w:r w:rsidRPr="00CE1C6C">
              <w:t>2.3</w:t>
            </w:r>
          </w:p>
        </w:tc>
        <w:tc>
          <w:tcPr>
            <w:tcW w:w="5394" w:type="dxa"/>
            <w:tcBorders>
              <w:top w:val="nil"/>
              <w:left w:val="nil"/>
              <w:bottom w:val="nil"/>
              <w:right w:val="nil"/>
            </w:tcBorders>
            <w:tcMar>
              <w:top w:w="0" w:type="dxa"/>
              <w:left w:w="62" w:type="dxa"/>
              <w:bottom w:w="0" w:type="dxa"/>
              <w:right w:w="62" w:type="dxa"/>
            </w:tcMar>
          </w:tcPr>
          <w:p w:rsidR="00000000" w:rsidP="00CE1C6C">
            <w:pPr>
              <w:pStyle w:val="BodyText"/>
              <w:rPr>
                <w:lang w:val="en-NZ"/>
              </w:rPr>
            </w:pPr>
            <w:r w:rsidRPr="00CE1C6C">
              <w:t xml:space="preserve">Parts requiring specialist repair are tagged and repair instructions are specified in </w:t>
            </w:r>
            <w:r w:rsidRPr="00CE1C6C">
              <w:t>accordance with standard enterprise procedures</w:t>
            </w:r>
          </w:p>
        </w:tc>
      </w:tr>
      <w:tr w:rsidTr="00CE1C6C">
        <w:tblPrEx>
          <w:tblW w:w="9354"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 w:type="dxa"/>
            <w:tcBorders>
              <w:top w:val="nil"/>
              <w:left w:val="nil"/>
              <w:bottom w:val="nil"/>
              <w:right w:val="nil"/>
            </w:tcBorders>
            <w:tcMar>
              <w:top w:w="0" w:type="dxa"/>
              <w:left w:w="62" w:type="dxa"/>
              <w:bottom w:w="0" w:type="dxa"/>
              <w:right w:w="62" w:type="dxa"/>
            </w:tcMar>
          </w:tcPr>
          <w:p w:rsidR="00000000" w:rsidP="00CE1C6C">
            <w:pPr>
              <w:pStyle w:val="BodyText"/>
              <w:rPr>
                <w:lang w:val="en-NZ"/>
              </w:rPr>
            </w:pPr>
            <w:r w:rsidRPr="00CE1C6C">
              <w:t>2.4</w:t>
            </w:r>
          </w:p>
        </w:tc>
        <w:tc>
          <w:tcPr>
            <w:tcW w:w="5394" w:type="dxa"/>
            <w:tcBorders>
              <w:top w:val="nil"/>
              <w:left w:val="nil"/>
              <w:bottom w:val="nil"/>
              <w:right w:val="nil"/>
            </w:tcBorders>
            <w:tcMar>
              <w:top w:w="0" w:type="dxa"/>
              <w:left w:w="62" w:type="dxa"/>
              <w:bottom w:w="0" w:type="dxa"/>
              <w:right w:w="62" w:type="dxa"/>
            </w:tcMar>
          </w:tcPr>
          <w:p w:rsidR="00000000" w:rsidP="00CE1C6C">
            <w:pPr>
              <w:pStyle w:val="BodyText"/>
              <w:rPr>
                <w:lang w:val="en-NZ"/>
              </w:rPr>
            </w:pPr>
            <w:r w:rsidRPr="00CE1C6C">
              <w:t>Parts requiring non-destructive testing are prepared for testing in accordance with the relevant maintenance documentation</w:t>
            </w:r>
          </w:p>
        </w:tc>
      </w:tr>
      <w:tr w:rsidTr="00CE1C6C">
        <w:tblPrEx>
          <w:tblW w:w="9354"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 w:type="dxa"/>
            <w:tcBorders>
              <w:top w:val="nil"/>
              <w:left w:val="nil"/>
              <w:bottom w:val="nil"/>
              <w:right w:val="nil"/>
            </w:tcBorders>
            <w:tcMar>
              <w:top w:w="0" w:type="dxa"/>
              <w:left w:w="62" w:type="dxa"/>
              <w:bottom w:w="0" w:type="dxa"/>
              <w:right w:w="62" w:type="dxa"/>
            </w:tcMar>
          </w:tcPr>
          <w:p w:rsidR="00000000" w:rsidP="00CE1C6C">
            <w:pPr>
              <w:pStyle w:val="BodyText"/>
              <w:rPr>
                <w:lang w:val="en-NZ"/>
              </w:rPr>
            </w:pPr>
            <w:r w:rsidRPr="00CE1C6C">
              <w:t>2.5</w:t>
            </w:r>
          </w:p>
        </w:tc>
        <w:tc>
          <w:tcPr>
            <w:tcW w:w="5394" w:type="dxa"/>
            <w:tcBorders>
              <w:top w:val="nil"/>
              <w:left w:val="nil"/>
              <w:bottom w:val="nil"/>
              <w:right w:val="nil"/>
            </w:tcBorders>
            <w:tcMar>
              <w:top w:w="0" w:type="dxa"/>
              <w:left w:w="62" w:type="dxa"/>
              <w:bottom w:w="0" w:type="dxa"/>
              <w:right w:w="62" w:type="dxa"/>
            </w:tcMar>
          </w:tcPr>
          <w:p w:rsidR="00000000" w:rsidP="00CE1C6C">
            <w:pPr>
              <w:pStyle w:val="BodyText"/>
              <w:rPr>
                <w:lang w:val="en-NZ"/>
              </w:rPr>
            </w:pPr>
            <w:r w:rsidRPr="00CE1C6C">
              <w:t>Parts lists are compiled and processed in accordance with standard enterprise procedures</w:t>
            </w:r>
          </w:p>
        </w:tc>
      </w:tr>
      <w:tr w:rsidTr="00CE1C6C">
        <w:tblPrEx>
          <w:tblW w:w="9354" w:type="dxa"/>
          <w:tblLayout w:type="fixed"/>
          <w:tblCellMar>
            <w:left w:w="62" w:type="dxa"/>
            <w:right w:w="62" w:type="dxa"/>
          </w:tblCellMar>
          <w:tblLook w:val="0000"/>
        </w:tblPrEx>
        <w:trPr>
          <w:trHeight w:val="758"/>
        </w:trPr>
        <w:tc>
          <w:tcPr>
            <w:tcW w:w="540" w:type="dxa"/>
            <w:tcBorders>
              <w:top w:val="nil"/>
              <w:left w:val="nil"/>
              <w:bottom w:val="nil"/>
              <w:right w:val="nil"/>
            </w:tcBorders>
            <w:tcMar>
              <w:top w:w="0" w:type="dxa"/>
              <w:left w:w="62" w:type="dxa"/>
              <w:bottom w:w="0" w:type="dxa"/>
              <w:right w:w="62" w:type="dxa"/>
            </w:tcMar>
          </w:tcPr>
          <w:p w:rsidR="00000000" w:rsidP="00CE1C6C">
            <w:pPr>
              <w:pStyle w:val="BodyText"/>
              <w:rPr>
                <w:lang w:val="en-NZ"/>
              </w:rPr>
            </w:pPr>
            <w:r w:rsidRPr="00CE1C6C">
              <w:t>3</w:t>
            </w:r>
          </w:p>
        </w:tc>
        <w:tc>
          <w:tcPr>
            <w:tcW w:w="2790" w:type="dxa"/>
            <w:tcBorders>
              <w:top w:val="nil"/>
              <w:left w:val="nil"/>
              <w:bottom w:val="nil"/>
              <w:right w:val="nil"/>
            </w:tcBorders>
            <w:tcMar>
              <w:top w:w="0" w:type="dxa"/>
              <w:left w:w="62" w:type="dxa"/>
              <w:bottom w:w="0" w:type="dxa"/>
              <w:right w:w="62" w:type="dxa"/>
            </w:tcMar>
          </w:tcPr>
          <w:p w:rsidR="00000000" w:rsidP="00CE1C6C">
            <w:pPr>
              <w:pStyle w:val="BodyText"/>
              <w:rPr>
                <w:lang w:val="en-NZ"/>
              </w:rPr>
            </w:pPr>
            <w:r w:rsidRPr="00CE1C6C">
              <w:t>Repair and/or modify piston engine crankcase assembly components or parts</w:t>
            </w:r>
          </w:p>
        </w:tc>
        <w:tc>
          <w:tcPr>
            <w:tcW w:w="630" w:type="dxa"/>
            <w:tcBorders>
              <w:top w:val="nil"/>
              <w:left w:val="nil"/>
              <w:bottom w:val="nil"/>
              <w:right w:val="nil"/>
            </w:tcBorders>
            <w:tcMar>
              <w:top w:w="0" w:type="dxa"/>
              <w:left w:w="62" w:type="dxa"/>
              <w:bottom w:w="0" w:type="dxa"/>
              <w:right w:w="62" w:type="dxa"/>
            </w:tcMar>
          </w:tcPr>
          <w:p w:rsidR="00000000" w:rsidP="00CE1C6C">
            <w:pPr>
              <w:pStyle w:val="BodyText"/>
              <w:rPr>
                <w:lang w:val="en-NZ"/>
              </w:rPr>
            </w:pPr>
            <w:r w:rsidRPr="00CE1C6C">
              <w:t>3.1</w:t>
            </w:r>
          </w:p>
        </w:tc>
        <w:tc>
          <w:tcPr>
            <w:tcW w:w="5394" w:type="dxa"/>
            <w:tcBorders>
              <w:top w:val="nil"/>
              <w:left w:val="nil"/>
              <w:bottom w:val="nil"/>
              <w:right w:val="nil"/>
            </w:tcBorders>
            <w:tcMar>
              <w:top w:w="0" w:type="dxa"/>
              <w:left w:w="62" w:type="dxa"/>
              <w:bottom w:w="0" w:type="dxa"/>
              <w:right w:w="62" w:type="dxa"/>
            </w:tcMar>
          </w:tcPr>
          <w:p w:rsidR="00000000" w:rsidP="00CE1C6C">
            <w:pPr>
              <w:pStyle w:val="BodyText"/>
              <w:rPr>
                <w:lang w:val="en-NZ"/>
              </w:rPr>
            </w:pPr>
            <w:r w:rsidRPr="00CE1C6C">
              <w:t>Component parts are repaired or replaced in accordance with the relevant maintenance d</w:t>
            </w:r>
            <w:r w:rsidRPr="00CE1C6C">
              <w:t>ocumentation</w:t>
            </w:r>
          </w:p>
        </w:tc>
      </w:tr>
      <w:tr w:rsidTr="00CE1C6C">
        <w:tblPrEx>
          <w:tblW w:w="9354" w:type="dxa"/>
          <w:tblLayout w:type="fixed"/>
          <w:tblCellMar>
            <w:left w:w="62" w:type="dxa"/>
            <w:right w:w="62" w:type="dxa"/>
          </w:tblCellMar>
          <w:tblLook w:val="0000"/>
        </w:tblPrEx>
        <w:trPr>
          <w:trHeight w:val="757"/>
        </w:trPr>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 w:type="dxa"/>
            <w:tcBorders>
              <w:top w:val="nil"/>
              <w:left w:val="nil"/>
              <w:bottom w:val="nil"/>
              <w:right w:val="nil"/>
            </w:tcBorders>
            <w:tcMar>
              <w:top w:w="0" w:type="dxa"/>
              <w:left w:w="62" w:type="dxa"/>
              <w:bottom w:w="0" w:type="dxa"/>
              <w:right w:w="62" w:type="dxa"/>
            </w:tcMar>
          </w:tcPr>
          <w:p w:rsidR="00000000" w:rsidP="00CE1C6C">
            <w:pPr>
              <w:pStyle w:val="BodyText"/>
              <w:rPr>
                <w:lang w:val="en-NZ"/>
              </w:rPr>
            </w:pPr>
            <w:r w:rsidRPr="00CE1C6C">
              <w:t>3.2</w:t>
            </w:r>
          </w:p>
        </w:tc>
        <w:tc>
          <w:tcPr>
            <w:tcW w:w="5394" w:type="dxa"/>
            <w:tcBorders>
              <w:top w:val="nil"/>
              <w:left w:val="nil"/>
              <w:bottom w:val="nil"/>
              <w:right w:val="nil"/>
            </w:tcBorders>
            <w:tcMar>
              <w:top w:w="0" w:type="dxa"/>
              <w:left w:w="62" w:type="dxa"/>
              <w:bottom w:w="0" w:type="dxa"/>
              <w:right w:w="62" w:type="dxa"/>
            </w:tcMar>
          </w:tcPr>
          <w:p w:rsidR="00000000" w:rsidP="00CE1C6C">
            <w:pPr>
              <w:pStyle w:val="BodyText"/>
              <w:rPr>
                <w:lang w:val="en-NZ"/>
              </w:rPr>
            </w:pPr>
            <w:r w:rsidRPr="00CE1C6C">
              <w:t>Modification of components is undertaken where required by reference to relevant manufacturer's bulletins or procedures, regulatory requirements and/or customer requirements</w:t>
            </w:r>
          </w:p>
        </w:tc>
      </w:tr>
      <w:tr w:rsidTr="00CE1C6C">
        <w:tblPrEx>
          <w:tblW w:w="9354" w:type="dxa"/>
          <w:tblLayout w:type="fixed"/>
          <w:tblCellMar>
            <w:left w:w="62" w:type="dxa"/>
            <w:right w:w="62" w:type="dxa"/>
          </w:tblCellMar>
          <w:tblLook w:val="0000"/>
        </w:tblPrEx>
        <w:trPr>
          <w:trHeight w:val="657"/>
        </w:trPr>
        <w:tc>
          <w:tcPr>
            <w:tcW w:w="540" w:type="dxa"/>
            <w:tcBorders>
              <w:top w:val="nil"/>
              <w:left w:val="nil"/>
              <w:bottom w:val="nil"/>
              <w:right w:val="nil"/>
            </w:tcBorders>
            <w:tcMar>
              <w:top w:w="0" w:type="dxa"/>
              <w:left w:w="62" w:type="dxa"/>
              <w:bottom w:w="0" w:type="dxa"/>
              <w:right w:w="62" w:type="dxa"/>
            </w:tcMar>
          </w:tcPr>
          <w:p w:rsidR="00000000" w:rsidP="00CE1C6C">
            <w:pPr>
              <w:pStyle w:val="BodyText"/>
              <w:rPr>
                <w:lang w:val="en-NZ"/>
              </w:rPr>
            </w:pPr>
            <w:r w:rsidRPr="00CE1C6C">
              <w:t>4</w:t>
            </w:r>
          </w:p>
        </w:tc>
        <w:tc>
          <w:tcPr>
            <w:tcW w:w="2790" w:type="dxa"/>
            <w:tcBorders>
              <w:top w:val="nil"/>
              <w:left w:val="nil"/>
              <w:bottom w:val="nil"/>
              <w:right w:val="nil"/>
            </w:tcBorders>
            <w:tcMar>
              <w:top w:w="0" w:type="dxa"/>
              <w:left w:w="62" w:type="dxa"/>
              <w:bottom w:w="0" w:type="dxa"/>
              <w:right w:w="62" w:type="dxa"/>
            </w:tcMar>
          </w:tcPr>
          <w:p w:rsidR="00000000" w:rsidP="00CE1C6C">
            <w:pPr>
              <w:pStyle w:val="BodyText"/>
              <w:rPr>
                <w:lang w:val="en-NZ"/>
              </w:rPr>
            </w:pPr>
            <w:r w:rsidRPr="00CE1C6C">
              <w:t>Assemble, test and adjust piston engine crankcase assembly components</w:t>
            </w:r>
          </w:p>
        </w:tc>
        <w:tc>
          <w:tcPr>
            <w:tcW w:w="630" w:type="dxa"/>
            <w:tcBorders>
              <w:top w:val="nil"/>
              <w:left w:val="nil"/>
              <w:bottom w:val="nil"/>
              <w:right w:val="nil"/>
            </w:tcBorders>
            <w:tcMar>
              <w:top w:w="0" w:type="dxa"/>
              <w:left w:w="62" w:type="dxa"/>
              <w:bottom w:w="0" w:type="dxa"/>
              <w:right w:w="62" w:type="dxa"/>
            </w:tcMar>
          </w:tcPr>
          <w:p w:rsidR="00000000" w:rsidP="00CE1C6C">
            <w:pPr>
              <w:pStyle w:val="BodyText"/>
              <w:rPr>
                <w:lang w:val="en-NZ"/>
              </w:rPr>
            </w:pPr>
            <w:r w:rsidRPr="00CE1C6C">
              <w:t>4.1</w:t>
            </w:r>
          </w:p>
        </w:tc>
        <w:tc>
          <w:tcPr>
            <w:tcW w:w="5394" w:type="dxa"/>
            <w:tcBorders>
              <w:top w:val="nil"/>
              <w:left w:val="nil"/>
              <w:bottom w:val="nil"/>
              <w:right w:val="nil"/>
            </w:tcBorders>
            <w:tcMar>
              <w:top w:w="0" w:type="dxa"/>
              <w:left w:w="62" w:type="dxa"/>
              <w:bottom w:w="0" w:type="dxa"/>
              <w:right w:w="62" w:type="dxa"/>
            </w:tcMar>
          </w:tcPr>
          <w:p w:rsidR="00000000" w:rsidP="00CE1C6C">
            <w:pPr>
              <w:pStyle w:val="BodyText"/>
              <w:rPr>
                <w:lang w:val="en-NZ"/>
              </w:rPr>
            </w:pPr>
            <w:r w:rsidRPr="00CE1C6C">
              <w:t>Crankcase assembly component parts are assembled within specified tolerances and in accordance with the appropriate maintenance documents</w:t>
            </w:r>
          </w:p>
        </w:tc>
      </w:tr>
      <w:tr w:rsidTr="00CE1C6C">
        <w:tblPrEx>
          <w:tblW w:w="9354"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 w:type="dxa"/>
            <w:tcBorders>
              <w:top w:val="nil"/>
              <w:left w:val="nil"/>
              <w:bottom w:val="nil"/>
              <w:right w:val="nil"/>
            </w:tcBorders>
            <w:tcMar>
              <w:top w:w="0" w:type="dxa"/>
              <w:left w:w="62" w:type="dxa"/>
              <w:bottom w:w="0" w:type="dxa"/>
              <w:right w:w="62" w:type="dxa"/>
            </w:tcMar>
          </w:tcPr>
          <w:p w:rsidR="00000000" w:rsidP="00CE1C6C">
            <w:pPr>
              <w:pStyle w:val="BodyText"/>
              <w:rPr>
                <w:lang w:val="en-NZ"/>
              </w:rPr>
            </w:pPr>
            <w:r w:rsidRPr="00CE1C6C">
              <w:t>4.2</w:t>
            </w:r>
          </w:p>
        </w:tc>
        <w:tc>
          <w:tcPr>
            <w:tcW w:w="5394" w:type="dxa"/>
            <w:tcBorders>
              <w:top w:val="nil"/>
              <w:left w:val="nil"/>
              <w:bottom w:val="nil"/>
              <w:right w:val="nil"/>
            </w:tcBorders>
            <w:tcMar>
              <w:top w:w="0" w:type="dxa"/>
              <w:left w:w="62" w:type="dxa"/>
              <w:bottom w:w="0" w:type="dxa"/>
              <w:right w:w="62" w:type="dxa"/>
            </w:tcMar>
          </w:tcPr>
          <w:p w:rsidR="00000000" w:rsidP="00CE1C6C">
            <w:pPr>
              <w:pStyle w:val="BodyText"/>
              <w:rPr>
                <w:lang w:val="en-NZ"/>
              </w:rPr>
            </w:pPr>
            <w:r w:rsidRPr="00CE1C6C">
              <w:t>Components are tested, adjusted or ca</w:t>
            </w:r>
            <w:r w:rsidRPr="00CE1C6C">
              <w:t>librated to operate within prescribed specifications</w:t>
            </w:r>
          </w:p>
        </w:tc>
      </w:tr>
      <w:tr w:rsidTr="00CE1C6C">
        <w:tblPrEx>
          <w:tblW w:w="9354"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 w:type="dxa"/>
            <w:tcBorders>
              <w:top w:val="nil"/>
              <w:left w:val="nil"/>
              <w:bottom w:val="nil"/>
              <w:right w:val="nil"/>
            </w:tcBorders>
            <w:tcMar>
              <w:top w:w="0" w:type="dxa"/>
              <w:left w:w="62" w:type="dxa"/>
              <w:bottom w:w="0" w:type="dxa"/>
              <w:right w:w="62" w:type="dxa"/>
            </w:tcMar>
          </w:tcPr>
          <w:p w:rsidR="00000000" w:rsidP="00CE1C6C">
            <w:pPr>
              <w:pStyle w:val="BodyText"/>
              <w:rPr>
                <w:lang w:val="en-NZ"/>
              </w:rPr>
            </w:pPr>
            <w:r w:rsidRPr="00CE1C6C">
              <w:t>4.3</w:t>
            </w:r>
          </w:p>
        </w:tc>
        <w:tc>
          <w:tcPr>
            <w:tcW w:w="5394" w:type="dxa"/>
            <w:tcBorders>
              <w:top w:val="nil"/>
              <w:left w:val="nil"/>
              <w:bottom w:val="nil"/>
              <w:right w:val="nil"/>
            </w:tcBorders>
            <w:tcMar>
              <w:top w:w="0" w:type="dxa"/>
              <w:left w:w="62" w:type="dxa"/>
              <w:bottom w:w="0" w:type="dxa"/>
              <w:right w:w="62" w:type="dxa"/>
            </w:tcMar>
          </w:tcPr>
          <w:p w:rsidR="00000000" w:rsidP="00CE1C6C">
            <w:pPr>
              <w:pStyle w:val="BodyText"/>
              <w:rPr>
                <w:lang w:val="en-NZ"/>
              </w:rPr>
            </w:pPr>
            <w:r w:rsidRPr="00CE1C6C">
              <w:t>Crankcase assembly is prepared for engine reassembly</w:t>
            </w:r>
          </w:p>
        </w:tc>
      </w:tr>
      <w:tr w:rsidTr="00CE1C6C">
        <w:tblPrEx>
          <w:tblW w:w="9354"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 w:type="dxa"/>
            <w:tcBorders>
              <w:top w:val="nil"/>
              <w:left w:val="nil"/>
              <w:bottom w:val="nil"/>
              <w:right w:val="nil"/>
            </w:tcBorders>
            <w:tcMar>
              <w:top w:w="0" w:type="dxa"/>
              <w:left w:w="62" w:type="dxa"/>
              <w:bottom w:w="0" w:type="dxa"/>
              <w:right w:w="62" w:type="dxa"/>
            </w:tcMar>
          </w:tcPr>
          <w:p w:rsidR="00000000" w:rsidP="00CE1C6C">
            <w:pPr>
              <w:pStyle w:val="BodyText"/>
              <w:rPr>
                <w:lang w:val="en-NZ"/>
              </w:rPr>
            </w:pPr>
            <w:r w:rsidRPr="00CE1C6C">
              <w:t>4.4</w:t>
            </w:r>
          </w:p>
        </w:tc>
        <w:tc>
          <w:tcPr>
            <w:tcW w:w="5394" w:type="dxa"/>
            <w:tcBorders>
              <w:top w:val="nil"/>
              <w:left w:val="nil"/>
              <w:bottom w:val="nil"/>
              <w:right w:val="nil"/>
            </w:tcBorders>
            <w:tcMar>
              <w:top w:w="0" w:type="dxa"/>
              <w:left w:w="62" w:type="dxa"/>
              <w:bottom w:w="0" w:type="dxa"/>
              <w:right w:w="62" w:type="dxa"/>
            </w:tcMar>
          </w:tcPr>
          <w:p w:rsidR="00000000" w:rsidP="00CE1C6C">
            <w:pPr>
              <w:pStyle w:val="BodyText"/>
              <w:rPr>
                <w:lang w:val="en-NZ"/>
              </w:rPr>
            </w:pPr>
            <w:r w:rsidRPr="00CE1C6C">
              <w:t>Where components are not to be assembled into an engine the finished components are tagged, sealed and packaged in accordance with standard enterprise procedures</w:t>
            </w:r>
          </w:p>
        </w:tc>
      </w:tr>
      <w:tr w:rsidTr="00CE1C6C">
        <w:tblPrEx>
          <w:tblW w:w="9354" w:type="dxa"/>
          <w:tblLayout w:type="fixed"/>
          <w:tblCellMar>
            <w:left w:w="62" w:type="dxa"/>
            <w:right w:w="62" w:type="dxa"/>
          </w:tblCellMar>
          <w:tblLook w:val="0000"/>
        </w:tblPrEx>
        <w:trPr>
          <w:trHeight w:val="657"/>
        </w:trPr>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 w:type="dxa"/>
            <w:tcBorders>
              <w:top w:val="nil"/>
              <w:left w:val="nil"/>
              <w:bottom w:val="nil"/>
              <w:right w:val="nil"/>
            </w:tcBorders>
            <w:tcMar>
              <w:top w:w="0" w:type="dxa"/>
              <w:left w:w="62" w:type="dxa"/>
              <w:bottom w:w="0" w:type="dxa"/>
              <w:right w:w="62" w:type="dxa"/>
            </w:tcMar>
          </w:tcPr>
          <w:p w:rsidR="00000000" w:rsidP="00CE1C6C">
            <w:pPr>
              <w:pStyle w:val="BodyText"/>
              <w:rPr>
                <w:lang w:val="en-NZ"/>
              </w:rPr>
            </w:pPr>
            <w:r w:rsidRPr="00CE1C6C">
              <w:t>4.5</w:t>
            </w:r>
          </w:p>
        </w:tc>
        <w:tc>
          <w:tcPr>
            <w:tcW w:w="5394" w:type="dxa"/>
            <w:tcBorders>
              <w:top w:val="nil"/>
              <w:left w:val="nil"/>
              <w:bottom w:val="nil"/>
              <w:right w:val="nil"/>
            </w:tcBorders>
            <w:tcMar>
              <w:top w:w="0" w:type="dxa"/>
              <w:left w:w="62" w:type="dxa"/>
              <w:bottom w:w="0" w:type="dxa"/>
              <w:right w:w="62" w:type="dxa"/>
            </w:tcMar>
          </w:tcPr>
          <w:p w:rsidR="00000000" w:rsidRPr="00CE1C6C" w:rsidP="00CE1C6C">
            <w:pPr>
              <w:pStyle w:val="BodyText"/>
            </w:pPr>
            <w:r w:rsidRPr="00CE1C6C">
              <w:t>Required maintenance documentation and modification records are completed and processed</w:t>
            </w:r>
            <w:r w:rsidRPr="00CE1C6C">
              <w:t xml:space="preserve"> in accordance with standard enterprise procedures</w:t>
            </w:r>
          </w:p>
        </w:tc>
      </w:tr>
    </w:tbl>
    <w:p w:rsidR="00000000" w:rsidRPr="00CE1C6C" w:rsidP="00CE1C6C">
      <w:pPr>
        <w:pStyle w:val="BodyText"/>
      </w:pPr>
    </w:p>
    <w:p w:rsidR="00000000" w:rsidRPr="00CE1C6C" w:rsidP="00CE1C6C">
      <w:pPr>
        <w:pStyle w:val="AllowPageBreak"/>
      </w:pPr>
    </w:p>
    <w:p w:rsidR="00000000" w:rsidRPr="00CE1C6C" w:rsidP="00CE1C6C">
      <w:pPr>
        <w:pStyle w:val="Heading1"/>
      </w:pPr>
      <w:bookmarkStart w:id="9" w:name="O_592098"/>
      <w:bookmarkEnd w:id="9"/>
      <w:r w:rsidRPr="00CE1C6C">
        <w:t>Required Skills and Knowledge</w:t>
      </w:r>
    </w:p>
    <w:tbl>
      <w:tblPr>
        <w:tblW w:w="9354" w:type="dxa"/>
        <w:tblLayout w:type="fixed"/>
        <w:tblCellMar>
          <w:left w:w="62" w:type="dxa"/>
          <w:right w:w="62" w:type="dxa"/>
        </w:tblCellMar>
        <w:tblLook w:val="0000"/>
      </w:tblPr>
      <w:tblGrid>
        <w:gridCol w:w="9354"/>
      </w:tblGrid>
      <w:tr w:rsidTr="00CE1C6C">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CE1C6C">
            <w:pPr>
              <w:pStyle w:val="BodyText"/>
              <w:rPr>
                <w:lang w:val="en-NZ"/>
              </w:rPr>
            </w:pPr>
            <w:r w:rsidRPr="00CE1C6C">
              <w:t>This section describes the skills and knowledge required for this unit.</w:t>
            </w:r>
          </w:p>
        </w:tc>
      </w:tr>
      <w:tr w:rsidTr="00CE1C6C">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CE1C6C">
            <w:pPr>
              <w:pStyle w:val="BodyText"/>
              <w:rPr>
                <w:lang w:val="en-NZ"/>
              </w:rPr>
            </w:pPr>
            <w:r w:rsidRPr="00CE1C6C">
              <w:rPr>
                <w:rStyle w:val="SpecialBold"/>
              </w:rPr>
              <w:t>Required skills</w:t>
            </w:r>
          </w:p>
        </w:tc>
      </w:tr>
      <w:tr w:rsidTr="00CE1C6C">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CE1C6C" w:rsidP="00CE1C6C">
            <w:pPr>
              <w:pStyle w:val="BodyText"/>
            </w:pPr>
            <w:r w:rsidRPr="00CE1C6C">
              <w:t>Required skills include:</w:t>
            </w:r>
          </w:p>
          <w:p w:rsidR="00000000" w:rsidRPr="00CE1C6C" w:rsidP="00CE1C6C">
            <w:pPr>
              <w:pStyle w:val="ListBullet"/>
            </w:pPr>
            <w:r w:rsidRPr="00CE1C6C">
              <w:t>applying relevant work health and safety (WHS) procedures, including the use of material safety data sheets (MSDS) and personal protective equipment (PPE)</w:t>
            </w:r>
          </w:p>
          <w:p w:rsidR="00000000" w:rsidRPr="00CE1C6C" w:rsidP="00CE1C6C">
            <w:pPr>
              <w:pStyle w:val="ListBullet"/>
            </w:pPr>
            <w:r w:rsidRPr="00CE1C6C">
              <w:t>using relevant maintenance documentation, specifications and aircraft/component manuals to:</w:t>
            </w:r>
          </w:p>
          <w:p w:rsidR="00000000" w:rsidRPr="00CE1C6C" w:rsidP="00CE1C6C">
            <w:pPr>
              <w:pStyle w:val="ListBullet2"/>
            </w:pPr>
            <w:r w:rsidRPr="00CE1C6C">
              <w:t>recognis</w:t>
            </w:r>
            <w:r w:rsidRPr="00CE1C6C">
              <w:t>e state of serviceability and overhaul or repair requirements for piston engine crankcase assembly components as listed in the Range of Variables</w:t>
            </w:r>
          </w:p>
          <w:p w:rsidR="00000000" w:rsidRPr="00CE1C6C" w:rsidP="00CE1C6C">
            <w:pPr>
              <w:pStyle w:val="ListBullet2"/>
            </w:pPr>
            <w:r w:rsidRPr="00CE1C6C">
              <w:t xml:space="preserve">dismantle and inspect crankcase assembly component parts for </w:t>
            </w:r>
            <w:r w:rsidRPr="00CE1C6C">
              <w:t>serviceability and identify repair requirements as applicable</w:t>
            </w:r>
          </w:p>
          <w:p w:rsidR="00000000" w:rsidRPr="00CE1C6C" w:rsidP="00CE1C6C">
            <w:pPr>
              <w:pStyle w:val="ListBullet2"/>
            </w:pPr>
            <w:r w:rsidRPr="00CE1C6C">
              <w:t>repair/replace/modify crankcase component parts</w:t>
            </w:r>
          </w:p>
          <w:p w:rsidR="00000000" w:rsidRPr="00CE1C6C" w:rsidP="00CE1C6C">
            <w:pPr>
              <w:pStyle w:val="ListBullet2"/>
            </w:pPr>
            <w:r w:rsidRPr="00CE1C6C">
              <w:t>assemble, test for correct operation and adjust crankcase assembly components</w:t>
            </w:r>
          </w:p>
          <w:p w:rsidR="00000000" w:rsidP="00CE1C6C">
            <w:pPr>
              <w:pStyle w:val="ListBullet"/>
              <w:rPr>
                <w:lang w:val="en-NZ"/>
              </w:rPr>
            </w:pPr>
            <w:r w:rsidRPr="00CE1C6C">
              <w:t>correctly tagging, sealing and packaging completed components</w:t>
            </w:r>
          </w:p>
        </w:tc>
      </w:tr>
      <w:tr w:rsidTr="00CE1C6C">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CE1C6C">
            <w:pPr>
              <w:pStyle w:val="BodyText"/>
              <w:rPr>
                <w:lang w:val="en-NZ"/>
              </w:rPr>
            </w:pPr>
            <w:r w:rsidRPr="00CE1C6C">
              <w:rPr>
                <w:rStyle w:val="SpecialBold"/>
              </w:rPr>
              <w:t>Requ</w:t>
            </w:r>
            <w:r w:rsidRPr="00CE1C6C">
              <w:rPr>
                <w:rStyle w:val="SpecialBold"/>
              </w:rPr>
              <w:t>ired knowledge</w:t>
            </w:r>
          </w:p>
        </w:tc>
      </w:tr>
      <w:tr w:rsidTr="00CE1C6C">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CE1C6C" w:rsidP="00CE1C6C">
            <w:pPr>
              <w:pStyle w:val="BodyText"/>
            </w:pPr>
            <w:r w:rsidRPr="00CE1C6C">
              <w:t>Required knowledge includes:</w:t>
            </w:r>
          </w:p>
          <w:p w:rsidR="00000000" w:rsidRPr="00CE1C6C" w:rsidP="00CE1C6C">
            <w:pPr>
              <w:pStyle w:val="ListBullet"/>
            </w:pPr>
            <w:r w:rsidRPr="00CE1C6C">
              <w:t>how to obtain relevant MSDS</w:t>
            </w:r>
          </w:p>
          <w:p w:rsidR="00000000" w:rsidRPr="00CE1C6C" w:rsidP="00CE1C6C">
            <w:pPr>
              <w:pStyle w:val="ListBullet"/>
            </w:pPr>
            <w:r w:rsidRPr="00CE1C6C">
              <w:t>the use of applicable items of PPE</w:t>
            </w:r>
          </w:p>
          <w:p w:rsidR="00000000" w:rsidRPr="00CE1C6C" w:rsidP="00CE1C6C">
            <w:pPr>
              <w:pStyle w:val="ListBullet"/>
            </w:pPr>
            <w:r w:rsidRPr="00CE1C6C">
              <w:t>WHS procedures</w:t>
            </w:r>
          </w:p>
          <w:p w:rsidR="00000000" w:rsidRPr="00CE1C6C" w:rsidP="00CE1C6C">
            <w:pPr>
              <w:pStyle w:val="ListBullet"/>
            </w:pPr>
            <w:r w:rsidRPr="00CE1C6C">
              <w:t>component inspection and wear measurement procedures</w:t>
            </w:r>
          </w:p>
          <w:p w:rsidR="00000000" w:rsidRPr="00CE1C6C" w:rsidP="00CE1C6C">
            <w:pPr>
              <w:pStyle w:val="ListBullet"/>
            </w:pPr>
            <w:r w:rsidRPr="00CE1C6C">
              <w:t>non-destructive testing methods and application</w:t>
            </w:r>
          </w:p>
          <w:p w:rsidR="00000000" w:rsidRPr="00CE1C6C" w:rsidP="00CE1C6C">
            <w:pPr>
              <w:pStyle w:val="ListBullet"/>
            </w:pPr>
            <w:r w:rsidRPr="00CE1C6C">
              <w:t>component repair and overhaul procedures and processes</w:t>
            </w:r>
          </w:p>
        </w:tc>
      </w:tr>
    </w:tbl>
    <w:p w:rsidR="00000000" w:rsidRPr="00CE1C6C" w:rsidP="00CE1C6C">
      <w:pPr>
        <w:pStyle w:val="BodyText"/>
      </w:pPr>
    </w:p>
    <w:p w:rsidR="00000000" w:rsidRPr="00CE1C6C" w:rsidP="00CE1C6C">
      <w:pPr>
        <w:pStyle w:val="AllowPageBreak"/>
      </w:pPr>
    </w:p>
    <w:p w:rsidR="00000000" w:rsidRPr="00CE1C6C" w:rsidP="00CE1C6C">
      <w:pPr>
        <w:pStyle w:val="Heading1"/>
      </w:pPr>
      <w:bookmarkStart w:id="10" w:name="O_592099"/>
      <w:bookmarkEnd w:id="10"/>
      <w:r w:rsidRPr="00CE1C6C">
        <w:t>Evidence Guide</w:t>
      </w:r>
    </w:p>
    <w:tbl>
      <w:tblPr>
        <w:tblW w:w="9354" w:type="dxa"/>
        <w:tblLayout w:type="fixed"/>
        <w:tblCellMar>
          <w:left w:w="62" w:type="dxa"/>
          <w:right w:w="62" w:type="dxa"/>
        </w:tblCellMar>
        <w:tblLook w:val="0000"/>
      </w:tblPr>
      <w:tblGrid>
        <w:gridCol w:w="3692"/>
        <w:gridCol w:w="5662"/>
      </w:tblGrid>
      <w:tr w:rsidTr="00CE1C6C">
        <w:tblPrEx>
          <w:tblW w:w="9354" w:type="dxa"/>
          <w:tblLayout w:type="fixed"/>
          <w:tblCellMar>
            <w:left w:w="62" w:type="dxa"/>
            <w:right w:w="62" w:type="dxa"/>
          </w:tblCellMar>
          <w:tblLook w:val="0000"/>
        </w:tblPrEx>
        <w:tc>
          <w:tcPr>
            <w:tcW w:w="9354"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E1C6C">
            <w:pPr>
              <w:pStyle w:val="BodyText"/>
              <w:rPr>
                <w:lang w:val="en-NZ"/>
              </w:rPr>
            </w:pPr>
            <w:r w:rsidRPr="00CE1C6C">
              <w:t xml:space="preserve">The evidence guide provides advice on assessment and must be read in conjunction with the performance criteria, required skills and knowledge, range statement and the </w:t>
            </w:r>
            <w:r w:rsidRPr="00CE1C6C">
              <w:t>Assessment Guidelines for the Training Package.</w:t>
            </w:r>
          </w:p>
        </w:tc>
      </w:tr>
      <w:tr w:rsidTr="00CE1C6C">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C6C">
            <w:pPr>
              <w:pStyle w:val="BodyText"/>
              <w:rPr>
                <w:lang w:val="en-NZ"/>
              </w:rPr>
            </w:pPr>
            <w:r w:rsidRPr="00CE1C6C">
              <w:rPr>
                <w:rStyle w:val="SpecialBold"/>
              </w:rPr>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C6C">
            <w:pPr>
              <w:pStyle w:val="BodyText"/>
              <w:rPr>
                <w:lang w:val="en-NZ"/>
              </w:rPr>
            </w:pPr>
            <w:r w:rsidRPr="00CE1C6C">
              <w:t xml:space="preserve">A person who demonstrates competency in this unit must be able to apply hand skills and component theory knowledge and use maintenance publications </w:t>
            </w:r>
            <w:r w:rsidRPr="00CE1C6C">
              <w:t>to repair and overhaul aircraft piston engine crankcase assembly components while applying all relevant safety precautions.</w:t>
            </w:r>
          </w:p>
        </w:tc>
      </w:tr>
      <w:tr w:rsidTr="00CE1C6C">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C6C">
            <w:pPr>
              <w:pStyle w:val="BodyText"/>
              <w:rPr>
                <w:lang w:val="en-NZ"/>
              </w:rPr>
            </w:pPr>
            <w:r w:rsidRPr="00CE1C6C">
              <w:rPr>
                <w:rStyle w:val="SpecialBold"/>
              </w:rPr>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1C6C" w:rsidP="00CE1C6C">
            <w:pPr>
              <w:pStyle w:val="BodyText"/>
            </w:pPr>
            <w:r w:rsidRPr="00CE1C6C">
              <w:t xml:space="preserve">Evidence of transferability of skills </w:t>
            </w:r>
            <w:r w:rsidRPr="00CE1C6C">
              <w:t>and knowledge related to repair is essential. This may be demonstrated through application across a number of different piston engine crankcase assembly components. Ability to assess component serviceability and interpret parts requirements will be necessa</w:t>
            </w:r>
            <w:r w:rsidRPr="00CE1C6C">
              <w:t>ry to supplement the required evidence. Capability to interpret inspection procedures and specifications (allowable limits) and apply them in practice is critical. The application of testing procedures should also clearly indicate knowledge of system opera</w:t>
            </w:r>
            <w:r w:rsidRPr="00CE1C6C">
              <w:t xml:space="preserve">tion. Knowledge of system operation and the relationship of individual components will be necessary to supplement evidence of ability to troubleshoot component faults before undertaking any action. </w:t>
            </w:r>
          </w:p>
          <w:p w:rsidR="00000000" w:rsidRPr="00CE1C6C" w:rsidP="00CE1C6C">
            <w:pPr>
              <w:pStyle w:val="BodyText"/>
            </w:pPr>
            <w:r w:rsidRPr="00CE1C6C">
              <w:t>The work plan should take account of applicable safety an</w:t>
            </w:r>
            <w:r w:rsidRPr="00CE1C6C">
              <w:t>d quality requirements in accordance with the industry and regulatory standards.</w:t>
            </w:r>
          </w:p>
          <w:p w:rsidR="00000000" w:rsidP="00CE1C6C">
            <w:pPr>
              <w:pStyle w:val="BodyText"/>
              <w:rPr>
                <w:lang w:val="en-NZ"/>
              </w:rPr>
            </w:pPr>
            <w:r w:rsidRPr="00CE1C6C">
              <w:t>A person cannot be assessed as competent until it can be demonstrated to the satisfaction of the workplace assessor that the relevant elements of the unit of competency are be</w:t>
            </w:r>
            <w:r w:rsidRPr="00CE1C6C">
              <w:t>ing achieved under routine supervision on at least one item from each of Groups 1 to 8 in the Range Statement (Groups 7 and 8 may be omitted where not applicable to the enterprise). This shall be established via the records in the Log of Industrial Experie</w:t>
            </w:r>
            <w:r w:rsidRPr="00CE1C6C">
              <w:t>nce and Achievement or, where appropriate, an equivalent Industry Evidence Guide.</w:t>
            </w:r>
          </w:p>
        </w:tc>
      </w:tr>
      <w:tr w:rsidTr="00CE1C6C">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C6C">
            <w:pPr>
              <w:pStyle w:val="BodyText"/>
              <w:rPr>
                <w:lang w:val="en-NZ"/>
              </w:rPr>
            </w:pPr>
            <w:r w:rsidRPr="00CE1C6C">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C6C">
            <w:pPr>
              <w:pStyle w:val="BodyText"/>
              <w:rPr>
                <w:lang w:val="en-NZ"/>
              </w:rPr>
            </w:pPr>
            <w:r w:rsidRPr="00CE1C6C">
              <w:t>Competency should be assessed in the work environment, or simulated work environment, using tools and equipment specified in</w:t>
            </w:r>
            <w:r w:rsidRPr="00CE1C6C">
              <w:t xml:space="preserve"> maintenance documentation. It is also expected that general purpose tools and test equipment found in most routine situations would be used where appropriate.</w:t>
            </w:r>
          </w:p>
        </w:tc>
      </w:tr>
      <w:tr w:rsidTr="00CE1C6C">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C6C">
            <w:pPr>
              <w:pStyle w:val="BodyText"/>
              <w:rPr>
                <w:lang w:val="en-NZ"/>
              </w:rPr>
            </w:pPr>
            <w:r w:rsidRPr="00CE1C6C">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C6C">
            <w:pPr>
              <w:pStyle w:val="BodyText"/>
              <w:rPr>
                <w:lang w:val="en-NZ"/>
              </w:rPr>
            </w:pPr>
          </w:p>
        </w:tc>
      </w:tr>
      <w:tr w:rsidTr="00CE1C6C">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C6C">
            <w:pPr>
              <w:pStyle w:val="BodyText"/>
              <w:rPr>
                <w:lang w:val="en-NZ"/>
              </w:rPr>
            </w:pPr>
            <w:r w:rsidRPr="00CE1C6C">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1C6C" w:rsidP="00CE1C6C">
            <w:pPr>
              <w:pStyle w:val="BodyText"/>
            </w:pPr>
          </w:p>
        </w:tc>
      </w:tr>
    </w:tbl>
    <w:p w:rsidR="00000000" w:rsidRPr="00CE1C6C" w:rsidP="00CE1C6C">
      <w:pPr>
        <w:pStyle w:val="BodyText"/>
      </w:pPr>
    </w:p>
    <w:p w:rsidR="00000000" w:rsidRPr="00CE1C6C" w:rsidP="00CE1C6C">
      <w:pPr>
        <w:pStyle w:val="AllowPageBreak"/>
      </w:pPr>
    </w:p>
    <w:p w:rsidR="00000000" w:rsidRPr="00CE1C6C" w:rsidP="00CE1C6C">
      <w:pPr>
        <w:pStyle w:val="Heading1"/>
      </w:pPr>
      <w:bookmarkStart w:id="11" w:name="O_592100"/>
      <w:bookmarkEnd w:id="11"/>
      <w:r w:rsidRPr="00CE1C6C">
        <w:t>Range Statement</w:t>
      </w:r>
    </w:p>
    <w:tbl>
      <w:tblPr>
        <w:tblW w:w="9354" w:type="dxa"/>
        <w:tblLayout w:type="fixed"/>
        <w:tblCellMar>
          <w:left w:w="62" w:type="dxa"/>
          <w:right w:w="62" w:type="dxa"/>
        </w:tblCellMar>
        <w:tblLook w:val="0000"/>
      </w:tblPr>
      <w:tblGrid>
        <w:gridCol w:w="3692"/>
        <w:gridCol w:w="5662"/>
      </w:tblGrid>
      <w:tr w:rsidTr="00CE1C6C">
        <w:tblPrEx>
          <w:tblW w:w="9354" w:type="dxa"/>
          <w:tblLayout w:type="fixed"/>
          <w:tblCellMar>
            <w:left w:w="62" w:type="dxa"/>
            <w:right w:w="62" w:type="dxa"/>
          </w:tblCellMar>
          <w:tblLook w:val="0000"/>
        </w:tblPrEx>
        <w:tc>
          <w:tcPr>
            <w:tcW w:w="9354"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E1C6C">
            <w:pPr>
              <w:pStyle w:val="BodyText"/>
              <w:rPr>
                <w:lang w:val="en-NZ"/>
              </w:rPr>
            </w:pPr>
            <w:r w:rsidRPr="00CE1C6C">
              <w:t>The range statement relates to the unit of competency as a whole. It allows for different work environments and situations that may affect performance. Essential operating conditions that may be present with training and assessment (depending on the work s</w:t>
            </w:r>
            <w:r w:rsidRPr="00CE1C6C">
              <w:t>ituation, needs of the candidate, accessibility of the item, and local industry and regional contexts) may also be included.</w:t>
            </w:r>
          </w:p>
        </w:tc>
      </w:tr>
      <w:tr w:rsidTr="00CE1C6C">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C6C">
            <w:pPr>
              <w:pStyle w:val="BodyText"/>
              <w:rPr>
                <w:lang w:val="en-NZ"/>
              </w:rPr>
            </w:pPr>
            <w:r w:rsidRPr="00CE1C6C">
              <w:rPr>
                <w:rStyle w:val="SpecialBold"/>
              </w:rPr>
              <w:t>Note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C6C">
            <w:pPr>
              <w:pStyle w:val="BodyText"/>
              <w:rPr>
                <w:lang w:val="en-NZ"/>
              </w:rPr>
            </w:pPr>
            <w:r w:rsidRPr="00CE1C6C">
              <w:t>Range statements listed below are numbered to facilitate specification of the assessment requirements included in the Eviden</w:t>
            </w:r>
            <w:r w:rsidRPr="00CE1C6C">
              <w:t>ce Guide</w:t>
            </w:r>
          </w:p>
        </w:tc>
      </w:tr>
      <w:tr w:rsidTr="00CE1C6C">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C6C">
            <w:pPr>
              <w:pStyle w:val="BodyText"/>
              <w:rPr>
                <w:lang w:val="en-NZ"/>
              </w:rPr>
            </w:pPr>
            <w:r w:rsidRPr="00CE1C6C">
              <w:rPr>
                <w:rStyle w:val="SpecialBold"/>
              </w:rPr>
              <w:t xml:space="preserve">Piston engine crankcase assembly components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1C6C" w:rsidP="00CE1C6C">
            <w:pPr>
              <w:pStyle w:val="BodyText"/>
            </w:pPr>
            <w:r w:rsidRPr="00CE1C6C">
              <w:t>Crankcase assembly components may include:</w:t>
            </w:r>
          </w:p>
          <w:p w:rsidR="00000000" w:rsidRPr="00CE1C6C" w:rsidP="00CE1C6C">
            <w:pPr>
              <w:pStyle w:val="ListNumber2"/>
            </w:pPr>
            <w:r w:rsidRPr="00CE1C6C">
              <w:t>Crankshaft, gears, con rods and counterweights</w:t>
            </w:r>
          </w:p>
          <w:p w:rsidR="00000000" w:rsidRPr="00CE1C6C" w:rsidP="00CE1C6C">
            <w:pPr>
              <w:pStyle w:val="ListNumber2"/>
            </w:pPr>
            <w:r w:rsidRPr="00CE1C6C">
              <w:t>Camshaft, hydraulic tappets/cam followers and gears</w:t>
            </w:r>
          </w:p>
          <w:p w:rsidR="00000000" w:rsidRPr="00CE1C6C" w:rsidP="00CE1C6C">
            <w:pPr>
              <w:pStyle w:val="ListNumber2"/>
            </w:pPr>
            <w:r w:rsidRPr="00CE1C6C">
              <w:t>Propeller shaft, reduction drive gear and quill shaft</w:t>
            </w:r>
          </w:p>
          <w:p w:rsidR="00000000" w:rsidRPr="00CE1C6C" w:rsidP="00CE1C6C">
            <w:pPr>
              <w:pStyle w:val="ListNumber2"/>
            </w:pPr>
            <w:r w:rsidRPr="00CE1C6C">
              <w:t>Component gear drives/trains</w:t>
            </w:r>
          </w:p>
          <w:p w:rsidR="00000000" w:rsidRPr="00CE1C6C" w:rsidP="00CE1C6C">
            <w:pPr>
              <w:pStyle w:val="ListNumber2"/>
            </w:pPr>
            <w:r w:rsidRPr="00CE1C6C">
              <w:t>Crankcase castings, bearings, component mounting pads and studs</w:t>
            </w:r>
          </w:p>
          <w:p w:rsidR="00000000" w:rsidRPr="00CE1C6C" w:rsidP="00CE1C6C">
            <w:pPr>
              <w:pStyle w:val="ListNumber2"/>
            </w:pPr>
            <w:r w:rsidRPr="00CE1C6C">
              <w:t>Oil system components</w:t>
            </w:r>
          </w:p>
          <w:p w:rsidR="00000000" w:rsidRPr="00CE1C6C" w:rsidP="00CE1C6C">
            <w:pPr>
              <w:pStyle w:val="ListNumber2"/>
            </w:pPr>
            <w:r w:rsidRPr="00CE1C6C">
              <w:t xml:space="preserve">Supercharger and turbocharger components </w:t>
            </w:r>
            <w:r w:rsidRPr="00CE1C6C">
              <w:t>(where applicable to enterprise)</w:t>
            </w:r>
          </w:p>
          <w:p w:rsidR="00000000" w:rsidP="00CE1C6C">
            <w:pPr>
              <w:pStyle w:val="ListNumber2"/>
              <w:rPr>
                <w:lang w:val="en-NZ"/>
              </w:rPr>
            </w:pPr>
            <w:r w:rsidRPr="00CE1C6C">
              <w:t>Propeller gov</w:t>
            </w:r>
            <w:r w:rsidRPr="00CE1C6C">
              <w:t>ernor (where applicable to enterprise)</w:t>
            </w:r>
          </w:p>
        </w:tc>
      </w:tr>
      <w:tr w:rsidTr="00CE1C6C">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C6C">
            <w:pPr>
              <w:pStyle w:val="BodyText"/>
              <w:rPr>
                <w:lang w:val="en-NZ"/>
              </w:rPr>
            </w:pPr>
            <w:r w:rsidRPr="00CE1C6C">
              <w:rPr>
                <w:rStyle w:val="SpecialBold"/>
              </w:rPr>
              <w:t>Application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1C6C" w:rsidP="00CE1C6C">
            <w:pPr>
              <w:pStyle w:val="BodyText"/>
            </w:pPr>
            <w:r w:rsidRPr="00CE1C6C">
              <w:t>Application of this unit may relate to:</w:t>
            </w:r>
          </w:p>
          <w:p w:rsidR="00000000" w:rsidRPr="00CE1C6C" w:rsidP="00CE1C6C">
            <w:pPr>
              <w:pStyle w:val="ListBullet"/>
            </w:pPr>
            <w:r w:rsidRPr="00CE1C6C">
              <w:t>scheduled or unscheduled maintenance</w:t>
            </w:r>
          </w:p>
          <w:p w:rsidR="00000000" w:rsidRPr="00CE1C6C" w:rsidP="00CE1C6C">
            <w:pPr>
              <w:pStyle w:val="ListBullet"/>
            </w:pPr>
            <w:r w:rsidRPr="00CE1C6C">
              <w:t>individual or team-related activities</w:t>
            </w:r>
          </w:p>
          <w:p w:rsidR="00000000" w:rsidP="00CE1C6C">
            <w:pPr>
              <w:pStyle w:val="ListBullet"/>
              <w:rPr>
                <w:lang w:val="en-NZ"/>
              </w:rPr>
            </w:pPr>
            <w:r w:rsidRPr="00CE1C6C">
              <w:t>complex testing and adjusting of components, and where this is undertaken, it may be carried out under supervision at the appropriate level</w:t>
            </w:r>
          </w:p>
        </w:tc>
      </w:tr>
      <w:tr w:rsidTr="00CE1C6C">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1C6C">
            <w:pPr>
              <w:pStyle w:val="BodyText"/>
              <w:rPr>
                <w:lang w:val="en-NZ"/>
              </w:rPr>
            </w:pPr>
            <w:r w:rsidRPr="00CE1C6C">
              <w:rPr>
                <w:rStyle w:val="SpecialBold"/>
              </w:rPr>
              <w:t>Procedures and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1C6C" w:rsidP="00CE1C6C">
            <w:pPr>
              <w:pStyle w:val="BodyText"/>
            </w:pPr>
            <w:r w:rsidRPr="00CE1C6C">
              <w:t>Procedures and requirements refer to industry standard procedures specified by manufact</w:t>
            </w:r>
            <w:r w:rsidRPr="00CE1C6C">
              <w:t>urers, regulatory authorities or the enterprise</w:t>
            </w:r>
          </w:p>
        </w:tc>
      </w:tr>
    </w:tbl>
    <w:p w:rsidR="00000000" w:rsidRPr="00CE1C6C" w:rsidP="00CE1C6C">
      <w:pPr>
        <w:pStyle w:val="BodyText"/>
      </w:pPr>
    </w:p>
    <w:p w:rsidR="00000000" w:rsidRPr="00CE1C6C" w:rsidP="00CE1C6C">
      <w:pPr>
        <w:pStyle w:val="AllowPageBreak"/>
      </w:pPr>
    </w:p>
    <w:p w:rsidR="00000000" w:rsidRPr="00CE1C6C" w:rsidP="00CE1C6C">
      <w:pPr>
        <w:pStyle w:val="Heading1"/>
      </w:pPr>
      <w:bookmarkStart w:id="12" w:name="O_592101"/>
      <w:bookmarkEnd w:id="12"/>
      <w:r w:rsidRPr="00CE1C6C">
        <w:t>Unit Sector(s)</w:t>
      </w:r>
    </w:p>
    <w:p w:rsidR="00000000" w:rsidRPr="00CE1C6C" w:rsidP="00CE1C6C">
      <w:pPr>
        <w:pStyle w:val="BodyText"/>
      </w:pPr>
      <w:r w:rsidRPr="00CE1C6C">
        <w:t>Aviation maintenance</w:t>
      </w:r>
    </w:p>
    <w:p w:rsidR="00000000" w:rsidRPr="00CE1C6C" w:rsidP="00CE1C6C">
      <w:pPr>
        <w:pStyle w:val="AllowPageBreak"/>
      </w:pPr>
    </w:p>
    <w:p w:rsidR="00000000" w:rsidRPr="00CE1C6C" w:rsidP="00CE1C6C">
      <w:pPr>
        <w:pStyle w:val="Heading1"/>
      </w:pPr>
      <w:bookmarkStart w:id="13" w:name="O_592102"/>
      <w:bookmarkEnd w:id="13"/>
      <w:r w:rsidRPr="00CE1C6C">
        <w:t>Custom Content Section</w:t>
      </w:r>
    </w:p>
    <w:p w:rsidR="00000000" w:rsidRPr="00CE1C6C" w:rsidP="00CE1C6C">
      <w:pPr>
        <w:pStyle w:val="BodyText"/>
      </w:pPr>
      <w:r w:rsidRPr="00CE1C6C">
        <w:t>Not applicable.</w:t>
      </w:r>
    </w:p>
    <w:p w:rsidR="00000000" w:rsidRPr="00CE1C6C" w:rsidP="00CE1C6C"/>
    <w:sectPr w:rsidSect="00CE1C6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C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C6C" w:rsidRPr="0005408D" w:rsidP="000540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C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08D" w:rsidP="00CE1C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05408D" w:rsidP="00CE1C6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5408D" w:rsidP="00CE1C6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C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C6C" w:rsidRPr="0005408D" w:rsidP="0005408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C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08D" w:rsidRPr="002D2AF8" w:rsidP="00CE1C6C">
    <w:pPr>
      <w:pStyle w:val="Header"/>
      <w:framePr w:wrap="around"/>
    </w:pPr>
    <w:r>
      <w:fldChar w:fldCharType="begin"/>
    </w:r>
    <w:r>
      <w:instrText xml:space="preserve"> TITLE   \* MERGEFORMAT </w:instrText>
    </w:r>
    <w:r>
      <w:fldChar w:fldCharType="separate"/>
    </w:r>
    <w:r>
      <w:t>MEA394A Repair and/or overhaul aircraft piston engine crankcase assembly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05408D" w:rsidP="00CE1C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D542A52"/>
    <w:lvl w:ilvl="0">
      <w:start w:val="1"/>
      <w:numFmt w:val="decimal"/>
      <w:pStyle w:val="ListNumber2"/>
      <w:lvlText w:val="%1."/>
      <w:lvlJc w:val="left"/>
      <w:pPr>
        <w:tabs>
          <w:tab w:val="num" w:pos="643"/>
        </w:tabs>
        <w:ind w:left="643" w:hanging="360"/>
      </w:pPr>
    </w:lvl>
  </w:abstractNum>
  <w:abstractNum w:abstractNumId="4">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5">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6">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7">
    <w:nsid w:val="FFFFFF83"/>
    <w:multiLevelType w:val="singleLevel"/>
    <w:tmpl w:val="B016CF0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9"/>
    <w:multiLevelType w:val="singleLevel"/>
    <w:tmpl w:val="9C9A35E2"/>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FFFFFFFE"/>
    <w:multiLevelType w:val="singleLevel"/>
    <w:tmpl w:val="25CA1DA8"/>
    <w:lvl w:ilvl="0">
      <w:start w:val="0"/>
      <w:numFmt w:val="bullet"/>
      <w:lvlText w:val="*"/>
      <w:lvlJc w:val="left"/>
    </w:lvl>
  </w:abstractNum>
  <w:abstractNum w:abstractNumId="10">
    <w:nsid w:val="023A10B7"/>
    <w:multiLevelType w:val="multilevel"/>
    <w:tmpl w:val="F13E885A"/>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1">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2">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3">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4">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5">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6">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7">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8"/>
  </w:num>
  <w:num w:numId="2">
    <w:abstractNumId w:val="7"/>
  </w:num>
  <w:num w:numId="3">
    <w:abstractNumId w:val="3"/>
  </w:num>
  <w:num w:numId="4">
    <w:abstractNumId w:val="5"/>
  </w:num>
  <w:num w:numId="5">
    <w:abstractNumId w:val="4"/>
  </w:num>
  <w:num w:numId="6">
    <w:abstractNumId w:val="2"/>
  </w:num>
  <w:num w:numId="7">
    <w:abstractNumId w:val="1"/>
  </w:num>
  <w:num w:numId="8">
    <w:abstractNumId w:val="0"/>
  </w:num>
  <w:num w:numId="9">
    <w:abstractNumId w:val="16"/>
  </w:num>
  <w:num w:numId="10">
    <w:abstractNumId w:val="13"/>
  </w:num>
  <w:num w:numId="11">
    <w:abstractNumId w:val="17"/>
  </w:num>
  <w:num w:numId="12">
    <w:abstractNumId w:val="15"/>
  </w:num>
  <w:num w:numId="13">
    <w:abstractNumId w:val="11"/>
  </w:num>
  <w:num w:numId="14">
    <w:abstractNumId w:val="14"/>
  </w:num>
  <w:num w:numId="15">
    <w:abstractNumId w:val="12"/>
  </w:num>
  <w:num w:numId="16">
    <w:abstractNumId w:val="6"/>
  </w:num>
  <w:num w:numId="17">
    <w:abstractNumId w:val="9"/>
    <w:lvlOverride w:ilvl="0">
      <w:lvl w:ilvl="0">
        <w:start w:val="0"/>
        <w:numFmt w:val="bullet"/>
        <w:lvlText w:val=""/>
        <w:legacy w:legacy="1" w:legacySpace="0" w:legacyIndent="0"/>
        <w:lvlJc w:val="left"/>
        <w:pPr>
          <w:ind w:left="0" w:firstLine="0"/>
        </w:pPr>
        <w:rPr>
          <w:rFonts w:ascii="Wingdings" w:hAnsi="Wingdings" w:hint="default"/>
        </w:rPr>
      </w:lvl>
    </w:lvlOverride>
  </w:num>
  <w:num w:numId="18">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unhideWhenUsed="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1C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E1C6C"/>
    <w:pPr>
      <w:spacing w:before="360" w:after="60"/>
      <w:outlineLvl w:val="0"/>
    </w:pPr>
    <w:rPr>
      <w:sz w:val="32"/>
    </w:rPr>
  </w:style>
  <w:style w:type="paragraph" w:styleId="Heading2">
    <w:name w:val="heading 2"/>
    <w:basedOn w:val="HeadingBase"/>
    <w:next w:val="BodyText"/>
    <w:link w:val="Heading2Char"/>
    <w:qFormat/>
    <w:rsid w:val="00CE1C6C"/>
    <w:pPr>
      <w:keepLines/>
      <w:spacing w:before="240" w:after="120"/>
      <w:outlineLvl w:val="1"/>
    </w:pPr>
    <w:rPr>
      <w:sz w:val="28"/>
      <w:szCs w:val="40"/>
    </w:rPr>
  </w:style>
  <w:style w:type="paragraph" w:styleId="Heading3">
    <w:name w:val="heading 3"/>
    <w:basedOn w:val="HeadingBase"/>
    <w:next w:val="BodyText"/>
    <w:link w:val="Heading3Char"/>
    <w:qFormat/>
    <w:rsid w:val="00CE1C6C"/>
    <w:pPr>
      <w:spacing w:before="180" w:after="120"/>
      <w:outlineLvl w:val="2"/>
    </w:pPr>
    <w:rPr>
      <w:spacing w:val="-10"/>
      <w:kern w:val="32"/>
    </w:rPr>
  </w:style>
  <w:style w:type="paragraph" w:styleId="Heading4">
    <w:name w:val="heading 4"/>
    <w:basedOn w:val="HeadingBase"/>
    <w:next w:val="BodyText"/>
    <w:link w:val="Heading4Char"/>
    <w:qFormat/>
    <w:rsid w:val="00CE1C6C"/>
    <w:pPr>
      <w:spacing w:before="160" w:after="120"/>
      <w:outlineLvl w:val="3"/>
    </w:pPr>
    <w:rPr>
      <w:sz w:val="22"/>
    </w:rPr>
  </w:style>
  <w:style w:type="paragraph" w:styleId="Heading5">
    <w:name w:val="heading 5"/>
    <w:basedOn w:val="HeadingBase"/>
    <w:next w:val="Normal"/>
    <w:link w:val="Heading5Char"/>
    <w:qFormat/>
    <w:rsid w:val="00CE1C6C"/>
    <w:pPr>
      <w:spacing w:before="80"/>
      <w:outlineLvl w:val="4"/>
    </w:pPr>
    <w:rPr>
      <w:color w:val="918585"/>
      <w:sz w:val="20"/>
    </w:rPr>
  </w:style>
  <w:style w:type="paragraph" w:styleId="Heading6">
    <w:name w:val="heading 6"/>
    <w:basedOn w:val="HeadingBase"/>
    <w:next w:val="Normal"/>
    <w:link w:val="Heading6Char"/>
    <w:qFormat/>
    <w:rsid w:val="00CE1C6C"/>
    <w:pPr>
      <w:spacing w:before="60"/>
      <w:outlineLvl w:val="5"/>
    </w:pPr>
    <w:rPr>
      <w:color w:val="918585"/>
      <w:sz w:val="20"/>
    </w:rPr>
  </w:style>
  <w:style w:type="paragraph" w:styleId="Heading7">
    <w:name w:val="heading 7"/>
    <w:basedOn w:val="Normal"/>
    <w:next w:val="Normal"/>
    <w:link w:val="Heading7Char"/>
    <w:qFormat/>
    <w:rsid w:val="00CE1C6C"/>
    <w:pPr>
      <w:ind w:left="720"/>
      <w:outlineLvl w:val="6"/>
    </w:pPr>
    <w:rPr>
      <w:i/>
    </w:rPr>
  </w:style>
  <w:style w:type="paragraph" w:styleId="Heading8">
    <w:name w:val="heading 8"/>
    <w:basedOn w:val="Normal"/>
    <w:next w:val="Normal"/>
    <w:link w:val="Heading8Char"/>
    <w:qFormat/>
    <w:rsid w:val="00CE1C6C"/>
    <w:pPr>
      <w:ind w:left="720"/>
      <w:outlineLvl w:val="7"/>
    </w:pPr>
    <w:rPr>
      <w:i/>
    </w:rPr>
  </w:style>
  <w:style w:type="paragraph" w:styleId="Heading9">
    <w:name w:val="heading 9"/>
    <w:basedOn w:val="Normal"/>
    <w:next w:val="Normal"/>
    <w:link w:val="Heading9Char"/>
    <w:qFormat/>
    <w:rsid w:val="00CE1C6C"/>
    <w:pPr>
      <w:ind w:left="720"/>
      <w:outlineLvl w:val="8"/>
    </w:pPr>
    <w:rPr>
      <w:i/>
    </w:rPr>
  </w:style>
  <w:style w:type="character" w:default="1" w:styleId="DefaultParagraphFont">
    <w:name w:val="Default Paragraph Font"/>
    <w:uiPriority w:val="1"/>
    <w:unhideWhenUsed/>
    <w:rsid w:val="00CE1C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1C6C"/>
  </w:style>
  <w:style w:type="character" w:customStyle="1" w:styleId="Heading1Char">
    <w:name w:val="Heading 1 Char"/>
    <w:basedOn w:val="DefaultParagraphFont"/>
    <w:link w:val="Heading1"/>
    <w:rsid w:val="00CE1C6C"/>
    <w:rPr>
      <w:rFonts w:ascii="Times New Roman" w:eastAsia="Times New Roman" w:hAnsi="Times New Roman" w:cs="Times New Roman"/>
      <w:b/>
      <w:sz w:val="32"/>
      <w:szCs w:val="20"/>
      <w:lang w:eastAsia="en-US"/>
    </w:rPr>
  </w:style>
  <w:style w:type="paragraph" w:styleId="BodyText">
    <w:name w:val="Body Text"/>
    <w:basedOn w:val="Normal"/>
    <w:link w:val="BodyTextChar"/>
    <w:rsid w:val="00CE1C6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E1C6C"/>
    <w:rPr>
      <w:rFonts w:ascii="Times New Roman" w:eastAsia="Times New Roman" w:hAnsi="Times New Roman" w:cs="Times New Roman"/>
      <w:sz w:val="24"/>
      <w:lang w:eastAsia="en-US"/>
    </w:rPr>
  </w:style>
  <w:style w:type="paragraph" w:styleId="ListBullet">
    <w:name w:val="List Bullet"/>
    <w:basedOn w:val="List"/>
    <w:rsid w:val="00CE1C6C"/>
    <w:pPr>
      <w:numPr>
        <w:numId w:val="14"/>
      </w:numPr>
      <w:tabs>
        <w:tab w:val="clear" w:pos="340"/>
      </w:tabs>
      <w:spacing w:before="40" w:after="40"/>
    </w:pPr>
  </w:style>
  <w:style w:type="character" w:customStyle="1" w:styleId="SpecialBold">
    <w:name w:val="Special Bold"/>
    <w:basedOn w:val="DefaultParagraphFont"/>
    <w:rsid w:val="00CE1C6C"/>
    <w:rPr>
      <w:b/>
      <w:spacing w:val="0"/>
    </w:rPr>
  </w:style>
  <w:style w:type="paragraph" w:styleId="ListBullet2">
    <w:name w:val="List Bullet 2"/>
    <w:basedOn w:val="List2"/>
    <w:rsid w:val="00CE1C6C"/>
    <w:pPr>
      <w:numPr>
        <w:numId w:val="15"/>
      </w:numPr>
      <w:tabs>
        <w:tab w:val="clear" w:pos="680"/>
      </w:tabs>
    </w:pPr>
  </w:style>
  <w:style w:type="paragraph" w:customStyle="1" w:styleId="SuperHeading">
    <w:name w:val="SuperHeading"/>
    <w:basedOn w:val="Normal"/>
    <w:rsid w:val="00CE1C6C"/>
    <w:pPr>
      <w:spacing w:before="240" w:after="120"/>
      <w:outlineLvl w:val="0"/>
    </w:pPr>
    <w:rPr>
      <w:rFonts w:ascii="Times New Roman" w:hAnsi="Times New Roman"/>
      <w:b/>
      <w:sz w:val="32"/>
    </w:rPr>
  </w:style>
  <w:style w:type="paragraph" w:styleId="ListNumber2">
    <w:name w:val="List Number 2"/>
    <w:basedOn w:val="List2"/>
    <w:rsid w:val="00CE1C6C"/>
    <w:pPr>
      <w:numPr>
        <w:numId w:val="11"/>
      </w:numPr>
    </w:pPr>
  </w:style>
  <w:style w:type="paragraph" w:customStyle="1" w:styleId="AllowPageBreak">
    <w:name w:val="AllowPageBreak"/>
    <w:rsid w:val="00CE1C6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E1C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1C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1C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1C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1C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1C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E1C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E1C6C"/>
    <w:rPr>
      <w:rFonts w:ascii="Courier New" w:eastAsia="Times New Roman" w:hAnsi="Courier New" w:cs="Times New Roman"/>
      <w:i/>
      <w:szCs w:val="20"/>
      <w:lang w:eastAsia="en-US"/>
    </w:rPr>
  </w:style>
  <w:style w:type="paragraph" w:customStyle="1" w:styleId="HeadingBase">
    <w:name w:val="Heading Base"/>
    <w:rsid w:val="00CE1C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1C6C"/>
    <w:pPr>
      <w:tabs>
        <w:tab w:val="right" w:leader="dot" w:pos="9072"/>
      </w:tabs>
      <w:ind w:left="567"/>
    </w:pPr>
    <w:rPr>
      <w:szCs w:val="22"/>
    </w:rPr>
  </w:style>
  <w:style w:type="paragraph" w:customStyle="1" w:styleId="TOCBase">
    <w:name w:val="TOC Base"/>
    <w:rsid w:val="00CE1C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1C6C"/>
    <w:pPr>
      <w:tabs>
        <w:tab w:val="right" w:leader="dot" w:pos="9072"/>
      </w:tabs>
      <w:spacing w:before="40" w:after="40"/>
      <w:ind w:left="284"/>
    </w:pPr>
    <w:rPr>
      <w:rFonts w:ascii="Times New Roman" w:hAnsi="Times New Roman"/>
    </w:rPr>
  </w:style>
  <w:style w:type="paragraph" w:styleId="TOC1">
    <w:name w:val="toc 1"/>
    <w:basedOn w:val="TOCBase"/>
    <w:next w:val="Normal"/>
    <w:rsid w:val="00CE1C6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E1C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1C6C"/>
    <w:rPr>
      <w:rFonts w:ascii="Times New Roman" w:eastAsia="Times New Roman" w:hAnsi="Times New Roman" w:cs="Times New Roman"/>
      <w:sz w:val="16"/>
      <w:lang w:eastAsia="en-US"/>
    </w:rPr>
  </w:style>
  <w:style w:type="paragraph" w:styleId="Title">
    <w:name w:val="Title"/>
    <w:basedOn w:val="HeadingBase"/>
    <w:link w:val="TitleChar"/>
    <w:qFormat/>
    <w:rsid w:val="00CE1C6C"/>
    <w:pPr>
      <w:spacing w:before="5040"/>
      <w:jc w:val="center"/>
    </w:pPr>
    <w:rPr>
      <w:sz w:val="48"/>
      <w:szCs w:val="72"/>
      <w:lang w:val="en-US"/>
    </w:rPr>
  </w:style>
  <w:style w:type="character" w:customStyle="1" w:styleId="TitleChar">
    <w:name w:val="Title Char"/>
    <w:basedOn w:val="DefaultParagraphFont"/>
    <w:link w:val="Title"/>
    <w:rsid w:val="00CE1C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1C6C"/>
    <w:pPr>
      <w:tabs>
        <w:tab w:val="left" w:pos="3600"/>
        <w:tab w:val="left" w:pos="3958"/>
      </w:tabs>
    </w:pPr>
  </w:style>
  <w:style w:type="paragraph" w:styleId="List">
    <w:name w:val="List"/>
    <w:basedOn w:val="BodyText"/>
    <w:next w:val="BodyText"/>
    <w:rsid w:val="00CE1C6C"/>
    <w:pPr>
      <w:tabs>
        <w:tab w:val="left" w:pos="340"/>
      </w:tabs>
      <w:spacing w:before="60" w:after="60"/>
      <w:ind w:left="340" w:hanging="340"/>
    </w:pPr>
  </w:style>
  <w:style w:type="paragraph" w:customStyle="1" w:styleId="Note">
    <w:name w:val="Note"/>
    <w:basedOn w:val="BodyText"/>
    <w:rsid w:val="00CE1C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E1C6C"/>
    <w:pPr>
      <w:framePr w:wrap="auto" w:hAnchor="text" w:y="6049"/>
    </w:pPr>
    <w:rPr>
      <w:color w:val="000000"/>
      <w:sz w:val="40"/>
    </w:rPr>
  </w:style>
  <w:style w:type="paragraph" w:customStyle="1" w:styleId="TOCTitle">
    <w:name w:val="TOCTitle"/>
    <w:basedOn w:val="Heading1"/>
    <w:rsid w:val="00CE1C6C"/>
    <w:pPr>
      <w:spacing w:after="240"/>
      <w:jc w:val="center"/>
      <w:outlineLvl w:val="9"/>
    </w:pPr>
    <w:rPr>
      <w:caps/>
    </w:rPr>
  </w:style>
  <w:style w:type="paragraph" w:customStyle="1" w:styleId="Version">
    <w:name w:val="Version"/>
    <w:rsid w:val="00CE1C6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E1C6C"/>
    <w:pPr>
      <w:keepNext w:val="0"/>
      <w:tabs>
        <w:tab w:val="right" w:pos="4176"/>
      </w:tabs>
      <w:ind w:left="198" w:hanging="198"/>
    </w:pPr>
    <w:rPr>
      <w:rFonts w:ascii="Garamond" w:hAnsi="Garamond"/>
    </w:rPr>
  </w:style>
  <w:style w:type="paragraph" w:styleId="IndexHeading">
    <w:name w:val="index heading"/>
    <w:basedOn w:val="Normal"/>
    <w:next w:val="Index1"/>
    <w:semiHidden/>
    <w:rsid w:val="00CE1C6C"/>
    <w:pPr>
      <w:spacing w:before="120" w:after="120"/>
    </w:pPr>
    <w:rPr>
      <w:rFonts w:ascii="Arial" w:hAnsi="Arial"/>
      <w:b/>
      <w:color w:val="918585"/>
      <w:sz w:val="24"/>
    </w:rPr>
  </w:style>
  <w:style w:type="paragraph" w:styleId="Header">
    <w:name w:val="header"/>
    <w:basedOn w:val="Normal"/>
    <w:link w:val="HeaderChar"/>
    <w:rsid w:val="00CE1C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1C6C"/>
    <w:rPr>
      <w:rFonts w:ascii="Times New Roman" w:eastAsia="Times New Roman" w:hAnsi="Times New Roman" w:cs="Times New Roman"/>
      <w:sz w:val="16"/>
      <w:szCs w:val="20"/>
      <w:lang w:val="en-GB" w:eastAsia="en-US"/>
    </w:rPr>
  </w:style>
  <w:style w:type="paragraph" w:customStyle="1" w:styleId="Chapter">
    <w:name w:val="Chapter"/>
    <w:basedOn w:val="Normal"/>
    <w:rsid w:val="00CE1C6C"/>
    <w:pPr>
      <w:spacing w:before="240"/>
    </w:pPr>
    <w:rPr>
      <w:rFonts w:ascii="Times New Roman" w:hAnsi="Times New Roman"/>
      <w:smallCaps/>
      <w:spacing w:val="80"/>
      <w:sz w:val="28"/>
    </w:rPr>
  </w:style>
  <w:style w:type="paragraph" w:customStyle="1" w:styleId="InChapter">
    <w:name w:val="InChapter"/>
    <w:basedOn w:val="Heading3"/>
    <w:rsid w:val="00CE1C6C"/>
    <w:pPr>
      <w:spacing w:after="240"/>
      <w:outlineLvl w:val="9"/>
    </w:pPr>
    <w:rPr>
      <w:noProof/>
    </w:rPr>
  </w:style>
  <w:style w:type="paragraph" w:styleId="Index2">
    <w:name w:val="index 2"/>
    <w:basedOn w:val="Normal"/>
    <w:next w:val="Normal"/>
    <w:semiHidden/>
    <w:rsid w:val="00CE1C6C"/>
    <w:pPr>
      <w:tabs>
        <w:tab w:val="right" w:pos="4176"/>
      </w:tabs>
      <w:ind w:left="568" w:hanging="284"/>
    </w:pPr>
    <w:rPr>
      <w:rFonts w:ascii="Garamond" w:hAnsi="Garamond"/>
    </w:rPr>
  </w:style>
  <w:style w:type="paragraph" w:customStyle="1" w:styleId="Byline">
    <w:name w:val="Byline"/>
    <w:rsid w:val="00CE1C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1C6C"/>
    <w:pPr>
      <w:tabs>
        <w:tab w:val="clear" w:pos="3600"/>
        <w:tab w:val="clear" w:pos="3958"/>
      </w:tabs>
      <w:jc w:val="right"/>
    </w:pPr>
  </w:style>
  <w:style w:type="character" w:styleId="Emphasis">
    <w:name w:val="Emphasis"/>
    <w:basedOn w:val="DefaultParagraphFont"/>
    <w:qFormat/>
    <w:rsid w:val="00CE1C6C"/>
    <w:rPr>
      <w:i/>
    </w:rPr>
  </w:style>
  <w:style w:type="paragraph" w:styleId="Caption">
    <w:name w:val="caption"/>
    <w:basedOn w:val="BodyText"/>
    <w:next w:val="Normal"/>
    <w:qFormat/>
    <w:rsid w:val="00CE1C6C"/>
    <w:pPr>
      <w:framePr w:w="2268" w:hSpace="181" w:vSpace="181" w:wrap="around" w:vAnchor="text" w:hAnchor="page" w:x="1135" w:y="285" w:anchorLock="1"/>
    </w:pPr>
    <w:rPr>
      <w:i/>
    </w:rPr>
  </w:style>
  <w:style w:type="paragraph" w:customStyle="1" w:styleId="MiniTOCTitle">
    <w:name w:val="MiniTOCTitle"/>
    <w:basedOn w:val="Heading4"/>
    <w:rsid w:val="00CE1C6C"/>
    <w:pPr>
      <w:spacing w:before="240"/>
      <w:outlineLvl w:val="9"/>
    </w:pPr>
    <w:rPr>
      <w:noProof/>
      <w:sz w:val="24"/>
    </w:rPr>
  </w:style>
  <w:style w:type="paragraph" w:customStyle="1" w:styleId="MiniTOCItem">
    <w:name w:val="MiniTOCItem"/>
    <w:basedOn w:val="ListBullet"/>
    <w:rsid w:val="00CE1C6C"/>
    <w:pPr>
      <w:numPr>
        <w:numId w:val="0"/>
      </w:numPr>
      <w:tabs>
        <w:tab w:val="right" w:leader="dot" w:pos="6521"/>
      </w:tabs>
      <w:spacing w:before="0" w:after="0"/>
    </w:pPr>
  </w:style>
  <w:style w:type="paragraph" w:customStyle="1" w:styleId="TOFTitle">
    <w:name w:val="TOFTitle"/>
    <w:basedOn w:val="TOCTitle"/>
    <w:rsid w:val="00CE1C6C"/>
  </w:style>
  <w:style w:type="paragraph" w:styleId="TableofFigures">
    <w:name w:val="table of figures"/>
    <w:basedOn w:val="Normal"/>
    <w:next w:val="Normal"/>
    <w:semiHidden/>
    <w:rsid w:val="00CE1C6C"/>
    <w:pPr>
      <w:tabs>
        <w:tab w:val="right" w:leader="dot" w:pos="9072"/>
      </w:tabs>
      <w:ind w:left="970" w:hanging="403"/>
    </w:pPr>
    <w:rPr>
      <w:rFonts w:ascii="Times New Roman" w:hAnsi="Times New Roman"/>
      <w:b/>
    </w:rPr>
  </w:style>
  <w:style w:type="paragraph" w:styleId="ListNumber">
    <w:name w:val="List Number"/>
    <w:basedOn w:val="List"/>
    <w:rsid w:val="00CE1C6C"/>
    <w:pPr>
      <w:numPr>
        <w:numId w:val="12"/>
      </w:numPr>
    </w:pPr>
  </w:style>
  <w:style w:type="character" w:customStyle="1" w:styleId="WingdingSymbols">
    <w:name w:val="Wingding Symbols"/>
    <w:rsid w:val="00CE1C6C"/>
    <w:rPr>
      <w:rFonts w:ascii="Wingdings" w:hAnsi="Wingdings"/>
    </w:rPr>
  </w:style>
  <w:style w:type="paragraph" w:customStyle="1" w:styleId="TableHeading">
    <w:name w:val="Table Heading"/>
    <w:basedOn w:val="HeadingBase"/>
    <w:rsid w:val="00CE1C6C"/>
    <w:pPr>
      <w:keepLines/>
      <w:pBdr>
        <w:bottom w:val="single" w:sz="6" w:space="1" w:color="918585"/>
      </w:pBdr>
      <w:spacing w:before="240"/>
    </w:pPr>
  </w:style>
  <w:style w:type="character" w:customStyle="1" w:styleId="HotSpot">
    <w:name w:val="HotSpot"/>
    <w:rsid w:val="00CE1C6C"/>
    <w:rPr>
      <w:color w:val="0033CC"/>
      <w:u w:val="none"/>
    </w:rPr>
  </w:style>
  <w:style w:type="paragraph" w:customStyle="1" w:styleId="BodyTextRight">
    <w:name w:val="Body Text Right"/>
    <w:basedOn w:val="BodyText"/>
    <w:rsid w:val="00CE1C6C"/>
    <w:pPr>
      <w:spacing w:before="0" w:after="0"/>
      <w:jc w:val="right"/>
    </w:pPr>
  </w:style>
  <w:style w:type="paragraph" w:styleId="Index3">
    <w:name w:val="index 3"/>
    <w:basedOn w:val="ListNumber2"/>
    <w:next w:val="Normal"/>
    <w:semiHidden/>
    <w:rsid w:val="00CE1C6C"/>
    <w:pPr>
      <w:numPr>
        <w:numId w:val="0"/>
      </w:numPr>
      <w:tabs>
        <w:tab w:val="right" w:leader="dot" w:pos="4176"/>
      </w:tabs>
    </w:pPr>
  </w:style>
  <w:style w:type="paragraph" w:customStyle="1" w:styleId="MarginNote">
    <w:name w:val="Margin Note"/>
    <w:basedOn w:val="BodyText"/>
    <w:rsid w:val="00CE1C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1C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1C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E1C6C"/>
    <w:rPr>
      <w:sz w:val="32"/>
    </w:rPr>
  </w:style>
  <w:style w:type="paragraph" w:customStyle="1" w:styleId="HeadingProcedure">
    <w:name w:val="Heading Procedure"/>
    <w:basedOn w:val="HeadingBase"/>
    <w:next w:val="Normal"/>
    <w:rsid w:val="00CE1C6C"/>
    <w:pPr>
      <w:tabs>
        <w:tab w:val="left" w:pos="0"/>
      </w:tabs>
      <w:spacing w:before="120" w:after="60"/>
    </w:pPr>
    <w:rPr>
      <w:i/>
      <w:color w:val="918585"/>
      <w:sz w:val="22"/>
    </w:rPr>
  </w:style>
  <w:style w:type="paragraph" w:customStyle="1" w:styleId="TableBodyText">
    <w:name w:val="Table Body Text"/>
    <w:basedOn w:val="BodyText"/>
    <w:rsid w:val="00CE1C6C"/>
    <w:pPr>
      <w:spacing w:before="60" w:after="60"/>
    </w:pPr>
  </w:style>
  <w:style w:type="paragraph" w:styleId="ListContinue">
    <w:name w:val="List Continue"/>
    <w:basedOn w:val="List"/>
    <w:rsid w:val="00CE1C6C"/>
    <w:pPr>
      <w:ind w:firstLine="0"/>
    </w:pPr>
  </w:style>
  <w:style w:type="paragraph" w:customStyle="1" w:styleId="ListNote">
    <w:name w:val="List Note"/>
    <w:basedOn w:val="List"/>
    <w:rsid w:val="00CE1C6C"/>
    <w:pPr>
      <w:pBdr>
        <w:top w:val="single" w:sz="6" w:space="2" w:color="918585"/>
        <w:bottom w:val="single" w:sz="6" w:space="2" w:color="918585"/>
      </w:pBdr>
      <w:tabs>
        <w:tab w:val="left" w:pos="1021"/>
      </w:tabs>
      <w:ind w:firstLine="0"/>
    </w:pPr>
  </w:style>
  <w:style w:type="paragraph" w:customStyle="1" w:styleId="Warning">
    <w:name w:val="Warning"/>
    <w:basedOn w:val="BodyText"/>
    <w:rsid w:val="00CE1C6C"/>
    <w:pPr>
      <w:shd w:val="clear" w:color="auto" w:fill="D9D9D9"/>
      <w:tabs>
        <w:tab w:val="left" w:pos="992"/>
      </w:tabs>
      <w:ind w:left="119" w:right="119"/>
    </w:pPr>
    <w:rPr>
      <w:sz w:val="20"/>
    </w:rPr>
  </w:style>
  <w:style w:type="paragraph" w:customStyle="1" w:styleId="MarginIcons">
    <w:name w:val="Margin Icons"/>
    <w:basedOn w:val="BodyText"/>
    <w:rsid w:val="00CE1C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1C6C"/>
    <w:rPr>
      <w:rFonts w:ascii="Courier New" w:hAnsi="Courier New"/>
    </w:rPr>
  </w:style>
  <w:style w:type="paragraph" w:customStyle="1" w:styleId="NoteBullet">
    <w:name w:val="Note Bullet"/>
    <w:basedOn w:val="Note"/>
    <w:rsid w:val="00CE1C6C"/>
    <w:pPr>
      <w:tabs>
        <w:tab w:val="clear" w:pos="680"/>
      </w:tabs>
      <w:spacing w:before="60" w:after="60"/>
    </w:pPr>
  </w:style>
  <w:style w:type="paragraph" w:customStyle="1" w:styleId="SubHeading2">
    <w:name w:val="SubHeading2"/>
    <w:basedOn w:val="HeadingBase"/>
    <w:rsid w:val="00CE1C6C"/>
    <w:pPr>
      <w:spacing w:before="240" w:after="60"/>
    </w:pPr>
    <w:rPr>
      <w:sz w:val="20"/>
    </w:rPr>
  </w:style>
  <w:style w:type="paragraph" w:customStyle="1" w:styleId="SubHeading1">
    <w:name w:val="SubHeading1"/>
    <w:basedOn w:val="HeadingBase"/>
    <w:rsid w:val="00CE1C6C"/>
    <w:pPr>
      <w:spacing w:before="240" w:after="60"/>
    </w:pPr>
    <w:rPr>
      <w:color w:val="918585"/>
      <w:sz w:val="22"/>
    </w:rPr>
  </w:style>
  <w:style w:type="paragraph" w:customStyle="1" w:styleId="SideHeading">
    <w:name w:val="Side Heading"/>
    <w:basedOn w:val="HeadingBase"/>
    <w:rsid w:val="00CE1C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1C6C"/>
    <w:pPr>
      <w:numPr>
        <w:numId w:val="13"/>
      </w:numPr>
    </w:pPr>
  </w:style>
  <w:style w:type="paragraph" w:styleId="PlainText">
    <w:name w:val="Plain Text"/>
    <w:basedOn w:val="Normal"/>
    <w:link w:val="PlainTextChar"/>
    <w:rsid w:val="00CE1C6C"/>
    <w:rPr>
      <w:sz w:val="20"/>
    </w:rPr>
  </w:style>
  <w:style w:type="character" w:customStyle="1" w:styleId="PlainTextChar">
    <w:name w:val="Plain Text Char"/>
    <w:basedOn w:val="DefaultParagraphFont"/>
    <w:link w:val="PlainText"/>
    <w:rsid w:val="00CE1C6C"/>
    <w:rPr>
      <w:rFonts w:ascii="Courier New" w:eastAsia="Times New Roman" w:hAnsi="Courier New" w:cs="Times New Roman"/>
      <w:sz w:val="20"/>
      <w:szCs w:val="20"/>
      <w:lang w:eastAsia="en-US"/>
    </w:rPr>
  </w:style>
  <w:style w:type="character" w:customStyle="1" w:styleId="MenuOption">
    <w:name w:val="Menu Option"/>
    <w:basedOn w:val="DefaultParagraphFont"/>
    <w:rsid w:val="00CE1C6C"/>
    <w:rPr>
      <w:b/>
      <w:smallCaps/>
    </w:rPr>
  </w:style>
  <w:style w:type="paragraph" w:customStyle="1" w:styleId="TableListNumber">
    <w:name w:val="Table List Number"/>
    <w:basedOn w:val="ListNumber"/>
    <w:rsid w:val="00CE1C6C"/>
    <w:pPr>
      <w:numPr>
        <w:numId w:val="0"/>
      </w:numPr>
    </w:pPr>
  </w:style>
  <w:style w:type="paragraph" w:styleId="TOC4">
    <w:name w:val="toc 4"/>
    <w:basedOn w:val="TOCBase"/>
    <w:next w:val="Normal"/>
    <w:semiHidden/>
    <w:rsid w:val="00CE1C6C"/>
    <w:pPr>
      <w:tabs>
        <w:tab w:val="right" w:leader="dot" w:pos="9071"/>
      </w:tabs>
      <w:ind w:left="1701"/>
    </w:pPr>
  </w:style>
  <w:style w:type="paragraph" w:customStyle="1" w:styleId="ListAlpha">
    <w:name w:val="List Alpha"/>
    <w:basedOn w:val="List"/>
    <w:rsid w:val="00CE1C6C"/>
    <w:pPr>
      <w:numPr>
        <w:numId w:val="10"/>
      </w:numPr>
    </w:pPr>
  </w:style>
  <w:style w:type="paragraph" w:customStyle="1" w:styleId="ListAlpha2">
    <w:name w:val="List Alpha 2"/>
    <w:basedOn w:val="List2"/>
    <w:rsid w:val="00CE1C6C"/>
    <w:pPr>
      <w:numPr>
        <w:numId w:val="9"/>
      </w:numPr>
    </w:pPr>
  </w:style>
  <w:style w:type="paragraph" w:styleId="List2">
    <w:name w:val="List 2"/>
    <w:basedOn w:val="BodyText"/>
    <w:rsid w:val="00CE1C6C"/>
    <w:pPr>
      <w:tabs>
        <w:tab w:val="left" w:pos="680"/>
      </w:tabs>
      <w:spacing w:before="60" w:after="60"/>
      <w:ind w:left="680" w:hanging="340"/>
    </w:pPr>
  </w:style>
  <w:style w:type="paragraph" w:styleId="List3">
    <w:name w:val="List 3"/>
    <w:basedOn w:val="BodyText"/>
    <w:rsid w:val="00CE1C6C"/>
    <w:pPr>
      <w:tabs>
        <w:tab w:val="left" w:pos="1021"/>
      </w:tabs>
      <w:spacing w:before="60" w:after="60"/>
      <w:ind w:left="1020" w:hanging="340"/>
    </w:pPr>
  </w:style>
  <w:style w:type="paragraph" w:styleId="List4">
    <w:name w:val="List 4"/>
    <w:basedOn w:val="BodyText"/>
    <w:rsid w:val="00CE1C6C"/>
    <w:pPr>
      <w:tabs>
        <w:tab w:val="left" w:pos="1361"/>
      </w:tabs>
      <w:spacing w:before="60" w:after="60"/>
      <w:ind w:left="1361" w:hanging="340"/>
    </w:pPr>
  </w:style>
  <w:style w:type="paragraph" w:styleId="List5">
    <w:name w:val="List 5"/>
    <w:basedOn w:val="BodyText"/>
    <w:rsid w:val="00CE1C6C"/>
    <w:pPr>
      <w:tabs>
        <w:tab w:val="left" w:pos="1701"/>
      </w:tabs>
      <w:spacing w:before="60" w:after="60"/>
      <w:ind w:left="1701" w:hanging="340"/>
    </w:pPr>
  </w:style>
  <w:style w:type="paragraph" w:styleId="ListBullet3">
    <w:name w:val="List Bullet 3"/>
    <w:basedOn w:val="List3"/>
    <w:rsid w:val="00CE1C6C"/>
    <w:pPr>
      <w:numPr>
        <w:numId w:val="16"/>
      </w:numPr>
      <w:tabs>
        <w:tab w:val="clear" w:pos="1021"/>
      </w:tabs>
      <w:ind w:left="1037" w:hanging="357"/>
    </w:pPr>
  </w:style>
  <w:style w:type="paragraph" w:styleId="ListBullet4">
    <w:name w:val="List Bullet 4"/>
    <w:basedOn w:val="List4"/>
    <w:rsid w:val="00CE1C6C"/>
    <w:pPr>
      <w:numPr>
        <w:numId w:val="4"/>
      </w:numPr>
    </w:pPr>
  </w:style>
  <w:style w:type="paragraph" w:styleId="ListBullet5">
    <w:name w:val="List Bullet 5"/>
    <w:basedOn w:val="List5"/>
    <w:rsid w:val="00CE1C6C"/>
    <w:pPr>
      <w:numPr>
        <w:numId w:val="5"/>
      </w:numPr>
    </w:pPr>
  </w:style>
  <w:style w:type="paragraph" w:styleId="ListContinue2">
    <w:name w:val="List Continue 2"/>
    <w:basedOn w:val="List2"/>
    <w:rsid w:val="00CE1C6C"/>
    <w:pPr>
      <w:ind w:firstLine="0"/>
    </w:pPr>
  </w:style>
  <w:style w:type="paragraph" w:styleId="ListContinue3">
    <w:name w:val="List Continue 3"/>
    <w:basedOn w:val="List3"/>
    <w:rsid w:val="00CE1C6C"/>
    <w:pPr>
      <w:ind w:left="1021" w:firstLine="0"/>
    </w:pPr>
  </w:style>
  <w:style w:type="paragraph" w:styleId="ListContinue4">
    <w:name w:val="List Continue 4"/>
    <w:basedOn w:val="List4"/>
    <w:rsid w:val="00CE1C6C"/>
    <w:pPr>
      <w:ind w:firstLine="0"/>
    </w:pPr>
  </w:style>
  <w:style w:type="paragraph" w:styleId="ListContinue5">
    <w:name w:val="List Continue 5"/>
    <w:basedOn w:val="List5"/>
    <w:rsid w:val="00CE1C6C"/>
    <w:pPr>
      <w:ind w:firstLine="0"/>
    </w:pPr>
  </w:style>
  <w:style w:type="paragraph" w:styleId="ListNumber3">
    <w:name w:val="List Number 3"/>
    <w:basedOn w:val="List3"/>
    <w:rsid w:val="00CE1C6C"/>
    <w:pPr>
      <w:numPr>
        <w:numId w:val="6"/>
      </w:numPr>
    </w:pPr>
  </w:style>
  <w:style w:type="paragraph" w:styleId="ListNumber4">
    <w:name w:val="List Number 4"/>
    <w:basedOn w:val="List4"/>
    <w:rsid w:val="00CE1C6C"/>
    <w:pPr>
      <w:numPr>
        <w:numId w:val="7"/>
      </w:numPr>
    </w:pPr>
  </w:style>
  <w:style w:type="paragraph" w:styleId="ListNumber5">
    <w:name w:val="List Number 5"/>
    <w:basedOn w:val="List5"/>
    <w:rsid w:val="00CE1C6C"/>
    <w:pPr>
      <w:numPr>
        <w:numId w:val="8"/>
      </w:numPr>
    </w:pPr>
  </w:style>
  <w:style w:type="paragraph" w:styleId="BlockText">
    <w:name w:val="Block Text"/>
    <w:basedOn w:val="Normal"/>
    <w:rsid w:val="00CE1C6C"/>
    <w:pPr>
      <w:spacing w:after="120"/>
      <w:ind w:left="1440" w:right="1440"/>
    </w:pPr>
  </w:style>
  <w:style w:type="character" w:customStyle="1" w:styleId="Subscript">
    <w:name w:val="Subscript"/>
    <w:basedOn w:val="DefaultParagraphFont"/>
    <w:rsid w:val="00CE1C6C"/>
    <w:rPr>
      <w:sz w:val="16"/>
      <w:vertAlign w:val="subscript"/>
    </w:rPr>
  </w:style>
  <w:style w:type="character" w:customStyle="1" w:styleId="Superscript">
    <w:name w:val="Superscript"/>
    <w:basedOn w:val="DefaultParagraphFont"/>
    <w:rsid w:val="00CE1C6C"/>
    <w:rPr>
      <w:sz w:val="16"/>
      <w:vertAlign w:val="superscript"/>
    </w:rPr>
  </w:style>
  <w:style w:type="character" w:customStyle="1" w:styleId="Symbols">
    <w:name w:val="Symbols"/>
    <w:basedOn w:val="DefaultParagraphFont"/>
    <w:rsid w:val="00CE1C6C"/>
    <w:rPr>
      <w:rFonts w:ascii="Symbol" w:hAnsi="Symbol"/>
    </w:rPr>
  </w:style>
  <w:style w:type="character" w:customStyle="1" w:styleId="MenuOptions">
    <w:name w:val="Menu Options"/>
    <w:basedOn w:val="DefaultParagraphFont"/>
    <w:rsid w:val="00CE1C6C"/>
    <w:rPr>
      <w:rFonts w:ascii="Arial Narrow" w:hAnsi="Arial Narrow"/>
      <w:smallCaps/>
    </w:rPr>
  </w:style>
  <w:style w:type="character" w:customStyle="1" w:styleId="Buttons">
    <w:name w:val="Buttons"/>
    <w:basedOn w:val="DefaultParagraphFont"/>
    <w:rsid w:val="00CE1C6C"/>
    <w:rPr>
      <w:b/>
    </w:rPr>
  </w:style>
  <w:style w:type="character" w:customStyle="1" w:styleId="Underlined">
    <w:name w:val="Underlined"/>
    <w:basedOn w:val="DefaultParagraphFont"/>
    <w:rsid w:val="00CE1C6C"/>
    <w:rPr>
      <w:u w:val="single"/>
    </w:rPr>
  </w:style>
  <w:style w:type="paragraph" w:customStyle="1" w:styleId="TableBodyTextRight">
    <w:name w:val="Table Body Text Right"/>
    <w:basedOn w:val="TableBodyText"/>
    <w:rsid w:val="00CE1C6C"/>
    <w:pPr>
      <w:widowControl w:val="0"/>
      <w:autoSpaceDE w:val="0"/>
      <w:autoSpaceDN w:val="0"/>
      <w:adjustRightInd w:val="0"/>
      <w:jc w:val="right"/>
    </w:pPr>
    <w:rPr>
      <w:rFonts w:cs="Arial"/>
      <w:szCs w:val="18"/>
    </w:rPr>
  </w:style>
  <w:style w:type="paragraph" w:customStyle="1" w:styleId="CopyrightText">
    <w:name w:val="Copyright Text"/>
    <w:basedOn w:val="BodyText"/>
    <w:rsid w:val="00CE1C6C"/>
    <w:rPr>
      <w:sz w:val="18"/>
    </w:rPr>
  </w:style>
  <w:style w:type="paragraph" w:customStyle="1" w:styleId="BodySmallRight">
    <w:name w:val="Body Small Right"/>
    <w:basedOn w:val="BodyTextRight"/>
    <w:rsid w:val="00CE1C6C"/>
    <w:rPr>
      <w:sz w:val="18"/>
      <w:szCs w:val="18"/>
    </w:rPr>
  </w:style>
  <w:style w:type="paragraph" w:customStyle="1" w:styleId="MarginEdition">
    <w:name w:val="Margin Edition"/>
    <w:basedOn w:val="MarginNote"/>
    <w:rsid w:val="00CE1C6C"/>
    <w:pPr>
      <w:spacing w:before="0" w:after="0"/>
    </w:pPr>
    <w:rPr>
      <w:rFonts w:ascii="Times New Roman" w:hAnsi="Times New Roman"/>
      <w:color w:val="999999"/>
    </w:rPr>
  </w:style>
  <w:style w:type="paragraph" w:customStyle="1" w:styleId="Spacer">
    <w:name w:val="Spacer"/>
    <w:basedOn w:val="Normal"/>
    <w:rsid w:val="00CE1C6C"/>
    <w:rPr>
      <w:sz w:val="2"/>
      <w:szCs w:val="2"/>
    </w:rPr>
  </w:style>
  <w:style w:type="character" w:customStyle="1" w:styleId="Small">
    <w:name w:val="Small"/>
    <w:basedOn w:val="DefaultParagraphFont"/>
    <w:rsid w:val="00CE1C6C"/>
    <w:rPr>
      <w:sz w:val="16"/>
    </w:rPr>
  </w:style>
  <w:style w:type="paragraph" w:customStyle="1" w:styleId="WideTable">
    <w:name w:val="Wide Table"/>
    <w:basedOn w:val="Normal"/>
    <w:rsid w:val="00CE1C6C"/>
    <w:pPr>
      <w:ind w:left="-1418"/>
    </w:pPr>
    <w:rPr>
      <w:sz w:val="2"/>
      <w:szCs w:val="2"/>
    </w:rPr>
  </w:style>
  <w:style w:type="character" w:styleId="PageNumber">
    <w:name w:val="page number"/>
    <w:basedOn w:val="DefaultParagraphFont"/>
    <w:rsid w:val="00CE1C6C"/>
  </w:style>
  <w:style w:type="paragraph" w:styleId="Quote">
    <w:name w:val="Quote"/>
    <w:basedOn w:val="Heading1"/>
    <w:link w:val="QuoteChar"/>
    <w:qFormat/>
    <w:rsid w:val="00CE1C6C"/>
    <w:rPr>
      <w:b w:val="0"/>
      <w:sz w:val="72"/>
      <w:szCs w:val="72"/>
      <w:lang w:val="en-NZ"/>
    </w:rPr>
  </w:style>
  <w:style w:type="character" w:customStyle="1" w:styleId="QuoteChar">
    <w:name w:val="Quote Char"/>
    <w:basedOn w:val="DefaultParagraphFont"/>
    <w:link w:val="Quote"/>
    <w:rsid w:val="00CE1C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1C6C"/>
    <w:pPr>
      <w:pageBreakBefore/>
    </w:pPr>
  </w:style>
  <w:style w:type="paragraph" w:customStyle="1" w:styleId="Border">
    <w:name w:val="Border"/>
    <w:basedOn w:val="Normal"/>
    <w:qFormat/>
    <w:rsid w:val="00CE1C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1C6C"/>
    <w:rPr>
      <w:b/>
      <w:bCs/>
      <w:i/>
      <w:iCs/>
      <w:color w:val="auto"/>
    </w:rPr>
  </w:style>
  <w:style w:type="paragraph" w:styleId="IntenseQuote">
    <w:name w:val="Intense Quote"/>
    <w:basedOn w:val="Normal"/>
    <w:next w:val="Normal"/>
    <w:link w:val="IntenseQuoteChar"/>
    <w:uiPriority w:val="30"/>
    <w:qFormat/>
    <w:rsid w:val="00CE1C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1C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E1C6C"/>
    <w:rPr>
      <w:smallCaps/>
      <w:color w:val="auto"/>
      <w:u w:val="single"/>
    </w:rPr>
  </w:style>
  <w:style w:type="character" w:styleId="IntenseReference">
    <w:name w:val="Intense Reference"/>
    <w:basedOn w:val="DefaultParagraphFont"/>
    <w:uiPriority w:val="32"/>
    <w:qFormat/>
    <w:rsid w:val="00CE1C6C"/>
    <w:rPr>
      <w:b/>
      <w:bCs/>
      <w:smallCaps/>
      <w:color w:val="auto"/>
      <w:spacing w:val="5"/>
      <w:u w:val="single"/>
    </w:rPr>
  </w:style>
  <w:style w:type="paragraph" w:customStyle="1" w:styleId="2ColumnHeading">
    <w:name w:val="2Column Heading"/>
    <w:basedOn w:val="BodyText"/>
    <w:qFormat/>
    <w:rsid w:val="00CE1C6C"/>
    <w:pPr>
      <w:spacing w:after="60"/>
      <w:ind w:left="-2268"/>
    </w:pPr>
    <w:rPr>
      <w:b/>
    </w:rPr>
  </w:style>
  <w:style w:type="paragraph" w:customStyle="1" w:styleId="Heading1TOC">
    <w:name w:val="Heading1 TOC"/>
    <w:basedOn w:val="Normal"/>
    <w:qFormat/>
    <w:rsid w:val="00CE1C6C"/>
    <w:pPr>
      <w:spacing w:before="240" w:after="120"/>
    </w:pPr>
    <w:rPr>
      <w:rFonts w:ascii="Times New Roman" w:hAnsi="Times New Roman"/>
      <w:b/>
      <w:sz w:val="32"/>
    </w:rPr>
  </w:style>
  <w:style w:type="paragraph" w:customStyle="1" w:styleId="Heading2TOC">
    <w:name w:val="Heading2 TOC"/>
    <w:basedOn w:val="Normal"/>
    <w:qFormat/>
    <w:rsid w:val="00CE1C6C"/>
    <w:pPr>
      <w:spacing w:before="240" w:after="60"/>
    </w:pPr>
    <w:rPr>
      <w:rFonts w:ascii="Times New Roman" w:hAnsi="Times New Roman"/>
      <w:b/>
      <w:sz w:val="28"/>
    </w:rPr>
  </w:style>
  <w:style w:type="character" w:customStyle="1" w:styleId="Underline">
    <w:name w:val="Underline"/>
    <w:basedOn w:val="DefaultParagraphFont"/>
    <w:qFormat/>
    <w:rsid w:val="00CE1C6C"/>
    <w:rPr>
      <w:u w:val="single"/>
    </w:rPr>
  </w:style>
  <w:style w:type="character" w:customStyle="1" w:styleId="BoldandItalics">
    <w:name w:val="Bold and Italics"/>
    <w:qFormat/>
    <w:rsid w:val="00CE1C6C"/>
    <w:rPr>
      <w:b/>
      <w:i/>
      <w:u w:val="none"/>
    </w:rPr>
  </w:style>
  <w:style w:type="paragraph" w:styleId="BalloonText">
    <w:name w:val="Balloon Text"/>
    <w:basedOn w:val="Normal"/>
    <w:link w:val="BalloonTextChar"/>
    <w:rsid w:val="00CE1C6C"/>
    <w:rPr>
      <w:rFonts w:ascii="Tahoma" w:hAnsi="Tahoma" w:cs="Tahoma"/>
      <w:sz w:val="16"/>
      <w:szCs w:val="16"/>
    </w:rPr>
  </w:style>
  <w:style w:type="character" w:customStyle="1" w:styleId="BalloonTextChar">
    <w:name w:val="Balloon Text Char"/>
    <w:basedOn w:val="DefaultParagraphFont"/>
    <w:link w:val="BalloonText"/>
    <w:rsid w:val="00CE1C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E1C6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E1C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E1C6C"/>
    <w:rPr>
      <w:b/>
      <w:color w:val="660033"/>
      <w:spacing w:val="0"/>
    </w:rPr>
  </w:style>
  <w:style w:type="paragraph" w:customStyle="1" w:styleId="Nameditemlist">
    <w:name w:val="Named item list"/>
    <w:basedOn w:val="BodyText"/>
    <w:qFormat/>
    <w:rsid w:val="00CE1C6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1248</Words>
  <Characters>8002</Characters>
  <Application>Microsoft Office Word</Application>
  <DocSecurity>0</DocSecurity>
  <Lines>285</Lines>
  <Paragraphs>127</Paragraphs>
  <ScaleCrop>false</ScaleCrop>
  <Company>Author-it Software Corporation Ltd.</Company>
  <LinksUpToDate>false</LinksUpToDate>
  <CharactersWithSpaces>9146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MEA394A Repair and/or overhaul aircraft piston engine crankcase assembly components</dc:title>
  <dc:subject>Approved</dc:subject>
  <dc:creator>Manufacturing Skills Australia</dc:creator>
  <cp:keywords>Release: 1</cp:keywords>
  <dc:description>Review Date: 12 April 2008</dc:description>
  <cp:lastModifiedBy>TPCMS</cp:lastModifiedBy>
  <cp:revision>3</cp:revision>
  <dcterms:created xsi:type="dcterms:W3CDTF">2013-10-25T06:14:00Z</dcterms:created>
  <dcterms:modified xsi:type="dcterms:W3CDTF">2013-10-25T06:14:00Z</dcterms:modified>
</cp:coreProperties>
</file>