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155F" w:rsidP="001E155F">
      <w:pPr>
        <w:pStyle w:val="Title"/>
      </w:pPr>
      <w:bookmarkStart w:id="0" w:name="_GoBack"/>
      <w:bookmarkEnd w:id="0"/>
      <w:r>
        <w:fldChar w:fldCharType="begin"/>
      </w:r>
      <w:r>
        <w:instrText xml:space="preserve"> TITLE   \* MERGEFORMAT </w:instrText>
      </w:r>
      <w:r>
        <w:fldChar w:fldCharType="separate"/>
      </w:r>
      <w:r>
        <w:t>MEA322C Test and troubleshoot gas turbine engine systems and components</w:t>
      </w:r>
      <w:r>
        <w:fldChar w:fldCharType="end"/>
      </w:r>
    </w:p>
    <w:p w:rsidR="001E155F" w:rsidP="001E155F">
      <w:pPr>
        <w:pStyle w:val="Version"/>
        <w:sectPr w:rsidSect="003E0A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0A96" w:rsidP="003E0A96">
      <w:pPr>
        <w:pStyle w:val="SuperHeading"/>
      </w:pPr>
      <w:r w:rsidRPr="003E0A96">
        <w:t>MEA322C Test and troubleshoot gas turbine engine systems and components</w:t>
      </w:r>
    </w:p>
    <w:p w:rsidR="00000000" w:rsidRPr="003E0A96" w:rsidP="003E0A96">
      <w:pPr>
        <w:pStyle w:val="Heading1"/>
      </w:pPr>
      <w:bookmarkStart w:id="1" w:name="O_389490"/>
      <w:bookmarkEnd w:id="1"/>
      <w:r w:rsidRPr="003E0A96">
        <w:t>Modification History</w:t>
      </w:r>
    </w:p>
    <w:p w:rsidR="00000000" w:rsidRPr="003E0A96" w:rsidP="003E0A96">
      <w:pPr>
        <w:pStyle w:val="BodyText"/>
      </w:pPr>
      <w:r w:rsidRPr="003E0A96">
        <w:t>Knowledge statements expanded - equivalent to previous ve</w:t>
      </w:r>
      <w:r w:rsidRPr="003E0A96">
        <w:t>rsion.</w:t>
      </w:r>
    </w:p>
    <w:p w:rsidR="00000000" w:rsidRPr="003E0A96" w:rsidP="003E0A96">
      <w:pPr>
        <w:pStyle w:val="AllowPageBreak"/>
      </w:pPr>
    </w:p>
    <w:p w:rsidR="00000000" w:rsidRPr="003E0A96" w:rsidP="003E0A96">
      <w:pPr>
        <w:pStyle w:val="Heading1"/>
      </w:pPr>
      <w:bookmarkStart w:id="2" w:name="O_389491"/>
      <w:bookmarkEnd w:id="2"/>
      <w:r w:rsidRPr="003E0A96">
        <w:t>Unit Descriptor</w:t>
      </w:r>
    </w:p>
    <w:p w:rsidR="00000000" w:rsidRPr="003E0A96" w:rsidP="003E0A96">
      <w:pPr>
        <w:pStyle w:val="BodyText"/>
      </w:pPr>
      <w:r w:rsidRPr="003E0A96">
        <w:t xml:space="preserve">This unit of competency is part of the Mechanical Certificate IV (Aircraft Maintenance Stream) training pathways and must be taken with MEA319C Inspect gas turbine engine systems and components. This unit covers the </w:t>
      </w:r>
      <w:r w:rsidRPr="003E0A96">
        <w:t>competencies required to test and troubleshoot the systems and components of gas turbine engines. The unit is used in workplaces that operate under the airworthiness regulatory systems of the ADF and CASA.</w:t>
      </w:r>
    </w:p>
    <w:p w:rsidR="00000000" w:rsidRPr="003E0A96" w:rsidP="003E0A96">
      <w:pPr>
        <w:pStyle w:val="BodyText"/>
      </w:pPr>
      <w:r w:rsidRPr="003E0A96">
        <w:t>Where a CASA licensing outcome is sought this unit</w:t>
      </w:r>
      <w:r w:rsidRPr="003E0A96">
        <w:t xml:space="preserve"> forms part of the CASA requirement for the granting of the chosen B1 maintenance certification licence under CASR Part 66, in accordance with the licensing provisions in Section 3, Assessment Guidelines.</w:t>
      </w:r>
    </w:p>
    <w:p w:rsidR="00000000" w:rsidRPr="003E0A96" w:rsidP="003E0A96">
      <w:pPr>
        <w:pStyle w:val="AllowPageBreak"/>
      </w:pPr>
    </w:p>
    <w:p w:rsidR="00000000" w:rsidRPr="003E0A96" w:rsidP="003E0A96">
      <w:pPr>
        <w:pStyle w:val="Heading1"/>
      </w:pPr>
      <w:bookmarkStart w:id="3" w:name="O_389492"/>
      <w:bookmarkEnd w:id="3"/>
      <w:r w:rsidRPr="003E0A96">
        <w:t>Application of the Unit</w:t>
      </w:r>
    </w:p>
    <w:p w:rsidR="00000000" w:rsidRPr="003E0A96" w:rsidP="003E0A96">
      <w:pPr>
        <w:pStyle w:val="BodyText"/>
      </w:pPr>
      <w:r w:rsidRPr="003E0A96">
        <w:t xml:space="preserve">This unit </w:t>
      </w:r>
      <w:r w:rsidRPr="003E0A96">
        <w:t>requires application of hand skills, the use of maintenance publications and knowledge of gas turbine engine and system theory to test and troubleshoot gas turbine engines and engine system components.</w:t>
      </w:r>
    </w:p>
    <w:p w:rsidR="00000000" w:rsidRPr="003E0A96" w:rsidP="003E0A96">
      <w:pPr>
        <w:pStyle w:val="BodyText"/>
      </w:pPr>
      <w:r w:rsidRPr="003E0A96">
        <w:t>Applications include fixed and rotary wing aircraft.</w:t>
      </w:r>
    </w:p>
    <w:p w:rsidR="00000000" w:rsidRPr="003E0A96" w:rsidP="003E0A96">
      <w:pPr>
        <w:pStyle w:val="AllowPageBreak"/>
      </w:pPr>
    </w:p>
    <w:p w:rsidR="00000000" w:rsidRPr="003E0A96" w:rsidP="003E0A96">
      <w:pPr>
        <w:pStyle w:val="Heading1"/>
      </w:pPr>
      <w:bookmarkStart w:id="4" w:name="O_389493"/>
      <w:bookmarkEnd w:id="4"/>
      <w:r w:rsidRPr="003E0A96">
        <w:t>Licensing/Regulatory Information</w:t>
      </w:r>
    </w:p>
    <w:p w:rsidR="00000000" w:rsidRPr="003E0A96" w:rsidP="003E0A96">
      <w:pPr>
        <w:pStyle w:val="BodyText"/>
      </w:pPr>
      <w:r w:rsidRPr="003E0A96">
        <w:t>Refer to unit descriptor</w:t>
      </w:r>
    </w:p>
    <w:p w:rsidR="00000000" w:rsidRPr="003E0A96" w:rsidP="003E0A96">
      <w:pPr>
        <w:pStyle w:val="AllowPageBreak"/>
      </w:pPr>
    </w:p>
    <w:p w:rsidR="00000000" w:rsidRPr="003E0A96" w:rsidP="003E0A96">
      <w:pPr>
        <w:pStyle w:val="Heading1"/>
      </w:pPr>
      <w:bookmarkStart w:id="5" w:name="O_389494"/>
      <w:bookmarkEnd w:id="5"/>
      <w:r w:rsidRPr="003E0A96">
        <w:t>Pre-Requisites</w:t>
      </w:r>
    </w:p>
    <w:tbl>
      <w:tblPr>
        <w:tblW w:w="0" w:type="auto"/>
        <w:tblLayout w:type="fixed"/>
        <w:tblCellMar>
          <w:left w:w="62" w:type="dxa"/>
          <w:right w:w="62" w:type="dxa"/>
        </w:tblCellMar>
        <w:tblLook w:val="0000"/>
      </w:tblPr>
      <w:tblGrid>
        <w:gridCol w:w="1392"/>
        <w:gridCol w:w="7788"/>
      </w:tblGrid>
      <w:tr w:rsidTr="003E0A96">
        <w:tblPrEx>
          <w:tblW w:w="0" w:type="auto"/>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3E0A96">
            <w:pPr>
              <w:pStyle w:val="BodyText"/>
              <w:rPr>
                <w:lang w:val="en-NZ"/>
              </w:rPr>
            </w:pPr>
            <w:r w:rsidRPr="003E0A96">
              <w:t>MEA319C</w:t>
            </w:r>
          </w:p>
        </w:tc>
        <w:tc>
          <w:tcPr>
            <w:tcW w:w="7788" w:type="dxa"/>
            <w:tcBorders>
              <w:top w:val="nil"/>
              <w:left w:val="nil"/>
              <w:bottom w:val="nil"/>
              <w:right w:val="nil"/>
            </w:tcBorders>
            <w:tcMar>
              <w:top w:w="0" w:type="dxa"/>
              <w:left w:w="62" w:type="dxa"/>
              <w:bottom w:w="0" w:type="dxa"/>
              <w:right w:w="62" w:type="dxa"/>
            </w:tcMar>
          </w:tcPr>
          <w:p w:rsidR="00000000" w:rsidRPr="003E0A96" w:rsidP="003E0A96">
            <w:pPr>
              <w:pStyle w:val="BodyText"/>
            </w:pPr>
            <w:r w:rsidRPr="003E0A96">
              <w:t>Inspect gas turbine engine systems and components</w:t>
            </w:r>
          </w:p>
        </w:tc>
      </w:tr>
    </w:tbl>
    <w:p w:rsidR="00000000" w:rsidRPr="003E0A96" w:rsidP="003E0A96">
      <w:pPr>
        <w:pStyle w:val="BodyText"/>
      </w:pPr>
    </w:p>
    <w:p w:rsidR="00000000" w:rsidRPr="003E0A96" w:rsidP="003E0A96">
      <w:pPr>
        <w:pStyle w:val="AllowPageBreak"/>
      </w:pPr>
    </w:p>
    <w:p w:rsidR="00000000" w:rsidRPr="003E0A96" w:rsidP="003E0A96">
      <w:pPr>
        <w:pStyle w:val="Heading1"/>
      </w:pPr>
      <w:bookmarkStart w:id="6" w:name="O_389495"/>
      <w:bookmarkEnd w:id="6"/>
      <w:r w:rsidRPr="003E0A96">
        <w:t>Employability Skills Information</w:t>
      </w:r>
    </w:p>
    <w:p w:rsidR="00000000" w:rsidRPr="003E0A96" w:rsidP="003E0A96">
      <w:pPr>
        <w:pStyle w:val="BodyText"/>
      </w:pPr>
      <w:r w:rsidRPr="003E0A96">
        <w:t>This unit contains employability skills.</w:t>
      </w:r>
    </w:p>
    <w:p w:rsidR="00000000" w:rsidRPr="003E0A96" w:rsidP="003E0A96">
      <w:pPr>
        <w:pStyle w:val="AllowPageBreak"/>
      </w:pPr>
    </w:p>
    <w:p w:rsidR="00000000" w:rsidRPr="003E0A96" w:rsidP="003E0A96">
      <w:pPr>
        <w:pStyle w:val="Heading1"/>
      </w:pPr>
      <w:bookmarkStart w:id="7" w:name="O_389496"/>
      <w:bookmarkEnd w:id="7"/>
      <w:r w:rsidRPr="003E0A96">
        <w:t>Elements and Performance Criteria Pre-Content</w:t>
      </w:r>
    </w:p>
    <w:tbl>
      <w:tblPr>
        <w:tblW w:w="9462" w:type="dxa"/>
        <w:tblLayout w:type="fixed"/>
        <w:tblCellMar>
          <w:left w:w="62" w:type="dxa"/>
          <w:right w:w="62" w:type="dxa"/>
        </w:tblCellMar>
        <w:tblLook w:val="0000"/>
      </w:tblPr>
      <w:tblGrid>
        <w:gridCol w:w="2700"/>
        <w:gridCol w:w="6762"/>
      </w:tblGrid>
      <w:tr w:rsidTr="003E0A96">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E0A96">
            <w:pPr>
              <w:pStyle w:val="BodyText"/>
              <w:rPr>
                <w:lang w:val="en-NZ"/>
              </w:rPr>
            </w:pPr>
            <w:r w:rsidRPr="003E0A96">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E0A96" w:rsidP="003E0A96">
            <w:pPr>
              <w:pStyle w:val="BodyText"/>
            </w:pPr>
            <w:r w:rsidRPr="003E0A96">
              <w:t xml:space="preserve">Performance criteria describe the performance needed to demonstrate achievement of the element. Where bold italicised text is </w:t>
            </w:r>
            <w:r w:rsidRPr="003E0A96">
              <w:t>used, further information is detailed in the required skills and knowledge section and the range statement. Assessment of performance is to be consistent with the evidence guide.</w:t>
            </w:r>
          </w:p>
        </w:tc>
      </w:tr>
    </w:tbl>
    <w:p w:rsidR="00000000" w:rsidRPr="003E0A96" w:rsidP="003E0A96">
      <w:pPr>
        <w:pStyle w:val="BodyText"/>
      </w:pPr>
    </w:p>
    <w:p w:rsidR="00000000" w:rsidRPr="003E0A96" w:rsidP="003E0A96">
      <w:pPr>
        <w:pStyle w:val="AllowPageBreak"/>
      </w:pPr>
    </w:p>
    <w:p w:rsidR="00000000" w:rsidRPr="003E0A96" w:rsidP="003E0A96">
      <w:pPr>
        <w:pStyle w:val="Heading1"/>
      </w:pPr>
      <w:bookmarkStart w:id="8" w:name="O_389497"/>
      <w:bookmarkEnd w:id="8"/>
      <w:r w:rsidRPr="003E0A96">
        <w:t>Elements and Performance Criteria</w:t>
      </w:r>
    </w:p>
    <w:tbl>
      <w:tblPr>
        <w:tblW w:w="0" w:type="auto"/>
        <w:tblCellMar>
          <w:left w:w="62" w:type="dxa"/>
          <w:right w:w="62" w:type="dxa"/>
        </w:tblCellMar>
        <w:tblLook w:val="0000"/>
      </w:tblPr>
      <w:tblGrid>
        <w:gridCol w:w="308"/>
        <w:gridCol w:w="2589"/>
        <w:gridCol w:w="414"/>
        <w:gridCol w:w="5885"/>
      </w:tblGrid>
      <w:tr w:rsidTr="001E15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0A96">
            <w:pPr>
              <w:pStyle w:val="BodyText"/>
              <w:rPr>
                <w:lang w:val="en-NZ"/>
              </w:rPr>
            </w:pPr>
            <w:r w:rsidRPr="003E0A96">
              <w:t>1</w:t>
            </w:r>
          </w:p>
        </w:tc>
        <w:tc>
          <w:tcPr>
            <w:tcW w:w="0" w:type="auto"/>
            <w:tcBorders>
              <w:top w:val="nil"/>
              <w:left w:val="nil"/>
              <w:bottom w:val="nil"/>
              <w:right w:val="nil"/>
            </w:tcBorders>
            <w:tcMar>
              <w:top w:w="0" w:type="dxa"/>
              <w:left w:w="62" w:type="dxa"/>
              <w:bottom w:w="0" w:type="dxa"/>
              <w:right w:w="62" w:type="dxa"/>
            </w:tcMar>
          </w:tcPr>
          <w:p w:rsidR="00000000" w:rsidP="003E0A96">
            <w:pPr>
              <w:pStyle w:val="BodyText"/>
              <w:rPr>
                <w:lang w:val="en-NZ"/>
              </w:rPr>
            </w:pPr>
            <w:r w:rsidRPr="003E0A96">
              <w:t>Prepare for troubleshooting</w:t>
            </w:r>
          </w:p>
        </w:tc>
        <w:tc>
          <w:tcPr>
            <w:tcW w:w="0" w:type="auto"/>
            <w:tcBorders>
              <w:top w:val="nil"/>
              <w:left w:val="nil"/>
              <w:bottom w:val="nil"/>
              <w:right w:val="nil"/>
            </w:tcBorders>
            <w:tcMar>
              <w:top w:w="0" w:type="dxa"/>
              <w:left w:w="62" w:type="dxa"/>
              <w:bottom w:w="0" w:type="dxa"/>
              <w:right w:w="62" w:type="dxa"/>
            </w:tcMar>
          </w:tcPr>
          <w:p w:rsidR="00000000" w:rsidP="003E0A96">
            <w:pPr>
              <w:pStyle w:val="BodyText"/>
              <w:rPr>
                <w:lang w:val="en-NZ"/>
              </w:rPr>
            </w:pPr>
            <w:r w:rsidRPr="003E0A96">
              <w:t>1.1</w:t>
            </w:r>
          </w:p>
        </w:tc>
        <w:tc>
          <w:tcPr>
            <w:tcW w:w="0" w:type="auto"/>
            <w:tcBorders>
              <w:top w:val="nil"/>
              <w:left w:val="nil"/>
              <w:bottom w:val="nil"/>
              <w:right w:val="nil"/>
            </w:tcBorders>
            <w:tcMar>
              <w:top w:w="0" w:type="dxa"/>
              <w:left w:w="62" w:type="dxa"/>
              <w:bottom w:w="0" w:type="dxa"/>
              <w:right w:w="62" w:type="dxa"/>
            </w:tcMar>
          </w:tcPr>
          <w:p w:rsidR="00000000" w:rsidP="003E0A96">
            <w:pPr>
              <w:pStyle w:val="BodyText"/>
              <w:rPr>
                <w:lang w:val="en-NZ"/>
              </w:rPr>
            </w:pPr>
            <w:r w:rsidRPr="003E0A96">
              <w:t>Relevant maintenance documentation and modification status, including system defect reports, where relevant, are interpreted to identify an unserviceability</w:t>
            </w:r>
          </w:p>
        </w:tc>
      </w:tr>
      <w:tr w:rsidTr="001E155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3E0A96">
            <w:pPr>
              <w:pStyle w:val="BodyText"/>
              <w:rPr>
                <w:lang w:val="en-NZ"/>
              </w:rPr>
            </w:pPr>
            <w:r w:rsidRPr="003E0A96">
              <w:t>2</w:t>
            </w:r>
          </w:p>
        </w:tc>
        <w:tc>
          <w:tcPr>
            <w:tcW w:w="0" w:type="auto"/>
            <w:vMerge w:val="restart"/>
            <w:tcBorders>
              <w:top w:val="nil"/>
              <w:left w:val="nil"/>
              <w:bottom w:val="nil"/>
              <w:right w:val="nil"/>
            </w:tcBorders>
            <w:tcMar>
              <w:top w:w="0" w:type="dxa"/>
              <w:left w:w="62" w:type="dxa"/>
              <w:bottom w:w="0" w:type="dxa"/>
              <w:right w:w="62" w:type="dxa"/>
            </w:tcMar>
          </w:tcPr>
          <w:p w:rsidR="00000000" w:rsidP="003E0A96">
            <w:pPr>
              <w:pStyle w:val="BodyText"/>
              <w:rPr>
                <w:lang w:val="en-NZ"/>
              </w:rPr>
            </w:pPr>
            <w:r w:rsidRPr="003E0A96">
              <w:t>Test gas turbine engine system</w:t>
            </w:r>
          </w:p>
        </w:tc>
        <w:tc>
          <w:tcPr>
            <w:tcW w:w="0" w:type="auto"/>
            <w:tcBorders>
              <w:top w:val="nil"/>
              <w:left w:val="nil"/>
              <w:bottom w:val="nil"/>
              <w:right w:val="nil"/>
            </w:tcBorders>
            <w:tcMar>
              <w:top w:w="0" w:type="dxa"/>
              <w:left w:w="62" w:type="dxa"/>
              <w:bottom w:w="0" w:type="dxa"/>
              <w:right w:w="62" w:type="dxa"/>
            </w:tcMar>
          </w:tcPr>
          <w:p w:rsidR="00000000" w:rsidP="003E0A96">
            <w:pPr>
              <w:pStyle w:val="BodyText"/>
              <w:rPr>
                <w:lang w:val="en-NZ"/>
              </w:rPr>
            </w:pPr>
            <w:r w:rsidRPr="003E0A96">
              <w:t>2.1</w:t>
            </w:r>
          </w:p>
        </w:tc>
        <w:tc>
          <w:tcPr>
            <w:tcW w:w="0" w:type="auto"/>
            <w:tcBorders>
              <w:top w:val="nil"/>
              <w:left w:val="nil"/>
              <w:bottom w:val="nil"/>
              <w:right w:val="nil"/>
            </w:tcBorders>
            <w:tcMar>
              <w:top w:w="0" w:type="dxa"/>
              <w:left w:w="62" w:type="dxa"/>
              <w:bottom w:w="0" w:type="dxa"/>
              <w:right w:w="62" w:type="dxa"/>
            </w:tcMar>
          </w:tcPr>
          <w:p w:rsidR="00000000" w:rsidP="003E0A96">
            <w:pPr>
              <w:pStyle w:val="BodyText"/>
              <w:rPr>
                <w:lang w:val="en-NZ"/>
              </w:rPr>
            </w:pPr>
            <w:r w:rsidRPr="003E0A96">
              <w:t xml:space="preserve">Aircraft and </w:t>
            </w:r>
            <w:r w:rsidRPr="003E0A96">
              <w:rPr>
                <w:rStyle w:val="BoldandItalics"/>
              </w:rPr>
              <w:t>gas turbine engi</w:t>
            </w:r>
            <w:r w:rsidRPr="003E0A96">
              <w:rPr>
                <w:rStyle w:val="BoldandItalics"/>
              </w:rPr>
              <w:t>ne system</w:t>
            </w:r>
            <w:r w:rsidRPr="003E0A96">
              <w:t xml:space="preserve"> are correctly prepared in accordance with applicable maintenance manual and connected to appropriate test equipment</w:t>
            </w:r>
          </w:p>
        </w:tc>
      </w:tr>
      <w:tr w:rsidTr="001E15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E0A96">
            <w:pPr>
              <w:pStyle w:val="BodyText"/>
              <w:rPr>
                <w:lang w:val="en-NZ"/>
              </w:rPr>
            </w:pPr>
            <w:r w:rsidRPr="003E0A96">
              <w:t>2.2</w:t>
            </w:r>
          </w:p>
        </w:tc>
        <w:tc>
          <w:tcPr>
            <w:tcW w:w="0" w:type="auto"/>
            <w:tcBorders>
              <w:top w:val="nil"/>
              <w:left w:val="nil"/>
              <w:bottom w:val="nil"/>
              <w:right w:val="nil"/>
            </w:tcBorders>
            <w:tcMar>
              <w:top w:w="0" w:type="dxa"/>
              <w:left w:w="62" w:type="dxa"/>
              <w:bottom w:w="0" w:type="dxa"/>
              <w:right w:w="62" w:type="dxa"/>
            </w:tcMar>
          </w:tcPr>
          <w:p w:rsidR="00000000" w:rsidP="003E0A96">
            <w:pPr>
              <w:pStyle w:val="BodyText"/>
              <w:rPr>
                <w:lang w:val="en-NZ"/>
              </w:rPr>
            </w:pPr>
            <w:r w:rsidRPr="003E0A96">
              <w:t>Built-in system test functions and status displays are activated, where applicable, outputs recorded and interpreted</w:t>
            </w:r>
          </w:p>
        </w:tc>
      </w:tr>
      <w:tr w:rsidTr="001E15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E0A96">
            <w:pPr>
              <w:pStyle w:val="BodyText"/>
              <w:rPr>
                <w:lang w:val="en-NZ"/>
              </w:rPr>
            </w:pPr>
            <w:r w:rsidRPr="003E0A96">
              <w:t>2.3</w:t>
            </w:r>
          </w:p>
        </w:tc>
        <w:tc>
          <w:tcPr>
            <w:tcW w:w="0" w:type="auto"/>
            <w:tcBorders>
              <w:top w:val="nil"/>
              <w:left w:val="nil"/>
              <w:bottom w:val="nil"/>
              <w:right w:val="nil"/>
            </w:tcBorders>
            <w:tcMar>
              <w:top w:w="0" w:type="dxa"/>
              <w:left w:w="62" w:type="dxa"/>
              <w:bottom w:w="0" w:type="dxa"/>
              <w:right w:w="62" w:type="dxa"/>
            </w:tcMar>
          </w:tcPr>
          <w:p w:rsidR="00000000" w:rsidP="003E0A96">
            <w:pPr>
              <w:pStyle w:val="BodyText"/>
              <w:rPr>
                <w:lang w:val="en-NZ"/>
              </w:rPr>
            </w:pPr>
            <w:r w:rsidRPr="003E0A96">
              <w:t>Assistance is provided with gas turbine engine and/or system operation during prescribed test procedures to establish serviceability and correct function in accordance with applicable maintenance manual</w:t>
            </w:r>
          </w:p>
        </w:tc>
      </w:tr>
      <w:tr w:rsidTr="001E155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3E0A96">
            <w:pPr>
              <w:pStyle w:val="BodyText"/>
              <w:rPr>
                <w:lang w:val="en-NZ"/>
              </w:rPr>
            </w:pPr>
            <w:r w:rsidRPr="003E0A96">
              <w:t>3</w:t>
            </w:r>
          </w:p>
        </w:tc>
        <w:tc>
          <w:tcPr>
            <w:tcW w:w="0" w:type="auto"/>
            <w:vMerge w:val="restart"/>
            <w:tcBorders>
              <w:top w:val="nil"/>
              <w:left w:val="nil"/>
              <w:bottom w:val="nil"/>
              <w:right w:val="nil"/>
            </w:tcBorders>
            <w:tcMar>
              <w:top w:w="0" w:type="dxa"/>
              <w:left w:w="62" w:type="dxa"/>
              <w:bottom w:w="0" w:type="dxa"/>
              <w:right w:w="62" w:type="dxa"/>
            </w:tcMar>
          </w:tcPr>
          <w:p w:rsidR="00000000" w:rsidP="003E0A96">
            <w:pPr>
              <w:pStyle w:val="BodyText"/>
              <w:rPr>
                <w:lang w:val="en-NZ"/>
              </w:rPr>
            </w:pPr>
            <w:r w:rsidRPr="003E0A96">
              <w:t>Troubleshoot gas turbine engine system</w:t>
            </w:r>
          </w:p>
        </w:tc>
        <w:tc>
          <w:tcPr>
            <w:tcW w:w="0" w:type="auto"/>
            <w:tcBorders>
              <w:top w:val="nil"/>
              <w:left w:val="nil"/>
              <w:bottom w:val="nil"/>
              <w:right w:val="nil"/>
            </w:tcBorders>
            <w:tcMar>
              <w:top w:w="0" w:type="dxa"/>
              <w:left w:w="62" w:type="dxa"/>
              <w:bottom w:w="0" w:type="dxa"/>
              <w:right w:w="62" w:type="dxa"/>
            </w:tcMar>
          </w:tcPr>
          <w:p w:rsidR="00000000" w:rsidP="003E0A96">
            <w:pPr>
              <w:pStyle w:val="BodyText"/>
              <w:rPr>
                <w:lang w:val="en-NZ"/>
              </w:rPr>
            </w:pPr>
            <w:r w:rsidRPr="003E0A96">
              <w:t>3.1</w:t>
            </w:r>
          </w:p>
        </w:tc>
        <w:tc>
          <w:tcPr>
            <w:tcW w:w="0" w:type="auto"/>
            <w:tcBorders>
              <w:top w:val="nil"/>
              <w:left w:val="nil"/>
              <w:bottom w:val="nil"/>
              <w:right w:val="nil"/>
            </w:tcBorders>
            <w:tcMar>
              <w:top w:w="0" w:type="dxa"/>
              <w:left w:w="62" w:type="dxa"/>
              <w:bottom w:w="0" w:type="dxa"/>
              <w:right w:w="62" w:type="dxa"/>
            </w:tcMar>
          </w:tcPr>
          <w:p w:rsidR="00000000" w:rsidP="003E0A96">
            <w:pPr>
              <w:pStyle w:val="BodyText"/>
              <w:rPr>
                <w:lang w:val="en-NZ"/>
              </w:rPr>
            </w:pPr>
            <w:r w:rsidRPr="003E0A96">
              <w:t>Availa</w:t>
            </w:r>
            <w:r w:rsidRPr="003E0A96">
              <w:t>ble information from maintenance documentation and inspection and test results is used, where necessary, to assist in fault determination</w:t>
            </w:r>
          </w:p>
        </w:tc>
      </w:tr>
      <w:tr w:rsidTr="001E15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E0A96">
            <w:pPr>
              <w:pStyle w:val="BodyText"/>
              <w:rPr>
                <w:lang w:val="en-NZ"/>
              </w:rPr>
            </w:pPr>
            <w:r w:rsidRPr="003E0A96">
              <w:t>3.2</w:t>
            </w:r>
          </w:p>
        </w:tc>
        <w:tc>
          <w:tcPr>
            <w:tcW w:w="0" w:type="auto"/>
            <w:tcBorders>
              <w:top w:val="nil"/>
              <w:left w:val="nil"/>
              <w:bottom w:val="nil"/>
              <w:right w:val="nil"/>
            </w:tcBorders>
            <w:tcMar>
              <w:top w:w="0" w:type="dxa"/>
              <w:left w:w="62" w:type="dxa"/>
              <w:bottom w:w="0" w:type="dxa"/>
              <w:right w:w="62" w:type="dxa"/>
            </w:tcMar>
          </w:tcPr>
          <w:p w:rsidR="00000000" w:rsidP="003E0A96">
            <w:pPr>
              <w:pStyle w:val="BodyText"/>
              <w:rPr>
                <w:lang w:val="en-NZ"/>
              </w:rPr>
            </w:pPr>
            <w:r w:rsidRPr="003E0A96">
              <w:t xml:space="preserve">Maintenance manual fault diagnosis guide and logical processes are used to ensure efficient and accurate </w:t>
            </w:r>
            <w:r w:rsidRPr="003E0A96">
              <w:rPr>
                <w:rStyle w:val="BoldandItalics"/>
              </w:rPr>
              <w:t>troubl</w:t>
            </w:r>
            <w:r w:rsidRPr="003E0A96">
              <w:rPr>
                <w:rStyle w:val="BoldandItalics"/>
              </w:rPr>
              <w:t>eshooting</w:t>
            </w:r>
          </w:p>
        </w:tc>
      </w:tr>
      <w:tr w:rsidTr="001E15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E0A96">
            <w:pPr>
              <w:pStyle w:val="BodyText"/>
              <w:rPr>
                <w:lang w:val="en-NZ"/>
              </w:rPr>
            </w:pPr>
            <w:r w:rsidRPr="003E0A96">
              <w:t>3.3</w:t>
            </w:r>
          </w:p>
        </w:tc>
        <w:tc>
          <w:tcPr>
            <w:tcW w:w="0" w:type="auto"/>
            <w:tcBorders>
              <w:top w:val="nil"/>
              <w:left w:val="nil"/>
              <w:bottom w:val="nil"/>
              <w:right w:val="nil"/>
            </w:tcBorders>
            <w:tcMar>
              <w:top w:w="0" w:type="dxa"/>
              <w:left w:w="62" w:type="dxa"/>
              <w:bottom w:w="0" w:type="dxa"/>
              <w:right w:w="62" w:type="dxa"/>
            </w:tcMar>
          </w:tcPr>
          <w:p w:rsidR="00000000" w:rsidP="003E0A96">
            <w:pPr>
              <w:pStyle w:val="BodyText"/>
              <w:rPr>
                <w:lang w:val="en-NZ"/>
              </w:rPr>
            </w:pPr>
            <w:r w:rsidRPr="003E0A96">
              <w:t>Specialist advice is obtained, where required, to assist with the troubleshooting process</w:t>
            </w:r>
          </w:p>
        </w:tc>
      </w:tr>
      <w:tr w:rsidTr="001E155F">
        <w:tblPrEx>
          <w:tblW w:w="0" w:type="auto"/>
          <w:tblCellMar>
            <w:left w:w="62" w:type="dxa"/>
            <w:right w:w="62" w:type="dxa"/>
          </w:tblCellMar>
          <w:tblLook w:val="0000"/>
        </w:tblPrEx>
        <w:trPr>
          <w:trHeight w:val="558"/>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E0A96">
            <w:pPr>
              <w:pStyle w:val="BodyText"/>
              <w:rPr>
                <w:lang w:val="en-NZ"/>
              </w:rPr>
            </w:pPr>
            <w:r w:rsidRPr="003E0A96">
              <w:t>3.4</w:t>
            </w:r>
          </w:p>
        </w:tc>
        <w:tc>
          <w:tcPr>
            <w:tcW w:w="0" w:type="auto"/>
            <w:tcBorders>
              <w:top w:val="nil"/>
              <w:left w:val="nil"/>
              <w:bottom w:val="nil"/>
              <w:right w:val="nil"/>
            </w:tcBorders>
            <w:tcMar>
              <w:top w:w="0" w:type="dxa"/>
              <w:left w:w="62" w:type="dxa"/>
              <w:bottom w:w="0" w:type="dxa"/>
              <w:right w:w="62" w:type="dxa"/>
            </w:tcMar>
          </w:tcPr>
          <w:p w:rsidR="00000000" w:rsidP="003E0A96">
            <w:pPr>
              <w:pStyle w:val="BodyText"/>
              <w:rPr>
                <w:lang w:val="en-NZ"/>
              </w:rPr>
            </w:pPr>
            <w:r w:rsidRPr="003E0A96">
              <w:t>Gas turbine engine system faults are located and causes of the faults are clearly identified and correctly recorded in maintenance documentation, where required</w:t>
            </w:r>
          </w:p>
        </w:tc>
      </w:tr>
      <w:tr w:rsidTr="001E15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E0A96">
            <w:pPr>
              <w:pStyle w:val="BodyText"/>
              <w:rPr>
                <w:lang w:val="en-NZ"/>
              </w:rPr>
            </w:pPr>
            <w:r w:rsidRPr="003E0A96">
              <w:t>3.5</w:t>
            </w:r>
          </w:p>
        </w:tc>
        <w:tc>
          <w:tcPr>
            <w:tcW w:w="0" w:type="auto"/>
            <w:tcBorders>
              <w:top w:val="nil"/>
              <w:left w:val="nil"/>
              <w:bottom w:val="nil"/>
              <w:right w:val="nil"/>
            </w:tcBorders>
            <w:tcMar>
              <w:top w:w="0" w:type="dxa"/>
              <w:left w:w="62" w:type="dxa"/>
              <w:bottom w:w="0" w:type="dxa"/>
              <w:right w:w="62" w:type="dxa"/>
            </w:tcMar>
          </w:tcPr>
          <w:p w:rsidR="00000000" w:rsidRPr="003E0A96" w:rsidP="003E0A96">
            <w:pPr>
              <w:pStyle w:val="BodyText"/>
            </w:pPr>
            <w:r w:rsidRPr="003E0A96">
              <w:t>Fault rectification requirements are determined to assist in planning the repair or adjustment</w:t>
            </w:r>
          </w:p>
        </w:tc>
      </w:tr>
    </w:tbl>
    <w:p w:rsidR="00000000" w:rsidRPr="003E0A96" w:rsidP="003E0A96">
      <w:pPr>
        <w:pStyle w:val="BodyText"/>
      </w:pPr>
    </w:p>
    <w:p w:rsidR="00000000" w:rsidRPr="003E0A96" w:rsidP="003E0A96">
      <w:pPr>
        <w:pStyle w:val="AllowPageBreak"/>
      </w:pPr>
    </w:p>
    <w:p w:rsidR="00000000" w:rsidRPr="003E0A96" w:rsidP="003E0A96">
      <w:pPr>
        <w:pStyle w:val="Heading1"/>
      </w:pPr>
      <w:bookmarkStart w:id="9" w:name="O_389498"/>
      <w:bookmarkEnd w:id="9"/>
      <w:r w:rsidRPr="003E0A96">
        <w:t>Required Skills and Knowledge</w:t>
      </w:r>
    </w:p>
    <w:tbl>
      <w:tblPr>
        <w:tblW w:w="0" w:type="auto"/>
        <w:tblCellMar>
          <w:left w:w="62" w:type="dxa"/>
          <w:right w:w="62" w:type="dxa"/>
        </w:tblCellMar>
        <w:tblLook w:val="0000"/>
      </w:tblPr>
      <w:tblGrid>
        <w:gridCol w:w="9196"/>
      </w:tblGrid>
      <w:tr w:rsidTr="001E15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E0A96" w:rsidP="003E0A96">
            <w:pPr>
              <w:pStyle w:val="BodyText"/>
            </w:pPr>
            <w:r w:rsidRPr="003E0A96">
              <w:t>Look for evidence that confirms knowledge of:</w:t>
            </w:r>
          </w:p>
          <w:p w:rsidR="00000000" w:rsidRPr="003E0A96" w:rsidP="003E0A96">
            <w:pPr>
              <w:pStyle w:val="ListBullet"/>
            </w:pPr>
            <w:r w:rsidRPr="003E0A96">
              <w:t>fault diagnosis techniques</w:t>
            </w:r>
          </w:p>
          <w:p w:rsidR="00000000" w:rsidRPr="003E0A96" w:rsidP="003E0A96">
            <w:pPr>
              <w:pStyle w:val="ListBullet"/>
            </w:pPr>
            <w:r w:rsidRPr="003E0A96">
              <w:t>gas turbine engine layout and operation</w:t>
            </w:r>
            <w:r w:rsidRPr="003E0A96">
              <w:t>:</w:t>
            </w:r>
          </w:p>
          <w:p w:rsidR="00000000" w:rsidRPr="003E0A96" w:rsidP="003E0A96">
            <w:pPr>
              <w:pStyle w:val="ListBullet2"/>
            </w:pPr>
            <w:r w:rsidRPr="003E0A96">
              <w:t>types of gas turbine</w:t>
            </w:r>
          </w:p>
          <w:p w:rsidR="00000000" w:rsidRPr="003E0A96" w:rsidP="003E0A96">
            <w:pPr>
              <w:pStyle w:val="ListBullet2"/>
            </w:pPr>
            <w:r w:rsidRPr="003E0A96">
              <w:t>operating principles and power output</w:t>
            </w:r>
          </w:p>
          <w:p w:rsidR="00000000" w:rsidRPr="003E0A96" w:rsidP="003E0A96">
            <w:pPr>
              <w:pStyle w:val="ListBullet2"/>
            </w:pPr>
            <w:r w:rsidRPr="003E0A96">
              <w:t>gas path</w:t>
            </w:r>
          </w:p>
          <w:p w:rsidR="00000000" w:rsidRPr="003E0A96" w:rsidP="003E0A96">
            <w:pPr>
              <w:pStyle w:val="ListBullet2"/>
            </w:pPr>
            <w:r w:rsidRPr="003E0A96">
              <w:t>intakes</w:t>
            </w:r>
          </w:p>
          <w:p w:rsidR="00000000" w:rsidRPr="003E0A96" w:rsidP="003E0A96">
            <w:pPr>
              <w:pStyle w:val="ListBullet2"/>
            </w:pPr>
            <w:r w:rsidRPr="003E0A96">
              <w:t>compressors</w:t>
            </w:r>
          </w:p>
          <w:p w:rsidR="00000000" w:rsidRPr="003E0A96" w:rsidP="003E0A96">
            <w:pPr>
              <w:pStyle w:val="ListBullet2"/>
            </w:pPr>
            <w:r w:rsidRPr="003E0A96">
              <w:t>combustion chambers</w:t>
            </w:r>
          </w:p>
          <w:p w:rsidR="00000000" w:rsidRPr="003E0A96" w:rsidP="003E0A96">
            <w:pPr>
              <w:pStyle w:val="ListBullet2"/>
            </w:pPr>
            <w:r w:rsidRPr="003E0A96">
              <w:t>turbines</w:t>
            </w:r>
          </w:p>
          <w:p w:rsidR="00000000" w:rsidRPr="003E0A96" w:rsidP="003E0A96">
            <w:pPr>
              <w:pStyle w:val="ListBullet2"/>
            </w:pPr>
            <w:r w:rsidRPr="003E0A96">
              <w:t xml:space="preserve">exhaust </w:t>
            </w:r>
          </w:p>
          <w:p w:rsidR="00000000" w:rsidRPr="003E0A96" w:rsidP="003E0A96">
            <w:pPr>
              <w:pStyle w:val="ListBullet2"/>
            </w:pPr>
            <w:r w:rsidRPr="003E0A96">
              <w:t>thrust reversers</w:t>
            </w:r>
          </w:p>
          <w:p w:rsidR="00000000" w:rsidRPr="003E0A96" w:rsidP="003E0A96">
            <w:pPr>
              <w:pStyle w:val="ListBullet2"/>
            </w:pPr>
            <w:r w:rsidRPr="003E0A96">
              <w:t>accessory drives</w:t>
            </w:r>
          </w:p>
          <w:p w:rsidR="00000000" w:rsidRPr="003E0A96" w:rsidP="003E0A96">
            <w:pPr>
              <w:pStyle w:val="ListBullet2"/>
            </w:pPr>
            <w:r w:rsidRPr="003E0A96">
              <w:t>bearings and seals</w:t>
            </w:r>
          </w:p>
          <w:p w:rsidR="00000000" w:rsidRPr="003E0A96" w:rsidP="003E0A96">
            <w:pPr>
              <w:pStyle w:val="ListBullet2"/>
            </w:pPr>
            <w:r w:rsidRPr="003E0A96">
              <w:t>maintenance requirements and troubleshooting procedures</w:t>
            </w:r>
          </w:p>
          <w:p w:rsidR="00000000" w:rsidRPr="003E0A96" w:rsidP="003E0A96">
            <w:pPr>
              <w:pStyle w:val="ListBullet"/>
            </w:pPr>
            <w:r w:rsidRPr="003E0A96">
              <w:t>system and component operation, including electrical and instrument system interfaces:</w:t>
            </w:r>
          </w:p>
          <w:p w:rsidR="00000000" w:rsidRPr="003E0A96" w:rsidP="003E0A96">
            <w:pPr>
              <w:pStyle w:val="ListBullet2"/>
            </w:pPr>
            <w:r w:rsidRPr="003E0A96">
              <w:t>fuel control and fuels</w:t>
            </w:r>
          </w:p>
          <w:p w:rsidR="00000000" w:rsidRPr="003E0A96" w:rsidP="003E0A96">
            <w:pPr>
              <w:pStyle w:val="ListBullet2"/>
            </w:pPr>
            <w:r w:rsidRPr="003E0A96">
              <w:t>lubrication and lubricants</w:t>
            </w:r>
          </w:p>
          <w:p w:rsidR="00000000" w:rsidRPr="003E0A96" w:rsidP="003E0A96">
            <w:pPr>
              <w:pStyle w:val="ListBullet2"/>
            </w:pPr>
            <w:r w:rsidRPr="003E0A96">
              <w:t>air distribution</w:t>
            </w:r>
          </w:p>
          <w:p w:rsidR="00000000" w:rsidRPr="003E0A96" w:rsidP="003E0A96">
            <w:pPr>
              <w:pStyle w:val="ListBullet2"/>
            </w:pPr>
            <w:r w:rsidRPr="003E0A96">
              <w:t>starting</w:t>
            </w:r>
          </w:p>
          <w:p w:rsidR="00000000" w:rsidRPr="003E0A96" w:rsidP="003E0A96">
            <w:pPr>
              <w:pStyle w:val="ListBullet2"/>
            </w:pPr>
            <w:r w:rsidRPr="003E0A96">
              <w:t>ignition</w:t>
            </w:r>
          </w:p>
          <w:p w:rsidR="00000000" w:rsidRPr="003E0A96" w:rsidP="003E0A96">
            <w:pPr>
              <w:pStyle w:val="ListBullet2"/>
            </w:pPr>
            <w:r w:rsidRPr="003E0A96">
              <w:t>power augmentation</w:t>
            </w:r>
          </w:p>
          <w:p w:rsidR="00000000" w:rsidRPr="003E0A96" w:rsidP="003E0A96">
            <w:pPr>
              <w:pStyle w:val="ListBullet2"/>
            </w:pPr>
            <w:r w:rsidRPr="003E0A96">
              <w:t>instrumentation:</w:t>
            </w:r>
          </w:p>
          <w:p w:rsidR="00000000" w:rsidRPr="003E0A96" w:rsidP="003E0A96">
            <w:pPr>
              <w:pStyle w:val="ListBullet3"/>
            </w:pPr>
            <w:r w:rsidRPr="003E0A96">
              <w:t>performance indication</w:t>
            </w:r>
          </w:p>
          <w:p w:rsidR="00000000" w:rsidRPr="003E0A96" w:rsidP="003E0A96">
            <w:pPr>
              <w:pStyle w:val="ListBullet3"/>
            </w:pPr>
            <w:r w:rsidRPr="003E0A96">
              <w:t>condition indication</w:t>
            </w:r>
          </w:p>
          <w:p w:rsidR="00000000" w:rsidRPr="003E0A96" w:rsidP="003E0A96">
            <w:pPr>
              <w:pStyle w:val="ListBullet3"/>
            </w:pPr>
            <w:r w:rsidRPr="003E0A96">
              <w:t>warning</w:t>
            </w:r>
          </w:p>
          <w:p w:rsidR="00000000" w:rsidRPr="003E0A96" w:rsidP="003E0A96">
            <w:pPr>
              <w:pStyle w:val="ListBullet3"/>
            </w:pPr>
            <w:r w:rsidRPr="003E0A96">
              <w:t>presentation and interpretation of electronic displays</w:t>
            </w:r>
          </w:p>
          <w:p w:rsidR="00000000" w:rsidRPr="003E0A96" w:rsidP="003E0A96">
            <w:pPr>
              <w:pStyle w:val="ListBullet2"/>
            </w:pPr>
            <w:r w:rsidRPr="003E0A96">
              <w:t>fire warning and extinguishing</w:t>
            </w:r>
          </w:p>
          <w:p w:rsidR="00000000" w:rsidRPr="003E0A96" w:rsidP="003E0A96">
            <w:pPr>
              <w:pStyle w:val="ListBullet2"/>
            </w:pPr>
            <w:r w:rsidRPr="003E0A96">
              <w:t>control system and rigging of engine controls</w:t>
            </w:r>
          </w:p>
          <w:p w:rsidR="00000000" w:rsidRPr="003E0A96" w:rsidP="003E0A96">
            <w:pPr>
              <w:pStyle w:val="ListBullet"/>
            </w:pPr>
            <w:r w:rsidRPr="003E0A96">
              <w:t>engine spin/run procedures including the operation of APUs</w:t>
            </w:r>
          </w:p>
          <w:p w:rsidR="00000000" w:rsidRPr="003E0A96" w:rsidP="003E0A96">
            <w:pPr>
              <w:pStyle w:val="ListBullet"/>
            </w:pPr>
            <w:r w:rsidRPr="003E0A96">
              <w:t>engine condition monitoring</w:t>
            </w:r>
          </w:p>
          <w:p w:rsidR="00000000" w:rsidRPr="003E0A96" w:rsidP="003E0A96">
            <w:pPr>
              <w:pStyle w:val="ListBullet"/>
            </w:pPr>
            <w:r w:rsidRPr="003E0A96">
              <w:t>relevant OHS practices, incl</w:t>
            </w:r>
            <w:r w:rsidRPr="003E0A96">
              <w:t>uding the requirements for the lifting and handling of heavy components</w:t>
            </w:r>
          </w:p>
          <w:p w:rsidR="00000000" w:rsidRPr="003E0A96" w:rsidP="003E0A96">
            <w:pPr>
              <w:pStyle w:val="ListBullet"/>
            </w:pPr>
            <w:r w:rsidRPr="003E0A96">
              <w:t>how to obtain MSDS</w:t>
            </w:r>
          </w:p>
          <w:p w:rsidR="00000000" w:rsidRPr="003E0A96" w:rsidP="003E0A96">
            <w:pPr>
              <w:pStyle w:val="ListBullet"/>
            </w:pPr>
            <w:r w:rsidRPr="003E0A96">
              <w:t>selection and use of PPE</w:t>
            </w:r>
          </w:p>
          <w:p w:rsidR="00000000" w:rsidRPr="003E0A96" w:rsidP="003E0A96">
            <w:pPr>
              <w:pStyle w:val="ListBullet"/>
            </w:pPr>
            <w:r w:rsidRPr="003E0A96">
              <w:t>relevant maintenance manuals</w:t>
            </w:r>
          </w:p>
          <w:p w:rsidR="00000000" w:rsidRPr="003E0A96" w:rsidP="003E0A96">
            <w:pPr>
              <w:pStyle w:val="ListBullet"/>
            </w:pPr>
            <w:r w:rsidRPr="003E0A96">
              <w:t>relevant regulatory requirements and standard procedures</w:t>
            </w:r>
          </w:p>
          <w:p w:rsidR="00000000" w:rsidRPr="003E0A96" w:rsidP="003E0A96">
            <w:pPr>
              <w:pStyle w:val="BodyText"/>
            </w:pPr>
            <w:r w:rsidRPr="003E0A96">
              <w:t>Look for evidence that confirms skills in:</w:t>
            </w:r>
          </w:p>
          <w:p w:rsidR="00000000" w:rsidRPr="003E0A96" w:rsidP="003E0A96">
            <w:pPr>
              <w:pStyle w:val="ListBullet"/>
            </w:pPr>
            <w:r w:rsidRPr="003E0A96">
              <w:t>applying re</w:t>
            </w:r>
            <w:r w:rsidRPr="003E0A96">
              <w:t>levant OHS procedures, including lifting and handling of heavy components</w:t>
            </w:r>
          </w:p>
          <w:p w:rsidR="00000000" w:rsidRPr="003E0A96" w:rsidP="003E0A96">
            <w:pPr>
              <w:pStyle w:val="ListBullet"/>
            </w:pPr>
            <w:r w:rsidRPr="003E0A96">
              <w:t>using MSDS and PPE</w:t>
            </w:r>
          </w:p>
          <w:p w:rsidR="00000000" w:rsidRPr="003E0A96" w:rsidP="003E0A96">
            <w:pPr>
              <w:pStyle w:val="ListBullet"/>
            </w:pPr>
            <w:r w:rsidRPr="003E0A96">
              <w:t>using relevant maintenance documentation and aircraft manuals to:</w:t>
            </w:r>
          </w:p>
          <w:p w:rsidR="00000000" w:rsidRPr="003E0A96" w:rsidP="003E0A96">
            <w:pPr>
              <w:pStyle w:val="ListBullet2"/>
            </w:pPr>
            <w:r w:rsidRPr="003E0A96">
              <w:t>recognise through visual/physical inspection external and internal signs of defects in gas turbi</w:t>
            </w:r>
            <w:r w:rsidRPr="003E0A96">
              <w:t>ne engines, components and system components</w:t>
            </w:r>
          </w:p>
          <w:p w:rsidR="00000000" w:rsidRPr="003E0A96" w:rsidP="003E0A96">
            <w:pPr>
              <w:pStyle w:val="ListBullet2"/>
            </w:pPr>
            <w:r w:rsidRPr="003E0A96">
              <w:t>assist with testing of gas turbine engine and engine system operation, be able to operate systems, monitor indications, record parameters and recognise correct function</w:t>
            </w:r>
          </w:p>
          <w:p w:rsidR="00000000" w:rsidRPr="003E0A96" w:rsidP="003E0A96">
            <w:pPr>
              <w:pStyle w:val="ListBullet2"/>
            </w:pPr>
            <w:r w:rsidRPr="003E0A96">
              <w:t>compile engine condition monitoring record</w:t>
            </w:r>
            <w:r w:rsidRPr="003E0A96">
              <w:t>s</w:t>
            </w:r>
          </w:p>
          <w:p w:rsidR="00000000" w:rsidRPr="003E0A96" w:rsidP="003E0A96">
            <w:pPr>
              <w:pStyle w:val="ListBullet2"/>
            </w:pPr>
            <w:r w:rsidRPr="003E0A96">
              <w:t>rig and adjust engine controls and systems</w:t>
            </w:r>
          </w:p>
          <w:p w:rsidR="00000000" w:rsidRPr="003E0A96" w:rsidP="003E0A96">
            <w:pPr>
              <w:pStyle w:val="ListBullet"/>
            </w:pPr>
            <w:r w:rsidRPr="003E0A96">
              <w:t>using fault diagnosis guides and equivalent data, to accurately and efficiently troubleshoot the causes of unserviceabilities in gas turbine engines and engine systems, clearly record details and identify the re</w:t>
            </w:r>
            <w:r w:rsidRPr="003E0A96">
              <w:t>quired rectification actions</w:t>
            </w:r>
          </w:p>
        </w:tc>
      </w:tr>
    </w:tbl>
    <w:p w:rsidR="00000000" w:rsidRPr="003E0A96" w:rsidP="003E0A96">
      <w:pPr>
        <w:pStyle w:val="BodyText"/>
      </w:pPr>
    </w:p>
    <w:p w:rsidR="00000000" w:rsidRPr="003E0A96" w:rsidP="003E0A96">
      <w:pPr>
        <w:pStyle w:val="AllowPageBreak"/>
      </w:pPr>
    </w:p>
    <w:p w:rsidR="00000000" w:rsidRPr="003E0A96" w:rsidP="003E0A96">
      <w:pPr>
        <w:pStyle w:val="Heading1"/>
      </w:pPr>
      <w:bookmarkStart w:id="10" w:name="O_389499"/>
      <w:bookmarkEnd w:id="10"/>
      <w:r w:rsidRPr="003E0A96">
        <w:t>Evidence Guide</w:t>
      </w:r>
    </w:p>
    <w:tbl>
      <w:tblPr>
        <w:tblW w:w="9462" w:type="dxa"/>
        <w:tblLayout w:type="fixed"/>
        <w:tblCellMar>
          <w:left w:w="62" w:type="dxa"/>
          <w:right w:w="62" w:type="dxa"/>
        </w:tblCellMar>
        <w:tblLook w:val="0000"/>
      </w:tblPr>
      <w:tblGrid>
        <w:gridCol w:w="3800"/>
        <w:gridCol w:w="5662"/>
      </w:tblGrid>
      <w:tr w:rsidTr="003E0A96">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E0A96">
            <w:pPr>
              <w:pStyle w:val="BodyText"/>
              <w:rPr>
                <w:lang w:val="en-NZ"/>
              </w:rPr>
            </w:pPr>
            <w:r w:rsidRPr="003E0A96">
              <w:t xml:space="preserve">The evidence guide provides advice on assessment and must be read in conjunction with the performance criteria, required skills and knowledge, </w:t>
            </w:r>
            <w:r w:rsidRPr="003E0A96">
              <w:t>range statement and the Assessment Guidelines for the Training Package.</w:t>
            </w:r>
          </w:p>
        </w:tc>
      </w:tr>
      <w:tr w:rsidTr="003E0A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A96">
            <w:pPr>
              <w:pStyle w:val="BodyText"/>
              <w:rPr>
                <w:lang w:val="en-NZ"/>
              </w:rPr>
            </w:pPr>
            <w:r w:rsidRPr="003E0A96">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A96">
            <w:pPr>
              <w:pStyle w:val="BodyText"/>
              <w:rPr>
                <w:lang w:val="en-NZ"/>
              </w:rPr>
            </w:pPr>
            <w:r w:rsidRPr="003E0A96">
              <w:t>A person who demonstrates competency in this unit must be able to apply hand skills, use maintenance publications and engine and system theory knowledge to tes</w:t>
            </w:r>
            <w:r w:rsidRPr="003E0A96">
              <w:t>t and troubleshoot gas turbine engines and engine system components on fixed or rotary wing aircraft while applying all relevant safety precautions.</w:t>
            </w:r>
          </w:p>
        </w:tc>
      </w:tr>
      <w:tr w:rsidTr="003E0A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A96">
            <w:pPr>
              <w:pStyle w:val="BodyText"/>
              <w:rPr>
                <w:lang w:val="en-NZ"/>
              </w:rPr>
            </w:pPr>
            <w:r w:rsidRPr="003E0A96">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0A96" w:rsidP="003E0A96">
            <w:pPr>
              <w:pStyle w:val="BodyText"/>
            </w:pPr>
            <w:r w:rsidRPr="003E0A96">
              <w:t xml:space="preserve">The underlying skills inherent in this unit should be transferable across a range of inspection, testing and troubleshooting applications (including the timely involvement of supervisor or other trades) associated with engine systems. It is essential that </w:t>
            </w:r>
            <w:r w:rsidRPr="003E0A96">
              <w:t>system test procedures take into account all safety precautions associated with gas turbine engine system operation, especially with regard to high-energy ignition units, and that awareness be demonstrated of dual inspection requirements associated with wo</w:t>
            </w:r>
            <w:r w:rsidRPr="003E0A96">
              <w:t>rk on engine control systems.</w:t>
            </w:r>
          </w:p>
          <w:p w:rsidR="00000000" w:rsidRPr="003E0A96" w:rsidP="003E0A96">
            <w:pPr>
              <w:pStyle w:val="BodyText"/>
            </w:pPr>
            <w:r w:rsidRPr="003E0A96">
              <w:t>Evidence of transferability of skills and knowledge related to testing and troubleshooting is essential. This may be demonstrated through application across a number of engine systems or engine types. The application of testin</w:t>
            </w:r>
            <w:r w:rsidRPr="003E0A96">
              <w:t>g procedures and functional rigging checks should also indicate knowledge of system operation. Engine system operation knowledge, the relationship of individual components and the links with other systems will be necessary to supplement evidence of ability</w:t>
            </w:r>
            <w:r w:rsidRPr="003E0A96">
              <w:t xml:space="preserve"> to carry out rigging checks and troubleshoot the system within the limits of the aircraft/system fault-finding guide before undertaking any action. The work plan should take account of applicable safety and quality requirements in accordance with the indu</w:t>
            </w:r>
            <w:r w:rsidRPr="003E0A96">
              <w:t>stry and regulatory standards.</w:t>
            </w:r>
          </w:p>
          <w:p w:rsidR="00000000" w:rsidP="003E0A96">
            <w:pPr>
              <w:pStyle w:val="BodyText"/>
              <w:rPr>
                <w:lang w:val="en-NZ"/>
              </w:rPr>
            </w:pPr>
            <w:r w:rsidRPr="003E0A96">
              <w:t>A person cannot be assessed as competent until it can be demonstrated to the satisfaction of the workplace assessor that the relevant elements of the unit of competency are being achieved under routine supervision on at least</w:t>
            </w:r>
            <w:r w:rsidRPr="003E0A96">
              <w:t xml:space="preserve"> one item from each of Groups 1 to 6 in the Range Statement. This shall be established via the records in the Log of Industrial Experience and Achievement or, where appropriate, an equivalent Industry Evidence Guide.</w:t>
            </w:r>
          </w:p>
        </w:tc>
      </w:tr>
      <w:tr w:rsidTr="003E0A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A96">
            <w:pPr>
              <w:pStyle w:val="BodyText"/>
              <w:rPr>
                <w:lang w:val="en-NZ"/>
              </w:rPr>
            </w:pPr>
            <w:r w:rsidRPr="003E0A96">
              <w:rPr>
                <w:rStyle w:val="SpecialBold"/>
              </w:rPr>
              <w:t xml:space="preserve">Context of and specific resources for </w:t>
            </w:r>
            <w:r w:rsidRPr="003E0A96">
              <w:rPr>
                <w:rStyle w:val="SpecialBold"/>
              </w:rPr>
              <w:t>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A96">
            <w:pPr>
              <w:pStyle w:val="BodyText"/>
              <w:rPr>
                <w:lang w:val="en-NZ"/>
              </w:rPr>
            </w:pPr>
            <w:r w:rsidRPr="003E0A96">
              <w:t>Competency should be assessed in the work environment or simulated work environment using tools and equipment specified in aircraft maintenance manuals. It is also expected that general purpose tools, test and ground support equipment found in m</w:t>
            </w:r>
            <w:r w:rsidRPr="003E0A96">
              <w:t>ost routine situations would be used where appropriate. The level of troubleshooting is limited in its application to the use of fault diagnosis guides or other similar information.</w:t>
            </w:r>
          </w:p>
        </w:tc>
      </w:tr>
      <w:tr w:rsidTr="003E0A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A96">
            <w:pPr>
              <w:pStyle w:val="BodyText"/>
              <w:rPr>
                <w:lang w:val="en-NZ"/>
              </w:rPr>
            </w:pPr>
            <w:r w:rsidRPr="003E0A96">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A96">
            <w:pPr>
              <w:pStyle w:val="BodyText"/>
              <w:rPr>
                <w:lang w:val="en-NZ"/>
              </w:rPr>
            </w:pPr>
          </w:p>
        </w:tc>
      </w:tr>
      <w:tr w:rsidTr="003E0A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A96">
            <w:pPr>
              <w:pStyle w:val="BodyText"/>
              <w:rPr>
                <w:lang w:val="en-NZ"/>
              </w:rPr>
            </w:pPr>
            <w:r w:rsidRPr="003E0A96">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0A96" w:rsidP="003E0A96">
            <w:pPr>
              <w:pStyle w:val="BodyText"/>
            </w:pPr>
            <w:r w:rsidRPr="003E0A96">
              <w:t>Individuals be</w:t>
            </w:r>
            <w:r w:rsidRPr="003E0A96">
              <w:t xml:space="preserve">ing assessed who have already attained MEA314C Inspect, test and troubleshoot gas turbine engine systems and components, will have fully met the criteria for </w:t>
            </w:r>
            <w:r w:rsidRPr="003E0A96">
              <w:t xml:space="preserve">this unit. Log of Industrial Experience and Achievement records relating to MEA314C Inspect, test </w:t>
            </w:r>
            <w:r w:rsidRPr="003E0A96">
              <w:t>and troubleshoot gas turbine engine systems and components, may be accepted as also meeting the evidence requirements for this unit.</w:t>
            </w:r>
          </w:p>
        </w:tc>
      </w:tr>
    </w:tbl>
    <w:p w:rsidR="00000000" w:rsidRPr="003E0A96" w:rsidP="003E0A96">
      <w:pPr>
        <w:pStyle w:val="BodyText"/>
      </w:pPr>
    </w:p>
    <w:p w:rsidR="00000000" w:rsidRPr="003E0A96" w:rsidP="003E0A96">
      <w:pPr>
        <w:pStyle w:val="AllowPageBreak"/>
      </w:pPr>
    </w:p>
    <w:p w:rsidR="00000000" w:rsidRPr="003E0A96" w:rsidP="003E0A96">
      <w:pPr>
        <w:pStyle w:val="Heading1"/>
      </w:pPr>
      <w:bookmarkStart w:id="11" w:name="O_389500"/>
      <w:bookmarkEnd w:id="11"/>
      <w:r w:rsidRPr="003E0A96">
        <w:t>Range Statement</w:t>
      </w:r>
    </w:p>
    <w:tbl>
      <w:tblPr>
        <w:tblW w:w="9462" w:type="dxa"/>
        <w:tblLayout w:type="fixed"/>
        <w:tblCellMar>
          <w:left w:w="62" w:type="dxa"/>
          <w:right w:w="62" w:type="dxa"/>
        </w:tblCellMar>
        <w:tblLook w:val="0000"/>
      </w:tblPr>
      <w:tblGrid>
        <w:gridCol w:w="3800"/>
        <w:gridCol w:w="5662"/>
      </w:tblGrid>
      <w:tr w:rsidTr="003E0A96">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E0A96">
            <w:pPr>
              <w:pStyle w:val="BodyText"/>
              <w:rPr>
                <w:lang w:val="en-NZ"/>
              </w:rPr>
            </w:pPr>
            <w:r w:rsidRPr="003E0A96">
              <w:t>The range statement relates to the unit of competency as a whole. It allows for differen</w:t>
            </w:r>
            <w:r w:rsidRPr="003E0A96">
              <w:t>t work environments and situations that may affect performance. Bold italicised wording, if used in the performance criteria, is detailed below. Essential operating conditions that may be present with training and assessment (depending on the work situatio</w:t>
            </w:r>
            <w:r w:rsidRPr="003E0A96">
              <w:t>n, needs of the candidate, accessibility of the item, and local industry and regional contexts) may also be included.</w:t>
            </w:r>
          </w:p>
        </w:tc>
      </w:tr>
      <w:tr w:rsidTr="003E0A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A96">
            <w:pPr>
              <w:pStyle w:val="BodyText"/>
              <w:rPr>
                <w:lang w:val="en-NZ"/>
              </w:rPr>
            </w:pPr>
            <w:r w:rsidRPr="003E0A96">
              <w:rPr>
                <w:rStyle w:val="SpecialBold"/>
              </w:rPr>
              <w:t>Note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A96">
            <w:pPr>
              <w:pStyle w:val="BodyText"/>
              <w:rPr>
                <w:lang w:val="en-NZ"/>
              </w:rPr>
            </w:pPr>
            <w:r w:rsidRPr="003E0A96">
              <w:t xml:space="preserve">Range statements listed below are numbered to facilitate specification of the assessment requirements included in </w:t>
            </w:r>
            <w:r w:rsidRPr="003E0A96">
              <w:t>the Evidence Guide</w:t>
            </w:r>
          </w:p>
        </w:tc>
      </w:tr>
      <w:tr w:rsidTr="003E0A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A96">
            <w:pPr>
              <w:pStyle w:val="BodyText"/>
              <w:rPr>
                <w:lang w:val="en-NZ"/>
              </w:rPr>
            </w:pPr>
            <w:r w:rsidRPr="003E0A96">
              <w:rPr>
                <w:rStyle w:val="SpecialBold"/>
              </w:rPr>
              <w:t xml:space="preserve">Gas turbine engine systems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0A96" w:rsidP="003E0A96">
            <w:pPr>
              <w:pStyle w:val="BodyText"/>
            </w:pPr>
            <w:r w:rsidRPr="003E0A96">
              <w:t>Gas turbine engine systems may include:</w:t>
            </w:r>
          </w:p>
          <w:p w:rsidR="00000000" w:rsidRPr="003E0A96" w:rsidP="003E0A96">
            <w:pPr>
              <w:pStyle w:val="BodyText"/>
            </w:pPr>
            <w:r w:rsidRPr="003E0A96">
              <w:t>1.</w:t>
            </w:r>
            <w:r w:rsidRPr="003E0A96">
              <w:tab/>
              <w:t>Engine change unit, main components and accessories/drives</w:t>
            </w:r>
          </w:p>
          <w:p w:rsidR="00000000" w:rsidRPr="003E0A96" w:rsidP="003E0A96">
            <w:pPr>
              <w:pStyle w:val="BodyText"/>
            </w:pPr>
            <w:r w:rsidRPr="003E0A96">
              <w:t>2.</w:t>
            </w:r>
            <w:r w:rsidRPr="003E0A96">
              <w:tab/>
              <w:t>Control system</w:t>
            </w:r>
          </w:p>
          <w:p w:rsidR="00000000" w:rsidRPr="003E0A96" w:rsidP="003E0A96">
            <w:pPr>
              <w:pStyle w:val="BodyText"/>
            </w:pPr>
            <w:r w:rsidRPr="003E0A96">
              <w:t>3.</w:t>
            </w:r>
            <w:r w:rsidRPr="003E0A96">
              <w:tab/>
              <w:t>Ignition and starter systems</w:t>
            </w:r>
          </w:p>
          <w:p w:rsidR="00000000" w:rsidRPr="003E0A96" w:rsidP="003E0A96">
            <w:pPr>
              <w:pStyle w:val="BodyText"/>
            </w:pPr>
            <w:r w:rsidRPr="003E0A96">
              <w:t>4.</w:t>
            </w:r>
            <w:r w:rsidRPr="003E0A96">
              <w:tab/>
              <w:t>Fuel system</w:t>
            </w:r>
          </w:p>
          <w:p w:rsidR="00000000" w:rsidRPr="003E0A96" w:rsidP="003E0A96">
            <w:pPr>
              <w:pStyle w:val="BodyText"/>
            </w:pPr>
            <w:r w:rsidRPr="003E0A96">
              <w:t>5.</w:t>
            </w:r>
            <w:r w:rsidRPr="003E0A96">
              <w:tab/>
              <w:t>Oil system</w:t>
            </w:r>
          </w:p>
          <w:p w:rsidR="00000000" w:rsidP="003E0A96">
            <w:pPr>
              <w:pStyle w:val="BodyText"/>
              <w:rPr>
                <w:lang w:val="en-NZ"/>
              </w:rPr>
            </w:pPr>
            <w:r w:rsidRPr="003E0A96">
              <w:t>6.</w:t>
            </w:r>
            <w:r w:rsidRPr="003E0A96">
              <w:tab/>
              <w:t>Air system</w:t>
            </w:r>
          </w:p>
        </w:tc>
      </w:tr>
      <w:tr w:rsidTr="003E0A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A96">
            <w:pPr>
              <w:pStyle w:val="BodyText"/>
              <w:rPr>
                <w:lang w:val="en-NZ"/>
              </w:rPr>
            </w:pPr>
            <w:r w:rsidRPr="003E0A96">
              <w:rPr>
                <w:rStyle w:val="SpecialBold"/>
              </w:rPr>
              <w:t>Troubleshoot</w:t>
            </w:r>
            <w:r w:rsidRPr="003E0A96">
              <w:rPr>
                <w:rStyle w:val="SpecialBold"/>
              </w:rPr>
              <w:t xml:space="preserve">ing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A96">
            <w:pPr>
              <w:pStyle w:val="BodyText"/>
              <w:rPr>
                <w:lang w:val="en-NZ"/>
              </w:rPr>
            </w:pPr>
            <w:r w:rsidRPr="003E0A96">
              <w:t>Troubleshooting involves the use of fault-finding charts or similar, to line replacement level</w:t>
            </w:r>
          </w:p>
        </w:tc>
      </w:tr>
      <w:tr w:rsidTr="003E0A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A96">
            <w:pPr>
              <w:pStyle w:val="BodyText"/>
              <w:rPr>
                <w:lang w:val="en-NZ"/>
              </w:rPr>
            </w:pPr>
            <w:r w:rsidRPr="003E0A96">
              <w:rPr>
                <w:rStyle w:val="SpecialBold"/>
              </w:rPr>
              <w:t xml:space="preserve">Application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0A96" w:rsidP="003E0A96">
            <w:pPr>
              <w:pStyle w:val="BodyText"/>
            </w:pPr>
            <w:r w:rsidRPr="003E0A96">
              <w:t>Application of this unit may relate to:</w:t>
            </w:r>
          </w:p>
          <w:p w:rsidR="00000000" w:rsidRPr="003E0A96" w:rsidP="003E0A96">
            <w:pPr>
              <w:pStyle w:val="ListBullet"/>
            </w:pPr>
            <w:r w:rsidRPr="003E0A96">
              <w:t>scheduled or unscheduled maintenance activities</w:t>
            </w:r>
          </w:p>
          <w:p w:rsidR="00000000" w:rsidP="003E0A96">
            <w:pPr>
              <w:pStyle w:val="ListBullet"/>
              <w:rPr>
                <w:lang w:val="en-NZ"/>
              </w:rPr>
            </w:pPr>
            <w:r w:rsidRPr="003E0A96">
              <w:t>individual or team-related activities</w:t>
            </w:r>
          </w:p>
        </w:tc>
      </w:tr>
      <w:tr w:rsidTr="003E0A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A96">
            <w:pPr>
              <w:pStyle w:val="BodyText"/>
              <w:rPr>
                <w:lang w:val="en-NZ"/>
              </w:rPr>
            </w:pPr>
            <w:r w:rsidRPr="003E0A96">
              <w:rPr>
                <w:rStyle w:val="SpecialBold"/>
              </w:rPr>
              <w:t>Procedures and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0A96" w:rsidP="003E0A96">
            <w:pPr>
              <w:pStyle w:val="BodyText"/>
            </w:pPr>
            <w:r w:rsidRPr="003E0A96">
              <w:t>Refer to industry standard procedures specified by manufacturers, regulatory authorities or the enterprise</w:t>
            </w:r>
          </w:p>
        </w:tc>
      </w:tr>
    </w:tbl>
    <w:p w:rsidR="00000000" w:rsidRPr="003E0A96" w:rsidP="003E0A96">
      <w:pPr>
        <w:pStyle w:val="BodyText"/>
      </w:pPr>
    </w:p>
    <w:p w:rsidR="00000000" w:rsidRPr="003E0A96" w:rsidP="003E0A96">
      <w:pPr>
        <w:pStyle w:val="AllowPageBreak"/>
      </w:pPr>
    </w:p>
    <w:p w:rsidR="00000000" w:rsidRPr="003E0A96" w:rsidP="003E0A96">
      <w:pPr>
        <w:pStyle w:val="Heading1"/>
      </w:pPr>
      <w:bookmarkStart w:id="12" w:name="O_389501"/>
      <w:bookmarkEnd w:id="12"/>
      <w:r w:rsidRPr="003E0A96">
        <w:t>Unit Sector(s)</w:t>
      </w:r>
    </w:p>
    <w:p w:rsidR="00000000" w:rsidRPr="003E0A96" w:rsidP="003E0A96">
      <w:pPr>
        <w:pStyle w:val="BodyText"/>
      </w:pPr>
      <w:r w:rsidRPr="003E0A96">
        <w:t>Aviation maintenance</w:t>
      </w:r>
    </w:p>
    <w:p w:rsidR="00000000" w:rsidRPr="003E0A96" w:rsidP="003E0A96">
      <w:pPr>
        <w:pStyle w:val="AllowPageBreak"/>
      </w:pPr>
    </w:p>
    <w:p w:rsidR="00000000" w:rsidRPr="003E0A96" w:rsidP="003E0A96">
      <w:pPr>
        <w:pStyle w:val="Heading1"/>
      </w:pPr>
      <w:bookmarkStart w:id="13" w:name="O_389502"/>
      <w:bookmarkEnd w:id="13"/>
      <w:r w:rsidRPr="003E0A96">
        <w:t>Custom Content Section</w:t>
      </w:r>
    </w:p>
    <w:p w:rsidR="00000000" w:rsidRPr="003E0A96" w:rsidP="003E0A96">
      <w:pPr>
        <w:pStyle w:val="BodyText"/>
      </w:pPr>
      <w:r w:rsidRPr="003E0A96">
        <w:t>Not applicable.</w:t>
      </w:r>
    </w:p>
    <w:p w:rsidR="00000000" w:rsidRPr="003E0A96" w:rsidP="003E0A96"/>
    <w:sectPr w:rsidSect="003E0A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A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155F" w:rsidP="001E155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A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55F" w:rsidP="003E0A9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E155F" w:rsidP="003E0A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E155F" w:rsidP="003E0A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A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A96" w:rsidRPr="001E155F" w:rsidP="001E155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A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55F" w:rsidRPr="002D2AF8" w:rsidP="003E0A96">
    <w:pPr>
      <w:pStyle w:val="Header"/>
      <w:framePr w:wrap="around"/>
    </w:pPr>
    <w:r>
      <w:fldChar w:fldCharType="begin"/>
    </w:r>
    <w:r>
      <w:instrText xml:space="preserve"> TITLE   \* MERGEFORMAT </w:instrText>
    </w:r>
    <w:r>
      <w:fldChar w:fldCharType="separate"/>
    </w:r>
    <w:r>
      <w:t>MEA322C Test and troubleshoot gas turbine engine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1E155F" w:rsidP="003E0A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1AE5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CCF0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4297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0A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0A96"/>
    <w:pPr>
      <w:spacing w:before="360" w:after="60"/>
      <w:outlineLvl w:val="0"/>
    </w:pPr>
    <w:rPr>
      <w:sz w:val="32"/>
    </w:rPr>
  </w:style>
  <w:style w:type="paragraph" w:styleId="Heading2">
    <w:name w:val="heading 2"/>
    <w:basedOn w:val="HeadingBase"/>
    <w:next w:val="BodyText"/>
    <w:link w:val="Heading2Char"/>
    <w:qFormat/>
    <w:rsid w:val="003E0A96"/>
    <w:pPr>
      <w:keepLines/>
      <w:spacing w:before="240" w:after="120"/>
      <w:outlineLvl w:val="1"/>
    </w:pPr>
    <w:rPr>
      <w:sz w:val="28"/>
      <w:szCs w:val="40"/>
    </w:rPr>
  </w:style>
  <w:style w:type="paragraph" w:styleId="Heading3">
    <w:name w:val="heading 3"/>
    <w:basedOn w:val="HeadingBase"/>
    <w:next w:val="BodyText"/>
    <w:link w:val="Heading3Char"/>
    <w:qFormat/>
    <w:rsid w:val="003E0A96"/>
    <w:pPr>
      <w:spacing w:before="180" w:after="120"/>
      <w:outlineLvl w:val="2"/>
    </w:pPr>
    <w:rPr>
      <w:spacing w:val="-10"/>
      <w:kern w:val="32"/>
    </w:rPr>
  </w:style>
  <w:style w:type="paragraph" w:styleId="Heading4">
    <w:name w:val="heading 4"/>
    <w:basedOn w:val="HeadingBase"/>
    <w:next w:val="BodyText"/>
    <w:link w:val="Heading4Char"/>
    <w:qFormat/>
    <w:rsid w:val="003E0A96"/>
    <w:pPr>
      <w:spacing w:before="160" w:after="120"/>
      <w:outlineLvl w:val="3"/>
    </w:pPr>
    <w:rPr>
      <w:sz w:val="22"/>
    </w:rPr>
  </w:style>
  <w:style w:type="paragraph" w:styleId="Heading5">
    <w:name w:val="heading 5"/>
    <w:basedOn w:val="HeadingBase"/>
    <w:next w:val="Normal"/>
    <w:link w:val="Heading5Char"/>
    <w:qFormat/>
    <w:rsid w:val="003E0A96"/>
    <w:pPr>
      <w:spacing w:before="80"/>
      <w:outlineLvl w:val="4"/>
    </w:pPr>
    <w:rPr>
      <w:color w:val="918585"/>
      <w:sz w:val="20"/>
    </w:rPr>
  </w:style>
  <w:style w:type="paragraph" w:styleId="Heading6">
    <w:name w:val="heading 6"/>
    <w:basedOn w:val="HeadingBase"/>
    <w:next w:val="Normal"/>
    <w:link w:val="Heading6Char"/>
    <w:qFormat/>
    <w:rsid w:val="003E0A96"/>
    <w:pPr>
      <w:spacing w:before="60"/>
      <w:outlineLvl w:val="5"/>
    </w:pPr>
    <w:rPr>
      <w:color w:val="918585"/>
      <w:sz w:val="20"/>
    </w:rPr>
  </w:style>
  <w:style w:type="paragraph" w:styleId="Heading7">
    <w:name w:val="heading 7"/>
    <w:basedOn w:val="Normal"/>
    <w:next w:val="Normal"/>
    <w:link w:val="Heading7Char"/>
    <w:qFormat/>
    <w:rsid w:val="003E0A96"/>
    <w:pPr>
      <w:ind w:left="720"/>
      <w:outlineLvl w:val="6"/>
    </w:pPr>
    <w:rPr>
      <w:i/>
    </w:rPr>
  </w:style>
  <w:style w:type="paragraph" w:styleId="Heading8">
    <w:name w:val="heading 8"/>
    <w:basedOn w:val="Normal"/>
    <w:next w:val="Normal"/>
    <w:link w:val="Heading8Char"/>
    <w:qFormat/>
    <w:rsid w:val="003E0A96"/>
    <w:pPr>
      <w:ind w:left="720"/>
      <w:outlineLvl w:val="7"/>
    </w:pPr>
    <w:rPr>
      <w:i/>
    </w:rPr>
  </w:style>
  <w:style w:type="paragraph" w:styleId="Heading9">
    <w:name w:val="heading 9"/>
    <w:basedOn w:val="Normal"/>
    <w:next w:val="Normal"/>
    <w:link w:val="Heading9Char"/>
    <w:qFormat/>
    <w:rsid w:val="003E0A96"/>
    <w:pPr>
      <w:ind w:left="720"/>
      <w:outlineLvl w:val="8"/>
    </w:pPr>
    <w:rPr>
      <w:i/>
    </w:rPr>
  </w:style>
  <w:style w:type="character" w:default="1" w:styleId="DefaultParagraphFont">
    <w:name w:val="Default Paragraph Font"/>
    <w:uiPriority w:val="1"/>
    <w:unhideWhenUsed/>
    <w:rsid w:val="003E0A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0A96"/>
  </w:style>
  <w:style w:type="character" w:customStyle="1" w:styleId="Heading1Char">
    <w:name w:val="Heading 1 Char"/>
    <w:basedOn w:val="DefaultParagraphFont"/>
    <w:link w:val="Heading1"/>
    <w:rsid w:val="003E0A96"/>
    <w:rPr>
      <w:rFonts w:ascii="Times New Roman" w:eastAsia="Times New Roman" w:hAnsi="Times New Roman" w:cs="Times New Roman"/>
      <w:b/>
      <w:sz w:val="32"/>
      <w:szCs w:val="20"/>
      <w:lang w:eastAsia="en-US"/>
    </w:rPr>
  </w:style>
  <w:style w:type="paragraph" w:styleId="BodyText">
    <w:name w:val="Body Text"/>
    <w:basedOn w:val="Normal"/>
    <w:link w:val="BodyTextChar"/>
    <w:rsid w:val="003E0A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0A96"/>
    <w:rPr>
      <w:rFonts w:ascii="Times New Roman" w:eastAsia="Times New Roman" w:hAnsi="Times New Roman" w:cs="Times New Roman"/>
      <w:sz w:val="24"/>
      <w:lang w:eastAsia="en-US"/>
    </w:rPr>
  </w:style>
  <w:style w:type="paragraph" w:styleId="Footer">
    <w:name w:val="footer"/>
    <w:basedOn w:val="Normal"/>
    <w:link w:val="FooterChar"/>
    <w:rsid w:val="003E0A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0A96"/>
    <w:rPr>
      <w:rFonts w:ascii="Times New Roman" w:eastAsia="Times New Roman" w:hAnsi="Times New Roman" w:cs="Times New Roman"/>
      <w:sz w:val="16"/>
      <w:lang w:eastAsia="en-US"/>
    </w:rPr>
  </w:style>
  <w:style w:type="paragraph" w:styleId="ListBullet">
    <w:name w:val="List Bullet"/>
    <w:basedOn w:val="List"/>
    <w:rsid w:val="003E0A96"/>
    <w:pPr>
      <w:numPr>
        <w:numId w:val="14"/>
      </w:numPr>
      <w:tabs>
        <w:tab w:val="clear" w:pos="340"/>
      </w:tabs>
      <w:spacing w:before="40" w:after="40"/>
    </w:pPr>
  </w:style>
  <w:style w:type="character" w:customStyle="1" w:styleId="SpecialBold">
    <w:name w:val="Special Bold"/>
    <w:basedOn w:val="DefaultParagraphFont"/>
    <w:rsid w:val="003E0A96"/>
    <w:rPr>
      <w:b/>
      <w:spacing w:val="0"/>
    </w:rPr>
  </w:style>
  <w:style w:type="paragraph" w:styleId="ListBullet2">
    <w:name w:val="List Bullet 2"/>
    <w:basedOn w:val="List2"/>
    <w:rsid w:val="003E0A96"/>
    <w:pPr>
      <w:numPr>
        <w:numId w:val="15"/>
      </w:numPr>
      <w:tabs>
        <w:tab w:val="clear" w:pos="680"/>
      </w:tabs>
    </w:pPr>
  </w:style>
  <w:style w:type="paragraph" w:customStyle="1" w:styleId="SuperHeading">
    <w:name w:val="SuperHeading"/>
    <w:basedOn w:val="Normal"/>
    <w:rsid w:val="003E0A96"/>
    <w:pPr>
      <w:spacing w:before="240" w:after="120"/>
      <w:outlineLvl w:val="0"/>
    </w:pPr>
    <w:rPr>
      <w:rFonts w:ascii="Times New Roman" w:hAnsi="Times New Roman"/>
      <w:b/>
      <w:sz w:val="28"/>
    </w:rPr>
  </w:style>
  <w:style w:type="paragraph" w:customStyle="1" w:styleId="AllowPageBreak">
    <w:name w:val="AllowPageBreak"/>
    <w:rsid w:val="003E0A9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E0A96"/>
    <w:pPr>
      <w:numPr>
        <w:numId w:val="3"/>
      </w:numPr>
      <w:tabs>
        <w:tab w:val="clear" w:pos="1021"/>
      </w:tabs>
      <w:ind w:left="1037" w:hanging="357"/>
    </w:pPr>
  </w:style>
  <w:style w:type="character" w:customStyle="1" w:styleId="BoldandItalics">
    <w:name w:val="Bold and Italics"/>
    <w:qFormat/>
    <w:rsid w:val="003E0A96"/>
    <w:rPr>
      <w:b/>
      <w:i/>
      <w:u w:val="none"/>
    </w:rPr>
  </w:style>
  <w:style w:type="character" w:customStyle="1" w:styleId="Heading2Char">
    <w:name w:val="Heading 2 Char"/>
    <w:basedOn w:val="DefaultParagraphFont"/>
    <w:link w:val="Heading2"/>
    <w:rsid w:val="003E0A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0A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0A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0A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0A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0A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0A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0A96"/>
    <w:rPr>
      <w:rFonts w:ascii="Courier New" w:eastAsia="Times New Roman" w:hAnsi="Courier New" w:cs="Times New Roman"/>
      <w:i/>
      <w:szCs w:val="20"/>
      <w:lang w:eastAsia="en-US"/>
    </w:rPr>
  </w:style>
  <w:style w:type="paragraph" w:customStyle="1" w:styleId="HeadingBase">
    <w:name w:val="Heading Base"/>
    <w:rsid w:val="003E0A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0A96"/>
    <w:pPr>
      <w:tabs>
        <w:tab w:val="right" w:leader="dot" w:pos="9072"/>
      </w:tabs>
      <w:ind w:left="567"/>
    </w:pPr>
    <w:rPr>
      <w:szCs w:val="22"/>
    </w:rPr>
  </w:style>
  <w:style w:type="paragraph" w:customStyle="1" w:styleId="TOCBase">
    <w:name w:val="TOC Base"/>
    <w:rsid w:val="003E0A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0A96"/>
    <w:pPr>
      <w:tabs>
        <w:tab w:val="right" w:leader="dot" w:pos="9072"/>
      </w:tabs>
      <w:spacing w:before="40" w:after="40"/>
      <w:ind w:left="284"/>
    </w:pPr>
    <w:rPr>
      <w:rFonts w:ascii="Times New Roman" w:hAnsi="Times New Roman"/>
    </w:rPr>
  </w:style>
  <w:style w:type="paragraph" w:styleId="TOC1">
    <w:name w:val="toc 1"/>
    <w:basedOn w:val="TOCBase"/>
    <w:next w:val="Normal"/>
    <w:rsid w:val="003E0A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0A96"/>
    <w:pPr>
      <w:spacing w:before="5040"/>
      <w:jc w:val="center"/>
    </w:pPr>
    <w:rPr>
      <w:sz w:val="48"/>
      <w:szCs w:val="72"/>
      <w:lang w:val="en-US"/>
    </w:rPr>
  </w:style>
  <w:style w:type="character" w:customStyle="1" w:styleId="TitleChar">
    <w:name w:val="Title Char"/>
    <w:basedOn w:val="DefaultParagraphFont"/>
    <w:link w:val="Title"/>
    <w:rsid w:val="003E0A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0A96"/>
    <w:pPr>
      <w:tabs>
        <w:tab w:val="left" w:pos="3600"/>
        <w:tab w:val="left" w:pos="3958"/>
      </w:tabs>
    </w:pPr>
  </w:style>
  <w:style w:type="paragraph" w:styleId="List">
    <w:name w:val="List"/>
    <w:basedOn w:val="BodyText"/>
    <w:next w:val="BodyText"/>
    <w:rsid w:val="003E0A96"/>
    <w:pPr>
      <w:tabs>
        <w:tab w:val="left" w:pos="340"/>
      </w:tabs>
      <w:spacing w:before="60" w:after="60"/>
      <w:ind w:left="340" w:hanging="340"/>
    </w:pPr>
  </w:style>
  <w:style w:type="paragraph" w:customStyle="1" w:styleId="Note">
    <w:name w:val="Note"/>
    <w:basedOn w:val="BodyText"/>
    <w:rsid w:val="003E0A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0A96"/>
    <w:pPr>
      <w:framePr w:wrap="auto" w:hAnchor="text" w:y="6049"/>
    </w:pPr>
    <w:rPr>
      <w:color w:val="000000"/>
      <w:sz w:val="40"/>
    </w:rPr>
  </w:style>
  <w:style w:type="paragraph" w:customStyle="1" w:styleId="TOCTitle">
    <w:name w:val="TOCTitle"/>
    <w:basedOn w:val="Heading1"/>
    <w:rsid w:val="003E0A96"/>
    <w:pPr>
      <w:spacing w:after="240"/>
      <w:jc w:val="center"/>
      <w:outlineLvl w:val="9"/>
    </w:pPr>
    <w:rPr>
      <w:caps/>
    </w:rPr>
  </w:style>
  <w:style w:type="paragraph" w:customStyle="1" w:styleId="Version">
    <w:name w:val="Version"/>
    <w:rsid w:val="003E0A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0A96"/>
    <w:pPr>
      <w:keepNext w:val="0"/>
      <w:tabs>
        <w:tab w:val="right" w:pos="4176"/>
      </w:tabs>
      <w:ind w:left="198" w:hanging="198"/>
    </w:pPr>
    <w:rPr>
      <w:rFonts w:ascii="Garamond" w:hAnsi="Garamond"/>
    </w:rPr>
  </w:style>
  <w:style w:type="paragraph" w:styleId="IndexHeading">
    <w:name w:val="index heading"/>
    <w:basedOn w:val="Normal"/>
    <w:next w:val="Index1"/>
    <w:semiHidden/>
    <w:rsid w:val="003E0A96"/>
    <w:pPr>
      <w:spacing w:before="120" w:after="120"/>
    </w:pPr>
    <w:rPr>
      <w:rFonts w:ascii="Arial" w:hAnsi="Arial"/>
      <w:b/>
      <w:color w:val="918585"/>
      <w:sz w:val="24"/>
    </w:rPr>
  </w:style>
  <w:style w:type="paragraph" w:styleId="Header">
    <w:name w:val="header"/>
    <w:basedOn w:val="Normal"/>
    <w:link w:val="HeaderChar"/>
    <w:rsid w:val="003E0A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0A96"/>
    <w:rPr>
      <w:rFonts w:ascii="Times New Roman" w:eastAsia="Times New Roman" w:hAnsi="Times New Roman" w:cs="Times New Roman"/>
      <w:sz w:val="16"/>
      <w:szCs w:val="20"/>
      <w:lang w:val="en-GB" w:eastAsia="en-US"/>
    </w:rPr>
  </w:style>
  <w:style w:type="paragraph" w:customStyle="1" w:styleId="Chapter">
    <w:name w:val="Chapter"/>
    <w:basedOn w:val="Normal"/>
    <w:rsid w:val="003E0A96"/>
    <w:pPr>
      <w:spacing w:before="240"/>
    </w:pPr>
    <w:rPr>
      <w:rFonts w:ascii="Times New Roman" w:hAnsi="Times New Roman"/>
      <w:smallCaps/>
      <w:spacing w:val="80"/>
      <w:sz w:val="28"/>
    </w:rPr>
  </w:style>
  <w:style w:type="paragraph" w:customStyle="1" w:styleId="InChapter">
    <w:name w:val="InChapter"/>
    <w:basedOn w:val="Heading3"/>
    <w:rsid w:val="003E0A96"/>
    <w:pPr>
      <w:spacing w:after="240"/>
      <w:outlineLvl w:val="9"/>
    </w:pPr>
    <w:rPr>
      <w:noProof/>
    </w:rPr>
  </w:style>
  <w:style w:type="paragraph" w:styleId="Index2">
    <w:name w:val="index 2"/>
    <w:basedOn w:val="Normal"/>
    <w:next w:val="Normal"/>
    <w:semiHidden/>
    <w:rsid w:val="003E0A96"/>
    <w:pPr>
      <w:tabs>
        <w:tab w:val="right" w:pos="4176"/>
      </w:tabs>
      <w:ind w:left="568" w:hanging="284"/>
    </w:pPr>
    <w:rPr>
      <w:rFonts w:ascii="Garamond" w:hAnsi="Garamond"/>
    </w:rPr>
  </w:style>
  <w:style w:type="paragraph" w:customStyle="1" w:styleId="Byline">
    <w:name w:val="Byline"/>
    <w:rsid w:val="003E0A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0A96"/>
    <w:pPr>
      <w:tabs>
        <w:tab w:val="clear" w:pos="3600"/>
        <w:tab w:val="clear" w:pos="3958"/>
      </w:tabs>
      <w:jc w:val="right"/>
    </w:pPr>
  </w:style>
  <w:style w:type="character" w:styleId="Emphasis">
    <w:name w:val="Emphasis"/>
    <w:basedOn w:val="DefaultParagraphFont"/>
    <w:qFormat/>
    <w:rsid w:val="003E0A96"/>
    <w:rPr>
      <w:i/>
    </w:rPr>
  </w:style>
  <w:style w:type="paragraph" w:styleId="Caption">
    <w:name w:val="caption"/>
    <w:basedOn w:val="BodyText"/>
    <w:next w:val="Normal"/>
    <w:qFormat/>
    <w:rsid w:val="003E0A96"/>
    <w:pPr>
      <w:framePr w:w="2268" w:hSpace="181" w:vSpace="181" w:wrap="around" w:vAnchor="text" w:hAnchor="page" w:x="1135" w:y="285" w:anchorLock="1"/>
    </w:pPr>
    <w:rPr>
      <w:i/>
    </w:rPr>
  </w:style>
  <w:style w:type="paragraph" w:customStyle="1" w:styleId="MiniTOCTitle">
    <w:name w:val="MiniTOCTitle"/>
    <w:basedOn w:val="Heading4"/>
    <w:rsid w:val="003E0A96"/>
    <w:pPr>
      <w:spacing w:before="240"/>
      <w:outlineLvl w:val="9"/>
    </w:pPr>
    <w:rPr>
      <w:noProof/>
      <w:sz w:val="24"/>
    </w:rPr>
  </w:style>
  <w:style w:type="paragraph" w:customStyle="1" w:styleId="MiniTOCItem">
    <w:name w:val="MiniTOCItem"/>
    <w:basedOn w:val="ListBullet"/>
    <w:rsid w:val="003E0A96"/>
    <w:pPr>
      <w:numPr>
        <w:numId w:val="0"/>
      </w:numPr>
      <w:tabs>
        <w:tab w:val="right" w:leader="dot" w:pos="6521"/>
      </w:tabs>
      <w:spacing w:before="0" w:after="0"/>
    </w:pPr>
  </w:style>
  <w:style w:type="paragraph" w:customStyle="1" w:styleId="TOFTitle">
    <w:name w:val="TOFTitle"/>
    <w:basedOn w:val="TOCTitle"/>
    <w:rsid w:val="003E0A96"/>
  </w:style>
  <w:style w:type="paragraph" w:styleId="TableofFigures">
    <w:name w:val="table of figures"/>
    <w:basedOn w:val="Normal"/>
    <w:next w:val="Normal"/>
    <w:semiHidden/>
    <w:rsid w:val="003E0A96"/>
    <w:pPr>
      <w:tabs>
        <w:tab w:val="right" w:leader="dot" w:pos="9072"/>
      </w:tabs>
      <w:ind w:left="970" w:hanging="403"/>
    </w:pPr>
    <w:rPr>
      <w:rFonts w:ascii="Times New Roman" w:hAnsi="Times New Roman"/>
      <w:b/>
    </w:rPr>
  </w:style>
  <w:style w:type="paragraph" w:styleId="ListNumber">
    <w:name w:val="List Number"/>
    <w:basedOn w:val="List"/>
    <w:rsid w:val="003E0A96"/>
    <w:pPr>
      <w:numPr>
        <w:numId w:val="12"/>
      </w:numPr>
    </w:pPr>
  </w:style>
  <w:style w:type="character" w:customStyle="1" w:styleId="WingdingSymbols">
    <w:name w:val="Wingding Symbols"/>
    <w:rsid w:val="003E0A96"/>
    <w:rPr>
      <w:rFonts w:ascii="Wingdings" w:hAnsi="Wingdings"/>
    </w:rPr>
  </w:style>
  <w:style w:type="paragraph" w:customStyle="1" w:styleId="TableHeading">
    <w:name w:val="Table Heading"/>
    <w:basedOn w:val="HeadingBase"/>
    <w:rsid w:val="003E0A96"/>
    <w:pPr>
      <w:keepLines/>
      <w:pBdr>
        <w:bottom w:val="single" w:sz="6" w:space="1" w:color="918585"/>
      </w:pBdr>
      <w:spacing w:before="240"/>
    </w:pPr>
  </w:style>
  <w:style w:type="character" w:customStyle="1" w:styleId="HotSpot">
    <w:name w:val="HotSpot"/>
    <w:rsid w:val="003E0A96"/>
    <w:rPr>
      <w:color w:val="0033CC"/>
      <w:u w:val="none"/>
    </w:rPr>
  </w:style>
  <w:style w:type="paragraph" w:customStyle="1" w:styleId="BodyTextRight">
    <w:name w:val="Body Text Right"/>
    <w:basedOn w:val="BodyText"/>
    <w:rsid w:val="003E0A96"/>
    <w:pPr>
      <w:spacing w:before="0" w:after="0"/>
      <w:jc w:val="right"/>
    </w:pPr>
  </w:style>
  <w:style w:type="paragraph" w:styleId="Index3">
    <w:name w:val="index 3"/>
    <w:basedOn w:val="ListNumber2"/>
    <w:next w:val="Normal"/>
    <w:semiHidden/>
    <w:rsid w:val="003E0A96"/>
    <w:pPr>
      <w:numPr>
        <w:numId w:val="0"/>
      </w:numPr>
      <w:tabs>
        <w:tab w:val="right" w:leader="dot" w:pos="4176"/>
      </w:tabs>
    </w:pPr>
  </w:style>
  <w:style w:type="paragraph" w:styleId="ListNumber2">
    <w:name w:val="List Number 2"/>
    <w:basedOn w:val="List2"/>
    <w:rsid w:val="003E0A96"/>
    <w:pPr>
      <w:numPr>
        <w:numId w:val="11"/>
      </w:numPr>
      <w:tabs>
        <w:tab w:val="clear" w:pos="1060"/>
      </w:tabs>
    </w:pPr>
  </w:style>
  <w:style w:type="paragraph" w:customStyle="1" w:styleId="MarginNote">
    <w:name w:val="Margin Note"/>
    <w:basedOn w:val="BodyText"/>
    <w:rsid w:val="003E0A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0A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0A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0A96"/>
    <w:rPr>
      <w:sz w:val="32"/>
    </w:rPr>
  </w:style>
  <w:style w:type="paragraph" w:customStyle="1" w:styleId="HeadingProcedure">
    <w:name w:val="Heading Procedure"/>
    <w:basedOn w:val="HeadingBase"/>
    <w:next w:val="Normal"/>
    <w:rsid w:val="003E0A96"/>
    <w:pPr>
      <w:tabs>
        <w:tab w:val="left" w:pos="0"/>
      </w:tabs>
      <w:spacing w:before="120" w:after="60"/>
    </w:pPr>
    <w:rPr>
      <w:i/>
      <w:color w:val="918585"/>
      <w:sz w:val="22"/>
    </w:rPr>
  </w:style>
  <w:style w:type="paragraph" w:customStyle="1" w:styleId="TableBodyText">
    <w:name w:val="Table Body Text"/>
    <w:basedOn w:val="BodyText"/>
    <w:rsid w:val="003E0A96"/>
    <w:pPr>
      <w:spacing w:before="60" w:after="60"/>
    </w:pPr>
  </w:style>
  <w:style w:type="paragraph" w:styleId="ListContinue">
    <w:name w:val="List Continue"/>
    <w:basedOn w:val="List"/>
    <w:rsid w:val="003E0A96"/>
    <w:pPr>
      <w:ind w:firstLine="0"/>
    </w:pPr>
  </w:style>
  <w:style w:type="paragraph" w:customStyle="1" w:styleId="ListNote">
    <w:name w:val="List Note"/>
    <w:basedOn w:val="List"/>
    <w:rsid w:val="003E0A96"/>
    <w:pPr>
      <w:pBdr>
        <w:top w:val="single" w:sz="6" w:space="2" w:color="918585"/>
        <w:bottom w:val="single" w:sz="6" w:space="2" w:color="918585"/>
      </w:pBdr>
      <w:tabs>
        <w:tab w:val="left" w:pos="1021"/>
      </w:tabs>
      <w:ind w:firstLine="0"/>
    </w:pPr>
  </w:style>
  <w:style w:type="paragraph" w:customStyle="1" w:styleId="Warning">
    <w:name w:val="Warning"/>
    <w:basedOn w:val="BodyText"/>
    <w:rsid w:val="003E0A96"/>
    <w:pPr>
      <w:shd w:val="clear" w:color="auto" w:fill="D9D9D9"/>
      <w:tabs>
        <w:tab w:val="left" w:pos="992"/>
      </w:tabs>
      <w:ind w:left="119" w:right="119"/>
    </w:pPr>
    <w:rPr>
      <w:sz w:val="20"/>
    </w:rPr>
  </w:style>
  <w:style w:type="paragraph" w:customStyle="1" w:styleId="MarginIcons">
    <w:name w:val="Margin Icons"/>
    <w:basedOn w:val="BodyText"/>
    <w:rsid w:val="003E0A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0A96"/>
    <w:rPr>
      <w:rFonts w:ascii="Courier New" w:hAnsi="Courier New"/>
    </w:rPr>
  </w:style>
  <w:style w:type="paragraph" w:customStyle="1" w:styleId="NoteBullet">
    <w:name w:val="Note Bullet"/>
    <w:basedOn w:val="Note"/>
    <w:rsid w:val="003E0A96"/>
    <w:pPr>
      <w:tabs>
        <w:tab w:val="clear" w:pos="680"/>
      </w:tabs>
      <w:spacing w:before="60" w:after="60"/>
    </w:pPr>
  </w:style>
  <w:style w:type="paragraph" w:customStyle="1" w:styleId="SubHeading2">
    <w:name w:val="SubHeading2"/>
    <w:basedOn w:val="HeadingBase"/>
    <w:rsid w:val="003E0A96"/>
    <w:pPr>
      <w:spacing w:before="240" w:after="60"/>
    </w:pPr>
    <w:rPr>
      <w:sz w:val="20"/>
    </w:rPr>
  </w:style>
  <w:style w:type="paragraph" w:customStyle="1" w:styleId="SubHeading1">
    <w:name w:val="SubHeading1"/>
    <w:basedOn w:val="HeadingBase"/>
    <w:rsid w:val="003E0A96"/>
    <w:pPr>
      <w:spacing w:before="240" w:after="60"/>
    </w:pPr>
    <w:rPr>
      <w:color w:val="918585"/>
      <w:sz w:val="22"/>
    </w:rPr>
  </w:style>
  <w:style w:type="paragraph" w:customStyle="1" w:styleId="SideHeading">
    <w:name w:val="Side Heading"/>
    <w:basedOn w:val="HeadingBase"/>
    <w:rsid w:val="003E0A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0A96"/>
    <w:pPr>
      <w:numPr>
        <w:numId w:val="13"/>
      </w:numPr>
    </w:pPr>
  </w:style>
  <w:style w:type="paragraph" w:styleId="PlainText">
    <w:name w:val="Plain Text"/>
    <w:basedOn w:val="Normal"/>
    <w:link w:val="PlainTextChar"/>
    <w:rsid w:val="003E0A96"/>
    <w:rPr>
      <w:sz w:val="20"/>
    </w:rPr>
  </w:style>
  <w:style w:type="character" w:customStyle="1" w:styleId="PlainTextChar">
    <w:name w:val="Plain Text Char"/>
    <w:basedOn w:val="DefaultParagraphFont"/>
    <w:link w:val="PlainText"/>
    <w:rsid w:val="003E0A96"/>
    <w:rPr>
      <w:rFonts w:ascii="Courier New" w:eastAsia="Times New Roman" w:hAnsi="Courier New" w:cs="Times New Roman"/>
      <w:sz w:val="20"/>
      <w:szCs w:val="20"/>
      <w:lang w:eastAsia="en-US"/>
    </w:rPr>
  </w:style>
  <w:style w:type="character" w:customStyle="1" w:styleId="MenuOption">
    <w:name w:val="Menu Option"/>
    <w:basedOn w:val="DefaultParagraphFont"/>
    <w:rsid w:val="003E0A96"/>
    <w:rPr>
      <w:b/>
      <w:smallCaps/>
    </w:rPr>
  </w:style>
  <w:style w:type="paragraph" w:customStyle="1" w:styleId="TableListNumber">
    <w:name w:val="Table List Number"/>
    <w:basedOn w:val="ListNumber"/>
    <w:rsid w:val="003E0A96"/>
    <w:pPr>
      <w:numPr>
        <w:numId w:val="0"/>
      </w:numPr>
    </w:pPr>
  </w:style>
  <w:style w:type="paragraph" w:styleId="TOC4">
    <w:name w:val="toc 4"/>
    <w:basedOn w:val="TOCBase"/>
    <w:next w:val="Normal"/>
    <w:semiHidden/>
    <w:rsid w:val="003E0A96"/>
    <w:pPr>
      <w:tabs>
        <w:tab w:val="right" w:leader="dot" w:pos="9071"/>
      </w:tabs>
      <w:ind w:left="1701"/>
    </w:pPr>
  </w:style>
  <w:style w:type="paragraph" w:customStyle="1" w:styleId="ListAlpha">
    <w:name w:val="List Alpha"/>
    <w:basedOn w:val="List"/>
    <w:rsid w:val="003E0A96"/>
    <w:pPr>
      <w:numPr>
        <w:numId w:val="10"/>
      </w:numPr>
    </w:pPr>
  </w:style>
  <w:style w:type="paragraph" w:customStyle="1" w:styleId="ListAlpha2">
    <w:name w:val="List Alpha 2"/>
    <w:basedOn w:val="List2"/>
    <w:rsid w:val="003E0A96"/>
    <w:pPr>
      <w:numPr>
        <w:numId w:val="9"/>
      </w:numPr>
    </w:pPr>
  </w:style>
  <w:style w:type="paragraph" w:styleId="List2">
    <w:name w:val="List 2"/>
    <w:basedOn w:val="BodyText"/>
    <w:rsid w:val="003E0A96"/>
    <w:pPr>
      <w:tabs>
        <w:tab w:val="left" w:pos="680"/>
      </w:tabs>
      <w:spacing w:before="60" w:after="60"/>
      <w:ind w:left="680" w:hanging="340"/>
    </w:pPr>
  </w:style>
  <w:style w:type="paragraph" w:styleId="List3">
    <w:name w:val="List 3"/>
    <w:basedOn w:val="BodyText"/>
    <w:rsid w:val="003E0A96"/>
    <w:pPr>
      <w:tabs>
        <w:tab w:val="left" w:pos="1021"/>
      </w:tabs>
      <w:spacing w:before="60" w:after="60"/>
      <w:ind w:left="1020" w:hanging="340"/>
    </w:pPr>
  </w:style>
  <w:style w:type="paragraph" w:styleId="List4">
    <w:name w:val="List 4"/>
    <w:basedOn w:val="BodyText"/>
    <w:rsid w:val="003E0A96"/>
    <w:pPr>
      <w:tabs>
        <w:tab w:val="left" w:pos="1361"/>
      </w:tabs>
      <w:spacing w:before="60" w:after="60"/>
      <w:ind w:left="1361" w:hanging="340"/>
    </w:pPr>
  </w:style>
  <w:style w:type="paragraph" w:styleId="List5">
    <w:name w:val="List 5"/>
    <w:basedOn w:val="BodyText"/>
    <w:rsid w:val="003E0A96"/>
    <w:pPr>
      <w:tabs>
        <w:tab w:val="left" w:pos="1701"/>
      </w:tabs>
      <w:spacing w:before="60" w:after="60"/>
      <w:ind w:left="1701" w:hanging="340"/>
    </w:pPr>
  </w:style>
  <w:style w:type="paragraph" w:styleId="ListBullet4">
    <w:name w:val="List Bullet 4"/>
    <w:basedOn w:val="List4"/>
    <w:rsid w:val="003E0A96"/>
    <w:pPr>
      <w:numPr>
        <w:numId w:val="4"/>
      </w:numPr>
    </w:pPr>
  </w:style>
  <w:style w:type="paragraph" w:styleId="ListBullet5">
    <w:name w:val="List Bullet 5"/>
    <w:basedOn w:val="List5"/>
    <w:rsid w:val="003E0A96"/>
    <w:pPr>
      <w:numPr>
        <w:numId w:val="5"/>
      </w:numPr>
    </w:pPr>
  </w:style>
  <w:style w:type="paragraph" w:styleId="ListContinue2">
    <w:name w:val="List Continue 2"/>
    <w:basedOn w:val="List2"/>
    <w:rsid w:val="003E0A96"/>
    <w:pPr>
      <w:ind w:firstLine="0"/>
    </w:pPr>
  </w:style>
  <w:style w:type="paragraph" w:styleId="ListContinue3">
    <w:name w:val="List Continue 3"/>
    <w:basedOn w:val="List3"/>
    <w:rsid w:val="003E0A96"/>
    <w:pPr>
      <w:ind w:left="1021" w:firstLine="0"/>
    </w:pPr>
  </w:style>
  <w:style w:type="paragraph" w:styleId="ListContinue4">
    <w:name w:val="List Continue 4"/>
    <w:basedOn w:val="List4"/>
    <w:rsid w:val="003E0A96"/>
    <w:pPr>
      <w:ind w:firstLine="0"/>
    </w:pPr>
  </w:style>
  <w:style w:type="paragraph" w:styleId="ListContinue5">
    <w:name w:val="List Continue 5"/>
    <w:basedOn w:val="List5"/>
    <w:rsid w:val="003E0A96"/>
    <w:pPr>
      <w:ind w:firstLine="0"/>
    </w:pPr>
  </w:style>
  <w:style w:type="paragraph" w:styleId="ListNumber3">
    <w:name w:val="List Number 3"/>
    <w:basedOn w:val="List3"/>
    <w:rsid w:val="003E0A96"/>
    <w:pPr>
      <w:numPr>
        <w:numId w:val="6"/>
      </w:numPr>
    </w:pPr>
  </w:style>
  <w:style w:type="paragraph" w:styleId="ListNumber4">
    <w:name w:val="List Number 4"/>
    <w:basedOn w:val="List4"/>
    <w:rsid w:val="003E0A96"/>
    <w:pPr>
      <w:numPr>
        <w:numId w:val="7"/>
      </w:numPr>
    </w:pPr>
  </w:style>
  <w:style w:type="paragraph" w:styleId="ListNumber5">
    <w:name w:val="List Number 5"/>
    <w:basedOn w:val="List5"/>
    <w:rsid w:val="003E0A96"/>
    <w:pPr>
      <w:numPr>
        <w:numId w:val="8"/>
      </w:numPr>
    </w:pPr>
  </w:style>
  <w:style w:type="paragraph" w:styleId="BlockText">
    <w:name w:val="Block Text"/>
    <w:basedOn w:val="Normal"/>
    <w:rsid w:val="003E0A96"/>
    <w:pPr>
      <w:spacing w:after="120"/>
      <w:ind w:left="1440" w:right="1440"/>
    </w:pPr>
  </w:style>
  <w:style w:type="character" w:customStyle="1" w:styleId="Subscript">
    <w:name w:val="Subscript"/>
    <w:basedOn w:val="DefaultParagraphFont"/>
    <w:rsid w:val="003E0A96"/>
    <w:rPr>
      <w:sz w:val="16"/>
      <w:vertAlign w:val="subscript"/>
    </w:rPr>
  </w:style>
  <w:style w:type="character" w:customStyle="1" w:styleId="Superscript">
    <w:name w:val="Superscript"/>
    <w:basedOn w:val="DefaultParagraphFont"/>
    <w:rsid w:val="003E0A96"/>
    <w:rPr>
      <w:sz w:val="16"/>
      <w:vertAlign w:val="superscript"/>
    </w:rPr>
  </w:style>
  <w:style w:type="character" w:customStyle="1" w:styleId="Symbols">
    <w:name w:val="Symbols"/>
    <w:basedOn w:val="DefaultParagraphFont"/>
    <w:rsid w:val="003E0A96"/>
    <w:rPr>
      <w:rFonts w:ascii="Symbol" w:hAnsi="Symbol"/>
    </w:rPr>
  </w:style>
  <w:style w:type="character" w:customStyle="1" w:styleId="MenuOptions">
    <w:name w:val="Menu Options"/>
    <w:basedOn w:val="DefaultParagraphFont"/>
    <w:rsid w:val="003E0A96"/>
    <w:rPr>
      <w:rFonts w:ascii="Arial Narrow" w:hAnsi="Arial Narrow"/>
      <w:smallCaps/>
    </w:rPr>
  </w:style>
  <w:style w:type="character" w:customStyle="1" w:styleId="Buttons">
    <w:name w:val="Buttons"/>
    <w:basedOn w:val="DefaultParagraphFont"/>
    <w:rsid w:val="003E0A96"/>
    <w:rPr>
      <w:b/>
    </w:rPr>
  </w:style>
  <w:style w:type="character" w:customStyle="1" w:styleId="Underlined">
    <w:name w:val="Underlined"/>
    <w:basedOn w:val="DefaultParagraphFont"/>
    <w:rsid w:val="003E0A96"/>
    <w:rPr>
      <w:u w:val="single"/>
    </w:rPr>
  </w:style>
  <w:style w:type="paragraph" w:customStyle="1" w:styleId="TableBodyTextRight">
    <w:name w:val="Table Body Text Right"/>
    <w:basedOn w:val="TableBodyText"/>
    <w:rsid w:val="003E0A96"/>
    <w:pPr>
      <w:widowControl w:val="0"/>
      <w:autoSpaceDE w:val="0"/>
      <w:autoSpaceDN w:val="0"/>
      <w:adjustRightInd w:val="0"/>
      <w:jc w:val="right"/>
    </w:pPr>
    <w:rPr>
      <w:rFonts w:cs="Arial"/>
      <w:szCs w:val="18"/>
    </w:rPr>
  </w:style>
  <w:style w:type="paragraph" w:customStyle="1" w:styleId="CopyrightText">
    <w:name w:val="Copyright Text"/>
    <w:basedOn w:val="BodyText"/>
    <w:rsid w:val="003E0A96"/>
    <w:rPr>
      <w:sz w:val="18"/>
    </w:rPr>
  </w:style>
  <w:style w:type="paragraph" w:customStyle="1" w:styleId="BodySmallRight">
    <w:name w:val="Body Small Right"/>
    <w:basedOn w:val="BodyTextRight"/>
    <w:rsid w:val="003E0A96"/>
    <w:rPr>
      <w:sz w:val="18"/>
      <w:szCs w:val="18"/>
    </w:rPr>
  </w:style>
  <w:style w:type="paragraph" w:customStyle="1" w:styleId="MarginEdition">
    <w:name w:val="Margin Edition"/>
    <w:basedOn w:val="MarginNote"/>
    <w:rsid w:val="003E0A96"/>
    <w:pPr>
      <w:spacing w:before="0" w:after="0"/>
    </w:pPr>
    <w:rPr>
      <w:rFonts w:ascii="Times New Roman" w:hAnsi="Times New Roman"/>
      <w:color w:val="999999"/>
    </w:rPr>
  </w:style>
  <w:style w:type="paragraph" w:customStyle="1" w:styleId="Spacer">
    <w:name w:val="Spacer"/>
    <w:basedOn w:val="Normal"/>
    <w:rsid w:val="003E0A96"/>
    <w:rPr>
      <w:sz w:val="2"/>
      <w:szCs w:val="2"/>
    </w:rPr>
  </w:style>
  <w:style w:type="character" w:customStyle="1" w:styleId="Small">
    <w:name w:val="Small"/>
    <w:basedOn w:val="DefaultParagraphFont"/>
    <w:rsid w:val="003E0A96"/>
    <w:rPr>
      <w:sz w:val="16"/>
    </w:rPr>
  </w:style>
  <w:style w:type="paragraph" w:customStyle="1" w:styleId="WideTable">
    <w:name w:val="Wide Table"/>
    <w:basedOn w:val="Normal"/>
    <w:rsid w:val="003E0A96"/>
    <w:pPr>
      <w:ind w:left="-1418"/>
    </w:pPr>
    <w:rPr>
      <w:sz w:val="2"/>
      <w:szCs w:val="2"/>
    </w:rPr>
  </w:style>
  <w:style w:type="character" w:styleId="PageNumber">
    <w:name w:val="page number"/>
    <w:basedOn w:val="DefaultParagraphFont"/>
    <w:rsid w:val="003E0A96"/>
  </w:style>
  <w:style w:type="paragraph" w:styleId="Quote">
    <w:name w:val="Quote"/>
    <w:basedOn w:val="Heading1"/>
    <w:link w:val="QuoteChar"/>
    <w:qFormat/>
    <w:rsid w:val="003E0A96"/>
    <w:rPr>
      <w:b w:val="0"/>
      <w:sz w:val="72"/>
      <w:szCs w:val="72"/>
      <w:lang w:val="en-NZ"/>
    </w:rPr>
  </w:style>
  <w:style w:type="character" w:customStyle="1" w:styleId="QuoteChar">
    <w:name w:val="Quote Char"/>
    <w:basedOn w:val="DefaultParagraphFont"/>
    <w:link w:val="Quote"/>
    <w:rsid w:val="003E0A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0A96"/>
    <w:pPr>
      <w:pageBreakBefore/>
    </w:pPr>
  </w:style>
  <w:style w:type="paragraph" w:customStyle="1" w:styleId="Border">
    <w:name w:val="Border"/>
    <w:basedOn w:val="Normal"/>
    <w:qFormat/>
    <w:rsid w:val="003E0A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0A96"/>
    <w:rPr>
      <w:b/>
      <w:bCs/>
      <w:i/>
      <w:iCs/>
      <w:color w:val="auto"/>
    </w:rPr>
  </w:style>
  <w:style w:type="paragraph" w:styleId="IntenseQuote">
    <w:name w:val="Intense Quote"/>
    <w:basedOn w:val="Normal"/>
    <w:next w:val="Normal"/>
    <w:link w:val="IntenseQuoteChar"/>
    <w:uiPriority w:val="30"/>
    <w:qFormat/>
    <w:rsid w:val="003E0A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0A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0A96"/>
    <w:rPr>
      <w:smallCaps/>
      <w:color w:val="auto"/>
      <w:u w:val="single"/>
    </w:rPr>
  </w:style>
  <w:style w:type="character" w:styleId="IntenseReference">
    <w:name w:val="Intense Reference"/>
    <w:basedOn w:val="DefaultParagraphFont"/>
    <w:uiPriority w:val="32"/>
    <w:qFormat/>
    <w:rsid w:val="003E0A96"/>
    <w:rPr>
      <w:b/>
      <w:bCs/>
      <w:smallCaps/>
      <w:color w:val="auto"/>
      <w:spacing w:val="5"/>
      <w:u w:val="single"/>
    </w:rPr>
  </w:style>
  <w:style w:type="paragraph" w:customStyle="1" w:styleId="2ColumnHeading">
    <w:name w:val="2Column Heading"/>
    <w:basedOn w:val="BodyText"/>
    <w:qFormat/>
    <w:rsid w:val="003E0A96"/>
    <w:pPr>
      <w:spacing w:after="60"/>
      <w:ind w:left="-2268"/>
    </w:pPr>
    <w:rPr>
      <w:b/>
    </w:rPr>
  </w:style>
  <w:style w:type="paragraph" w:customStyle="1" w:styleId="Heading1TOC">
    <w:name w:val="Heading1 TOC"/>
    <w:basedOn w:val="Normal"/>
    <w:qFormat/>
    <w:rsid w:val="003E0A96"/>
    <w:pPr>
      <w:spacing w:before="240" w:after="120"/>
    </w:pPr>
    <w:rPr>
      <w:rFonts w:ascii="Times New Roman" w:hAnsi="Times New Roman"/>
      <w:b/>
      <w:sz w:val="32"/>
    </w:rPr>
  </w:style>
  <w:style w:type="paragraph" w:customStyle="1" w:styleId="Heading2TOC">
    <w:name w:val="Heading2 TOC"/>
    <w:basedOn w:val="Normal"/>
    <w:qFormat/>
    <w:rsid w:val="003E0A96"/>
    <w:pPr>
      <w:spacing w:before="240" w:after="60"/>
    </w:pPr>
    <w:rPr>
      <w:rFonts w:ascii="Times New Roman" w:hAnsi="Times New Roman"/>
      <w:b/>
      <w:sz w:val="28"/>
    </w:rPr>
  </w:style>
  <w:style w:type="character" w:customStyle="1" w:styleId="Underline">
    <w:name w:val="Underline"/>
    <w:basedOn w:val="DefaultParagraphFont"/>
    <w:qFormat/>
    <w:rsid w:val="003E0A96"/>
    <w:rPr>
      <w:u w:val="single"/>
    </w:rPr>
  </w:style>
  <w:style w:type="paragraph" w:styleId="BalloonText">
    <w:name w:val="Balloon Text"/>
    <w:basedOn w:val="Normal"/>
    <w:link w:val="BalloonTextChar"/>
    <w:rsid w:val="003E0A96"/>
    <w:rPr>
      <w:rFonts w:ascii="Tahoma" w:hAnsi="Tahoma" w:cs="Tahoma"/>
      <w:sz w:val="16"/>
      <w:szCs w:val="16"/>
    </w:rPr>
  </w:style>
  <w:style w:type="character" w:customStyle="1" w:styleId="BalloonTextChar">
    <w:name w:val="Balloon Text Char"/>
    <w:basedOn w:val="DefaultParagraphFont"/>
    <w:link w:val="BalloonText"/>
    <w:rsid w:val="003E0A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0A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0A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0A96"/>
    <w:rPr>
      <w:b/>
      <w:color w:val="660033"/>
      <w:spacing w:val="0"/>
    </w:rPr>
  </w:style>
  <w:style w:type="paragraph" w:customStyle="1" w:styleId="Nameditemlist">
    <w:name w:val="Named item list"/>
    <w:basedOn w:val="BodyText"/>
    <w:qFormat/>
    <w:rsid w:val="003E0A9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1382</Words>
  <Characters>8501</Characters>
  <Application>Microsoft Office Word</Application>
  <DocSecurity>0</DocSecurity>
  <Lines>257</Lines>
  <Paragraphs>129</Paragraphs>
  <ScaleCrop>false</ScaleCrop>
  <Company>Author-it Software Corporation Ltd.</Company>
  <LinksUpToDate>false</LinksUpToDate>
  <CharactersWithSpaces>9802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MEA322C Test and troubleshoot gas turbine engine systems and components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2012-10-05T16:48:00Z</dcterms:created>
  <dcterms:modified xsi:type="dcterms:W3CDTF">2012-10-05T16:48:00Z</dcterms:modified>
</cp:coreProperties>
</file>