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1FE0" w:rsidP="00E81FE0">
      <w:pPr>
        <w:pStyle w:val="Title"/>
      </w:pPr>
      <w:r>
        <w:fldChar w:fldCharType="begin"/>
      </w:r>
      <w:r>
        <w:instrText xml:space="preserve"> TITLE   \* MERGEFORMAT </w:instrText>
      </w:r>
      <w:r>
        <w:fldChar w:fldCharType="separate"/>
      </w:r>
      <w:r>
        <w:t>MEA601A Maintain aircraft egress systems</w:t>
      </w:r>
      <w:r>
        <w:fldChar w:fldCharType="end"/>
      </w:r>
    </w:p>
    <w:p w:rsidR="00E81FE0" w:rsidP="00E81FE0">
      <w:pPr>
        <w:pStyle w:val="Version"/>
        <w:sectPr w:rsidSect="000D2A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D2A89" w:rsidP="000D2A89">
      <w:pPr>
        <w:pStyle w:val="SuperHeading"/>
      </w:pPr>
      <w:r w:rsidRPr="000D2A89">
        <w:t>MEA601A Maintain aircraft egress systems</w:t>
      </w:r>
    </w:p>
    <w:p w:rsidR="00000000" w:rsidRPr="000D2A89" w:rsidP="000D2A89">
      <w:pPr>
        <w:pStyle w:val="Heading1"/>
      </w:pPr>
      <w:bookmarkStart w:id="1" w:name="O_593639"/>
      <w:bookmarkEnd w:id="1"/>
      <w:r w:rsidRPr="000D2A89">
        <w:t>Modification History</w:t>
      </w:r>
    </w:p>
    <w:p w:rsidR="00000000" w:rsidRPr="000D2A89" w:rsidP="000D2A89">
      <w:pPr>
        <w:pStyle w:val="BodyText"/>
      </w:pPr>
      <w:r w:rsidRPr="000D2A89">
        <w:t>Release 3 - Imported unit code in prerequisites updated to current version - no change in outcomes.</w:t>
      </w:r>
    </w:p>
    <w:p w:rsidR="00000000" w:rsidRPr="000D2A89" w:rsidP="000D2A89">
      <w:pPr>
        <w:pStyle w:val="BodyText"/>
      </w:pPr>
      <w:r w:rsidRPr="000D2A89">
        <w:t>Release 2 - Minor formatting and editorial changes made. Prerequisite unit version codes updated. Unit version code updated in unit des</w:t>
      </w:r>
      <w:r w:rsidRPr="000D2A89">
        <w:t>criptor.</w:t>
      </w:r>
    </w:p>
    <w:p w:rsidR="00000000" w:rsidRPr="000D2A89" w:rsidP="000D2A89">
      <w:pPr>
        <w:pStyle w:val="AllowPageBreak"/>
      </w:pPr>
    </w:p>
    <w:p w:rsidR="00000000" w:rsidRPr="000D2A89" w:rsidP="000D2A89">
      <w:pPr>
        <w:pStyle w:val="Heading1"/>
      </w:pPr>
      <w:bookmarkStart w:id="2" w:name="O_593638"/>
      <w:bookmarkEnd w:id="2"/>
      <w:r w:rsidRPr="000D2A89">
        <w:t>Unit Descriptor</w:t>
      </w:r>
    </w:p>
    <w:tbl>
      <w:tblPr>
        <w:tblW w:w="0" w:type="auto"/>
        <w:tblLayout w:type="fixed"/>
        <w:tblCellMar>
          <w:left w:w="62" w:type="dxa"/>
          <w:right w:w="62" w:type="dxa"/>
        </w:tblCellMar>
        <w:tblLook w:val="0000"/>
      </w:tblPr>
      <w:tblGrid>
        <w:gridCol w:w="8640"/>
      </w:tblGrid>
      <w:tr w:rsidTr="00E81FE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D2A89" w:rsidP="000D2A89">
            <w:pPr>
              <w:pStyle w:val="BodyText"/>
            </w:pPr>
            <w:r w:rsidRPr="000D2A89">
              <w:t>This unit of competency is part of the Aeroskills Aircraft Armament Certificate IV training pathway. It covers the competencies required to maintain aircraft egress systems that contain explosive ordnance.</w:t>
            </w:r>
          </w:p>
          <w:p w:rsidR="00000000" w:rsidRPr="000D2A89" w:rsidP="000D2A89">
            <w:pPr>
              <w:pStyle w:val="BodyText"/>
            </w:pPr>
            <w:r w:rsidRPr="000D2A89">
              <w:t>This uni</w:t>
            </w:r>
            <w:r w:rsidRPr="000D2A89">
              <w:t>t was developed from PUADEFEO717C Maintain aircraft egress systems and is equivalent to that unit. This unit is used in workplaces that operate under the airworthiness regulatory systems of the ADF and CASA.</w:t>
            </w:r>
          </w:p>
        </w:tc>
      </w:tr>
    </w:tbl>
    <w:p w:rsidR="00000000" w:rsidRPr="000D2A89" w:rsidP="000D2A89">
      <w:pPr>
        <w:pStyle w:val="BodyText"/>
      </w:pPr>
    </w:p>
    <w:p w:rsidR="00000000" w:rsidRPr="000D2A89" w:rsidP="000D2A89">
      <w:pPr>
        <w:pStyle w:val="AllowPageBreak"/>
      </w:pPr>
    </w:p>
    <w:p w:rsidR="00000000" w:rsidRPr="000D2A89" w:rsidP="000D2A89">
      <w:pPr>
        <w:pStyle w:val="Heading1"/>
      </w:pPr>
      <w:bookmarkStart w:id="3" w:name="O_593637"/>
      <w:bookmarkEnd w:id="3"/>
      <w:r w:rsidRPr="000D2A89">
        <w:t>Application of the Unit</w:t>
      </w:r>
    </w:p>
    <w:tbl>
      <w:tblPr>
        <w:tblW w:w="0" w:type="auto"/>
        <w:tblLayout w:type="fixed"/>
        <w:tblCellMar>
          <w:left w:w="62" w:type="dxa"/>
          <w:right w:w="62" w:type="dxa"/>
        </w:tblCellMar>
        <w:tblLook w:val="0000"/>
      </w:tblPr>
      <w:tblGrid>
        <w:gridCol w:w="8730"/>
      </w:tblGrid>
      <w:tr w:rsidTr="00E81FE0">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0D2A89" w:rsidP="000D2A89">
            <w:pPr>
              <w:pStyle w:val="BodyText"/>
            </w:pPr>
            <w:r w:rsidRPr="000D2A89">
              <w:t xml:space="preserve">This </w:t>
            </w:r>
            <w:r w:rsidRPr="000D2A89">
              <w:t>unit covers the maintenance of aircraft egress systems that contain explosive ordnance.</w:t>
            </w:r>
          </w:p>
          <w:p w:rsidR="00000000" w:rsidRPr="000D2A89" w:rsidP="000D2A89">
            <w:pPr>
              <w:pStyle w:val="BodyText"/>
            </w:pPr>
            <w:r w:rsidRPr="000D2A89">
              <w:t>Maintenance covers the entire egress system, including the explosive ordnance. It involves the installation and removal of safety devices, disarming and rearming, inspe</w:t>
            </w:r>
            <w:r w:rsidRPr="000D2A89">
              <w:t>cting, testing, replacing parts, cleaning and painting.</w:t>
            </w:r>
          </w:p>
        </w:tc>
      </w:tr>
    </w:tbl>
    <w:p w:rsidR="00000000" w:rsidRPr="000D2A89" w:rsidP="000D2A89">
      <w:pPr>
        <w:pStyle w:val="BodyText"/>
      </w:pPr>
    </w:p>
    <w:p w:rsidR="00000000" w:rsidRPr="000D2A89" w:rsidP="000D2A89">
      <w:pPr>
        <w:pStyle w:val="AllowPageBreak"/>
      </w:pPr>
    </w:p>
    <w:p w:rsidR="00000000" w:rsidRPr="000D2A89" w:rsidP="000D2A89">
      <w:pPr>
        <w:pStyle w:val="Heading1"/>
      </w:pPr>
      <w:bookmarkStart w:id="4" w:name="O_593636"/>
      <w:bookmarkEnd w:id="4"/>
      <w:r w:rsidRPr="000D2A89">
        <w:t>Licensing/Regulatory Information</w:t>
      </w:r>
    </w:p>
    <w:p w:rsidR="00000000" w:rsidRPr="000D2A89" w:rsidP="000D2A89">
      <w:pPr>
        <w:pStyle w:val="BodyText"/>
      </w:pPr>
      <w:r w:rsidRPr="000D2A89">
        <w:t>Not applicable.</w:t>
      </w:r>
    </w:p>
    <w:p w:rsidR="00000000" w:rsidRPr="000D2A89" w:rsidP="000D2A89">
      <w:pPr>
        <w:pStyle w:val="AllowPageBreak"/>
      </w:pPr>
    </w:p>
    <w:p w:rsidR="00000000" w:rsidRPr="000D2A89" w:rsidP="000D2A89">
      <w:pPr>
        <w:pStyle w:val="Heading1"/>
      </w:pPr>
      <w:bookmarkStart w:id="5" w:name="O_593635"/>
      <w:bookmarkEnd w:id="5"/>
      <w:r w:rsidRPr="000D2A89">
        <w:t>Pre-Requisites</w:t>
      </w:r>
    </w:p>
    <w:tbl>
      <w:tblPr>
        <w:tblW w:w="0" w:type="auto"/>
        <w:tblLayout w:type="fixed"/>
        <w:tblCellMar>
          <w:left w:w="62" w:type="dxa"/>
          <w:right w:w="62" w:type="dxa"/>
        </w:tblCellMar>
        <w:tblLook w:val="0000"/>
      </w:tblPr>
      <w:tblGrid>
        <w:gridCol w:w="2647"/>
        <w:gridCol w:w="6083"/>
      </w:tblGrid>
      <w:tr w:rsidTr="00E81FE0">
        <w:tblPrEx>
          <w:tblW w:w="0" w:type="auto"/>
          <w:tblLayout w:type="fixed"/>
          <w:tblCellMar>
            <w:left w:w="62" w:type="dxa"/>
            <w:right w:w="62" w:type="dxa"/>
          </w:tblCellMar>
          <w:tblLook w:val="0000"/>
        </w:tblPrEx>
        <w:tc>
          <w:tcPr>
            <w:tcW w:w="2647" w:type="dxa"/>
            <w:tcBorders>
              <w:top w:val="nil"/>
              <w:left w:val="nil"/>
              <w:bottom w:val="nil"/>
              <w:right w:val="nil"/>
            </w:tcBorders>
            <w:tcMar>
              <w:top w:w="0" w:type="dxa"/>
              <w:left w:w="62" w:type="dxa"/>
              <w:bottom w:w="0" w:type="dxa"/>
              <w:right w:w="62" w:type="dxa"/>
            </w:tcMar>
          </w:tcPr>
          <w:p w:rsidR="00000000" w:rsidP="000D2A89">
            <w:pPr>
              <w:pStyle w:val="BodyText"/>
              <w:rPr>
                <w:lang w:val="en-NZ"/>
              </w:rPr>
            </w:pPr>
            <w:r w:rsidRPr="000D2A89">
              <w:t xml:space="preserve">MEA101B </w:t>
            </w:r>
          </w:p>
        </w:tc>
        <w:tc>
          <w:tcPr>
            <w:tcW w:w="6083" w:type="dxa"/>
            <w:tcBorders>
              <w:top w:val="nil"/>
              <w:left w:val="nil"/>
              <w:bottom w:val="nil"/>
              <w:right w:val="nil"/>
            </w:tcBorders>
            <w:tcMar>
              <w:top w:w="0" w:type="dxa"/>
              <w:left w:w="62" w:type="dxa"/>
              <w:bottom w:w="0" w:type="dxa"/>
              <w:right w:w="62" w:type="dxa"/>
            </w:tcMar>
          </w:tcPr>
          <w:p w:rsidR="00000000" w:rsidP="000D2A89">
            <w:pPr>
              <w:pStyle w:val="BodyText"/>
              <w:rPr>
                <w:lang w:val="en-NZ"/>
              </w:rPr>
            </w:pPr>
            <w:r w:rsidRPr="000D2A89">
              <w:t>Interpret occupational health and safety practices in aviation maintenance</w:t>
            </w:r>
          </w:p>
        </w:tc>
      </w:tr>
      <w:tr w:rsidTr="00E81FE0">
        <w:tblPrEx>
          <w:tblW w:w="0" w:type="auto"/>
          <w:tblLayout w:type="fixed"/>
          <w:tblCellMar>
            <w:left w:w="62" w:type="dxa"/>
            <w:right w:w="62" w:type="dxa"/>
          </w:tblCellMar>
          <w:tblLook w:val="0000"/>
        </w:tblPrEx>
        <w:tc>
          <w:tcPr>
            <w:tcW w:w="2647" w:type="dxa"/>
            <w:tcBorders>
              <w:top w:val="nil"/>
              <w:left w:val="nil"/>
              <w:bottom w:val="nil"/>
              <w:right w:val="nil"/>
            </w:tcBorders>
            <w:tcMar>
              <w:top w:w="0" w:type="dxa"/>
              <w:left w:w="62" w:type="dxa"/>
              <w:bottom w:w="0" w:type="dxa"/>
              <w:right w:w="62" w:type="dxa"/>
            </w:tcMar>
          </w:tcPr>
          <w:p w:rsidR="00000000" w:rsidP="000D2A89">
            <w:pPr>
              <w:pStyle w:val="BodyText"/>
              <w:rPr>
                <w:lang w:val="en-NZ"/>
              </w:rPr>
            </w:pPr>
            <w:r w:rsidRPr="000D2A89">
              <w:t xml:space="preserve">MEA103B </w:t>
            </w:r>
            <w:r w:rsidRPr="000D2A89">
              <w:tab/>
            </w:r>
          </w:p>
        </w:tc>
        <w:tc>
          <w:tcPr>
            <w:tcW w:w="6083" w:type="dxa"/>
            <w:tcBorders>
              <w:top w:val="nil"/>
              <w:left w:val="nil"/>
              <w:bottom w:val="nil"/>
              <w:right w:val="nil"/>
            </w:tcBorders>
            <w:tcMar>
              <w:top w:w="0" w:type="dxa"/>
              <w:left w:w="62" w:type="dxa"/>
              <w:bottom w:w="0" w:type="dxa"/>
              <w:right w:w="62" w:type="dxa"/>
            </w:tcMar>
          </w:tcPr>
          <w:p w:rsidR="00000000" w:rsidP="000D2A89">
            <w:pPr>
              <w:pStyle w:val="BodyText"/>
              <w:rPr>
                <w:lang w:val="en-NZ"/>
              </w:rPr>
            </w:pPr>
            <w:r w:rsidRPr="000D2A89">
              <w:t>Plan and organise aviation maintenance work activity</w:t>
            </w:r>
          </w:p>
        </w:tc>
      </w:tr>
      <w:tr w:rsidTr="00E81FE0">
        <w:tblPrEx>
          <w:tblW w:w="0" w:type="auto"/>
          <w:tblLayout w:type="fixed"/>
          <w:tblCellMar>
            <w:left w:w="62" w:type="dxa"/>
            <w:right w:w="62" w:type="dxa"/>
          </w:tblCellMar>
          <w:tblLook w:val="0000"/>
        </w:tblPrEx>
        <w:tc>
          <w:tcPr>
            <w:tcW w:w="2647" w:type="dxa"/>
            <w:tcBorders>
              <w:top w:val="nil"/>
              <w:left w:val="nil"/>
              <w:bottom w:val="nil"/>
              <w:right w:val="nil"/>
            </w:tcBorders>
            <w:tcMar>
              <w:top w:w="0" w:type="dxa"/>
              <w:left w:w="62" w:type="dxa"/>
              <w:bottom w:w="0" w:type="dxa"/>
              <w:right w:w="62" w:type="dxa"/>
            </w:tcMar>
          </w:tcPr>
          <w:p w:rsidR="00000000" w:rsidP="000D2A89">
            <w:pPr>
              <w:pStyle w:val="BodyText"/>
              <w:rPr>
                <w:lang w:val="en-NZ"/>
              </w:rPr>
            </w:pPr>
            <w:r w:rsidRPr="000D2A89">
              <w:t>MEA105C</w:t>
            </w:r>
          </w:p>
        </w:tc>
        <w:tc>
          <w:tcPr>
            <w:tcW w:w="6083" w:type="dxa"/>
            <w:tcBorders>
              <w:top w:val="nil"/>
              <w:left w:val="nil"/>
              <w:bottom w:val="nil"/>
              <w:right w:val="nil"/>
            </w:tcBorders>
            <w:tcMar>
              <w:top w:w="0" w:type="dxa"/>
              <w:left w:w="62" w:type="dxa"/>
              <w:bottom w:w="0" w:type="dxa"/>
              <w:right w:w="62" w:type="dxa"/>
            </w:tcMar>
          </w:tcPr>
          <w:p w:rsidR="00000000" w:rsidP="000D2A89">
            <w:pPr>
              <w:pStyle w:val="BodyText"/>
              <w:rPr>
                <w:lang w:val="en-NZ"/>
              </w:rPr>
            </w:pPr>
            <w:r w:rsidRPr="000D2A89">
              <w:t>Apply quality standards applicable to aviation maintenance processes</w:t>
            </w:r>
          </w:p>
        </w:tc>
      </w:tr>
      <w:tr w:rsidTr="00E81FE0">
        <w:tblPrEx>
          <w:tblW w:w="0" w:type="auto"/>
          <w:tblLayout w:type="fixed"/>
          <w:tblCellMar>
            <w:left w:w="62" w:type="dxa"/>
            <w:right w:w="62" w:type="dxa"/>
          </w:tblCellMar>
          <w:tblLook w:val="0000"/>
        </w:tblPrEx>
        <w:tc>
          <w:tcPr>
            <w:tcW w:w="2647" w:type="dxa"/>
            <w:tcBorders>
              <w:top w:val="nil"/>
              <w:left w:val="nil"/>
              <w:bottom w:val="nil"/>
              <w:right w:val="nil"/>
            </w:tcBorders>
            <w:tcMar>
              <w:top w:w="0" w:type="dxa"/>
              <w:left w:w="62" w:type="dxa"/>
              <w:bottom w:w="0" w:type="dxa"/>
              <w:right w:w="62" w:type="dxa"/>
            </w:tcMar>
          </w:tcPr>
          <w:p w:rsidR="00000000" w:rsidP="000D2A89">
            <w:pPr>
              <w:pStyle w:val="BodyText"/>
              <w:rPr>
                <w:lang w:val="en-NZ"/>
              </w:rPr>
            </w:pPr>
            <w:r w:rsidRPr="000D2A89">
              <w:t xml:space="preserve">MEA107B </w:t>
            </w:r>
          </w:p>
        </w:tc>
        <w:tc>
          <w:tcPr>
            <w:tcW w:w="6083" w:type="dxa"/>
            <w:tcBorders>
              <w:top w:val="nil"/>
              <w:left w:val="nil"/>
              <w:bottom w:val="nil"/>
              <w:right w:val="nil"/>
            </w:tcBorders>
            <w:tcMar>
              <w:top w:w="0" w:type="dxa"/>
              <w:left w:w="62" w:type="dxa"/>
              <w:bottom w:w="0" w:type="dxa"/>
              <w:right w:w="62" w:type="dxa"/>
            </w:tcMar>
          </w:tcPr>
          <w:p w:rsidR="00000000" w:rsidP="000D2A89">
            <w:pPr>
              <w:pStyle w:val="BodyText"/>
              <w:rPr>
                <w:lang w:val="en-NZ"/>
              </w:rPr>
            </w:pPr>
            <w:r w:rsidRPr="000D2A89">
              <w:t>Interpret and use aviation maintenance industry manuals and specifications</w:t>
            </w:r>
          </w:p>
        </w:tc>
      </w:tr>
      <w:tr w:rsidTr="00E81FE0">
        <w:tblPrEx>
          <w:tblW w:w="0" w:type="auto"/>
          <w:tblLayout w:type="fixed"/>
          <w:tblCellMar>
            <w:left w:w="62" w:type="dxa"/>
            <w:right w:w="62" w:type="dxa"/>
          </w:tblCellMar>
          <w:tblLook w:val="0000"/>
        </w:tblPrEx>
        <w:tc>
          <w:tcPr>
            <w:tcW w:w="2647" w:type="dxa"/>
            <w:tcBorders>
              <w:top w:val="nil"/>
              <w:left w:val="nil"/>
              <w:bottom w:val="nil"/>
              <w:right w:val="nil"/>
            </w:tcBorders>
            <w:tcMar>
              <w:top w:w="0" w:type="dxa"/>
              <w:left w:w="62" w:type="dxa"/>
              <w:bottom w:w="0" w:type="dxa"/>
              <w:right w:w="62" w:type="dxa"/>
            </w:tcMar>
          </w:tcPr>
          <w:p w:rsidR="00000000" w:rsidP="000D2A89">
            <w:pPr>
              <w:pStyle w:val="BodyText"/>
              <w:rPr>
                <w:lang w:val="en-NZ"/>
              </w:rPr>
            </w:pPr>
            <w:r w:rsidRPr="000D2A89">
              <w:t xml:space="preserve">MEA108B </w:t>
            </w:r>
          </w:p>
        </w:tc>
        <w:tc>
          <w:tcPr>
            <w:tcW w:w="6083" w:type="dxa"/>
            <w:tcBorders>
              <w:top w:val="nil"/>
              <w:left w:val="nil"/>
              <w:bottom w:val="nil"/>
              <w:right w:val="nil"/>
            </w:tcBorders>
            <w:tcMar>
              <w:top w:w="0" w:type="dxa"/>
              <w:left w:w="62" w:type="dxa"/>
              <w:bottom w:w="0" w:type="dxa"/>
              <w:right w:w="62" w:type="dxa"/>
            </w:tcMar>
          </w:tcPr>
          <w:p w:rsidR="00000000" w:rsidP="000D2A89">
            <w:pPr>
              <w:pStyle w:val="BodyText"/>
              <w:rPr>
                <w:lang w:val="en-NZ"/>
              </w:rPr>
            </w:pPr>
            <w:r w:rsidRPr="000D2A89">
              <w:t xml:space="preserve">Complete aviation maintenance </w:t>
            </w:r>
            <w:r w:rsidRPr="000D2A89">
              <w:t>industry documentation</w:t>
            </w:r>
          </w:p>
        </w:tc>
      </w:tr>
      <w:tr w:rsidTr="00E81FE0">
        <w:tblPrEx>
          <w:tblW w:w="0" w:type="auto"/>
          <w:tblLayout w:type="fixed"/>
          <w:tblCellMar>
            <w:left w:w="62" w:type="dxa"/>
            <w:right w:w="62" w:type="dxa"/>
          </w:tblCellMar>
          <w:tblLook w:val="0000"/>
        </w:tblPrEx>
        <w:tc>
          <w:tcPr>
            <w:tcW w:w="2647" w:type="dxa"/>
            <w:tcBorders>
              <w:top w:val="nil"/>
              <w:left w:val="nil"/>
              <w:bottom w:val="nil"/>
              <w:right w:val="nil"/>
            </w:tcBorders>
            <w:tcMar>
              <w:top w:w="0" w:type="dxa"/>
              <w:left w:w="62" w:type="dxa"/>
              <w:bottom w:w="0" w:type="dxa"/>
              <w:right w:w="62" w:type="dxa"/>
            </w:tcMar>
          </w:tcPr>
          <w:p w:rsidR="00000000" w:rsidP="000D2A89">
            <w:pPr>
              <w:pStyle w:val="BodyText"/>
              <w:rPr>
                <w:lang w:val="en-NZ"/>
              </w:rPr>
            </w:pPr>
            <w:r w:rsidRPr="000D2A89">
              <w:t xml:space="preserve">MEA109B </w:t>
            </w:r>
          </w:p>
        </w:tc>
        <w:tc>
          <w:tcPr>
            <w:tcW w:w="6083" w:type="dxa"/>
            <w:tcBorders>
              <w:top w:val="nil"/>
              <w:left w:val="nil"/>
              <w:bottom w:val="nil"/>
              <w:right w:val="nil"/>
            </w:tcBorders>
            <w:tcMar>
              <w:top w:w="0" w:type="dxa"/>
              <w:left w:w="62" w:type="dxa"/>
              <w:bottom w:w="0" w:type="dxa"/>
              <w:right w:w="62" w:type="dxa"/>
            </w:tcMar>
          </w:tcPr>
          <w:p w:rsidR="00000000" w:rsidP="000D2A89">
            <w:pPr>
              <w:pStyle w:val="BodyText"/>
              <w:rPr>
                <w:lang w:val="en-NZ"/>
              </w:rPr>
            </w:pPr>
            <w:r w:rsidRPr="000D2A89">
              <w:t>Perform basic hand skills, standard trade practices and fundamentals in aviation maintenance</w:t>
            </w:r>
          </w:p>
        </w:tc>
      </w:tr>
      <w:tr w:rsidTr="00E81FE0">
        <w:tblPrEx>
          <w:tblW w:w="0" w:type="auto"/>
          <w:tblLayout w:type="fixed"/>
          <w:tblCellMar>
            <w:left w:w="62" w:type="dxa"/>
            <w:right w:w="62" w:type="dxa"/>
          </w:tblCellMar>
          <w:tblLook w:val="0000"/>
        </w:tblPrEx>
        <w:tc>
          <w:tcPr>
            <w:tcW w:w="2647" w:type="dxa"/>
            <w:tcBorders>
              <w:top w:val="nil"/>
              <w:left w:val="nil"/>
              <w:bottom w:val="nil"/>
              <w:right w:val="nil"/>
            </w:tcBorders>
            <w:tcMar>
              <w:top w:w="0" w:type="dxa"/>
              <w:left w:w="62" w:type="dxa"/>
              <w:bottom w:w="0" w:type="dxa"/>
              <w:right w:w="62" w:type="dxa"/>
            </w:tcMar>
          </w:tcPr>
          <w:p w:rsidR="00000000" w:rsidP="000D2A89">
            <w:pPr>
              <w:pStyle w:val="BodyText"/>
              <w:rPr>
                <w:lang w:val="en-NZ"/>
              </w:rPr>
            </w:pPr>
            <w:r w:rsidRPr="000D2A89">
              <w:t>DEFEO101D</w:t>
            </w:r>
          </w:p>
        </w:tc>
        <w:tc>
          <w:tcPr>
            <w:tcW w:w="6083" w:type="dxa"/>
            <w:tcBorders>
              <w:top w:val="nil"/>
              <w:left w:val="nil"/>
              <w:bottom w:val="nil"/>
              <w:right w:val="nil"/>
            </w:tcBorders>
            <w:tcMar>
              <w:top w:w="0" w:type="dxa"/>
              <w:left w:w="62" w:type="dxa"/>
              <w:bottom w:w="0" w:type="dxa"/>
              <w:right w:w="62" w:type="dxa"/>
            </w:tcMar>
          </w:tcPr>
          <w:p w:rsidR="00000000" w:rsidRPr="000D2A89" w:rsidP="000D2A89">
            <w:pPr>
              <w:pStyle w:val="BodyText"/>
            </w:pPr>
            <w:r w:rsidRPr="000D2A89">
              <w:t>Work safely with explosive ordnance</w:t>
            </w:r>
          </w:p>
        </w:tc>
      </w:tr>
    </w:tbl>
    <w:p w:rsidR="00000000" w:rsidRPr="000D2A89" w:rsidP="000D2A89">
      <w:pPr>
        <w:pStyle w:val="BodyText"/>
      </w:pPr>
    </w:p>
    <w:p w:rsidR="00000000" w:rsidRPr="000D2A89" w:rsidP="000D2A89">
      <w:pPr>
        <w:pStyle w:val="AllowPageBreak"/>
      </w:pPr>
    </w:p>
    <w:p w:rsidR="00000000" w:rsidRPr="000D2A89" w:rsidP="000D2A89">
      <w:pPr>
        <w:pStyle w:val="Heading1"/>
      </w:pPr>
      <w:bookmarkStart w:id="6" w:name="O_593634"/>
      <w:bookmarkEnd w:id="6"/>
      <w:r w:rsidRPr="000D2A89">
        <w:t>Employability Skills Information</w:t>
      </w:r>
    </w:p>
    <w:tbl>
      <w:tblPr>
        <w:tblW w:w="0" w:type="auto"/>
        <w:tblLayout w:type="fixed"/>
        <w:tblCellMar>
          <w:left w:w="62" w:type="dxa"/>
          <w:right w:w="62" w:type="dxa"/>
        </w:tblCellMar>
        <w:tblLook w:val="0000"/>
      </w:tblPr>
      <w:tblGrid>
        <w:gridCol w:w="5720"/>
      </w:tblGrid>
      <w:tr w:rsidTr="00E81FE0">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0D2A89" w:rsidP="000D2A89">
            <w:pPr>
              <w:pStyle w:val="BodyText"/>
            </w:pPr>
            <w:r w:rsidRPr="000D2A89">
              <w:t>This unit contains employ</w:t>
            </w:r>
            <w:r w:rsidRPr="000D2A89">
              <w:t>ability skills.</w:t>
            </w:r>
          </w:p>
        </w:tc>
      </w:tr>
    </w:tbl>
    <w:p w:rsidR="00000000" w:rsidRPr="000D2A89" w:rsidP="000D2A89">
      <w:pPr>
        <w:pStyle w:val="BodyText"/>
      </w:pPr>
    </w:p>
    <w:p w:rsidR="00000000" w:rsidRPr="000D2A89" w:rsidP="000D2A89">
      <w:pPr>
        <w:pStyle w:val="AllowPageBreak"/>
      </w:pPr>
    </w:p>
    <w:p w:rsidR="00000000" w:rsidRPr="000D2A89" w:rsidP="000D2A89">
      <w:pPr>
        <w:pStyle w:val="Heading1"/>
      </w:pPr>
      <w:bookmarkStart w:id="7" w:name="O_593633"/>
      <w:bookmarkEnd w:id="7"/>
      <w:r w:rsidRPr="000D2A89">
        <w:t>Elements and Performance Criteria Pre-Content</w:t>
      </w:r>
    </w:p>
    <w:tbl>
      <w:tblPr>
        <w:tblW w:w="9360" w:type="dxa"/>
        <w:tblLayout w:type="fixed"/>
        <w:tblCellMar>
          <w:left w:w="62" w:type="dxa"/>
          <w:right w:w="62" w:type="dxa"/>
        </w:tblCellMar>
        <w:tblLook w:val="0000"/>
      </w:tblPr>
      <w:tblGrid>
        <w:gridCol w:w="2548"/>
        <w:gridCol w:w="6812"/>
      </w:tblGrid>
      <w:tr w:rsidTr="00E81FE0">
        <w:tblPrEx>
          <w:tblW w:w="9360" w:type="dxa"/>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A89">
            <w:pPr>
              <w:pStyle w:val="BodyText"/>
              <w:rPr>
                <w:lang w:val="en-NZ"/>
              </w:rPr>
            </w:pPr>
            <w:r w:rsidRPr="000D2A89">
              <w:t>Elements describe the essential outcomes of a unit of competency.</w:t>
            </w:r>
          </w:p>
        </w:tc>
        <w:tc>
          <w:tcPr>
            <w:tcW w:w="6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A89" w:rsidP="000D2A89">
            <w:pPr>
              <w:pStyle w:val="BodyText"/>
            </w:pPr>
            <w:r w:rsidRPr="000D2A89">
              <w:t>Performance criteria describe the performance needed to demonstrate achievement of the element. Where bold it</w:t>
            </w:r>
            <w:r w:rsidRPr="000D2A89">
              <w:t>alicised text is used, further information is detailed in the required skills and knowledge section and the range statement. Assessment of performance is to be consistent with the evidence guide.</w:t>
            </w:r>
          </w:p>
        </w:tc>
      </w:tr>
    </w:tbl>
    <w:p w:rsidR="00000000" w:rsidRPr="000D2A89" w:rsidP="000D2A89">
      <w:pPr>
        <w:pStyle w:val="BodyText"/>
      </w:pPr>
    </w:p>
    <w:p w:rsidR="00000000" w:rsidRPr="000D2A89" w:rsidP="000D2A89">
      <w:pPr>
        <w:pStyle w:val="AllowPageBreak"/>
      </w:pPr>
    </w:p>
    <w:p w:rsidR="00000000" w:rsidRPr="000D2A89" w:rsidP="000D2A89">
      <w:pPr>
        <w:pStyle w:val="Heading1"/>
      </w:pPr>
      <w:bookmarkStart w:id="8" w:name="O_593632"/>
      <w:bookmarkEnd w:id="8"/>
      <w:r w:rsidRPr="000D2A89">
        <w:t>Elements and Performance Criteria</w:t>
      </w:r>
    </w:p>
    <w:tbl>
      <w:tblPr>
        <w:tblW w:w="0" w:type="auto"/>
        <w:tblCellMar>
          <w:left w:w="62" w:type="dxa"/>
          <w:right w:w="62" w:type="dxa"/>
        </w:tblCellMar>
        <w:tblLook w:val="0000"/>
      </w:tblPr>
      <w:tblGrid>
        <w:gridCol w:w="1846"/>
        <w:gridCol w:w="7350"/>
      </w:tblGrid>
      <w:tr w:rsidTr="00E81F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2A89">
            <w:pPr>
              <w:pStyle w:val="List"/>
              <w:rPr>
                <w:lang w:val="en-NZ"/>
              </w:rPr>
            </w:pPr>
            <w:r w:rsidRPr="000D2A89">
              <w:t>1.</w:t>
            </w:r>
            <w:r w:rsidRPr="000D2A89">
              <w:tab/>
            </w:r>
            <w:r w:rsidRPr="000D2A89">
              <w:t>Fit and remove safety devices</w:t>
            </w:r>
          </w:p>
        </w:tc>
        <w:tc>
          <w:tcPr>
            <w:tcW w:w="0" w:type="auto"/>
            <w:tcBorders>
              <w:top w:val="nil"/>
              <w:left w:val="nil"/>
              <w:bottom w:val="nil"/>
              <w:right w:val="nil"/>
            </w:tcBorders>
            <w:tcMar>
              <w:top w:w="0" w:type="dxa"/>
              <w:left w:w="62" w:type="dxa"/>
              <w:bottom w:w="0" w:type="dxa"/>
              <w:right w:w="62" w:type="dxa"/>
            </w:tcMar>
          </w:tcPr>
          <w:p w:rsidR="00000000" w:rsidRPr="000D2A89" w:rsidP="000D2A89">
            <w:pPr>
              <w:pStyle w:val="List2"/>
            </w:pPr>
            <w:r w:rsidRPr="000D2A89">
              <w:t>1.1.</w:t>
            </w:r>
            <w:r w:rsidRPr="000D2A89">
              <w:tab/>
              <w:t xml:space="preserve">Safety devices are fitted to </w:t>
            </w:r>
            <w:r w:rsidRPr="000D2A89">
              <w:rPr>
                <w:rStyle w:val="BoldandItalics"/>
              </w:rPr>
              <w:t>aircraft egress systems</w:t>
            </w:r>
            <w:r w:rsidRPr="000D2A89">
              <w:t xml:space="preserve"> in accordance with standard operating and maintenance procedures</w:t>
            </w:r>
          </w:p>
          <w:p w:rsidR="00000000" w:rsidP="000D2A89">
            <w:pPr>
              <w:pStyle w:val="List2"/>
              <w:rPr>
                <w:lang w:val="en-NZ"/>
              </w:rPr>
            </w:pPr>
            <w:r w:rsidRPr="000D2A89">
              <w:t>1.2.</w:t>
            </w:r>
            <w:r w:rsidRPr="000D2A89">
              <w:tab/>
              <w:t>Safety devices are removed from aircraft egress systems and are correctly stowed in accordance wit</w:t>
            </w:r>
            <w:r w:rsidRPr="000D2A89">
              <w:t>h standard operating and maintenance procedures</w:t>
            </w:r>
          </w:p>
        </w:tc>
      </w:tr>
      <w:tr w:rsidTr="00E81F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2A89">
            <w:pPr>
              <w:pStyle w:val="List"/>
              <w:rPr>
                <w:lang w:val="en-NZ"/>
              </w:rPr>
            </w:pPr>
            <w:r w:rsidRPr="000D2A89">
              <w:t>2.</w:t>
            </w:r>
            <w:r w:rsidRPr="000D2A89">
              <w:tab/>
              <w:t>Prepare for aircraft egress system maintenance</w:t>
            </w:r>
          </w:p>
        </w:tc>
        <w:tc>
          <w:tcPr>
            <w:tcW w:w="0" w:type="auto"/>
            <w:tcBorders>
              <w:top w:val="nil"/>
              <w:left w:val="nil"/>
              <w:bottom w:val="nil"/>
              <w:right w:val="nil"/>
            </w:tcBorders>
            <w:tcMar>
              <w:top w:w="0" w:type="dxa"/>
              <w:left w:w="62" w:type="dxa"/>
              <w:bottom w:w="0" w:type="dxa"/>
              <w:right w:w="62" w:type="dxa"/>
            </w:tcMar>
          </w:tcPr>
          <w:p w:rsidR="00000000" w:rsidRPr="000D2A89" w:rsidP="000D2A89">
            <w:pPr>
              <w:pStyle w:val="List2"/>
            </w:pPr>
            <w:r w:rsidRPr="000D2A89">
              <w:t>2.1.</w:t>
            </w:r>
            <w:r w:rsidRPr="000D2A89">
              <w:tab/>
            </w:r>
            <w:r w:rsidRPr="000D2A89">
              <w:rPr>
                <w:rStyle w:val="BoldandItalics"/>
              </w:rPr>
              <w:t>Applicable maintenance documentation</w:t>
            </w:r>
            <w:r w:rsidRPr="000D2A89">
              <w:t xml:space="preserve"> is identified and obtained</w:t>
            </w:r>
          </w:p>
          <w:p w:rsidR="00000000" w:rsidRPr="000D2A89" w:rsidP="000D2A89">
            <w:pPr>
              <w:pStyle w:val="List2"/>
            </w:pPr>
            <w:r w:rsidRPr="000D2A89">
              <w:t>2.2.</w:t>
            </w:r>
            <w:r w:rsidRPr="000D2A89">
              <w:tab/>
              <w:t>Aircraft egress system maintenance requirements are identified from applicable docu</w:t>
            </w:r>
            <w:r w:rsidRPr="000D2A89">
              <w:t>mentation</w:t>
            </w:r>
          </w:p>
          <w:p w:rsidR="00000000" w:rsidP="000D2A89">
            <w:pPr>
              <w:pStyle w:val="List2"/>
              <w:rPr>
                <w:lang w:val="en-NZ"/>
              </w:rPr>
            </w:pPr>
            <w:r w:rsidRPr="000D2A89">
              <w:t>2.3.</w:t>
            </w:r>
            <w:r w:rsidRPr="000D2A89">
              <w:tab/>
              <w:t>Special tools and equipment required for the maintenance tasks are obtained and positioned</w:t>
            </w:r>
          </w:p>
        </w:tc>
      </w:tr>
      <w:tr w:rsidTr="00E81F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2A89">
            <w:pPr>
              <w:pStyle w:val="List"/>
              <w:rPr>
                <w:lang w:val="en-NZ"/>
              </w:rPr>
            </w:pPr>
            <w:r w:rsidRPr="000D2A89">
              <w:t>3.</w:t>
            </w:r>
            <w:r w:rsidRPr="000D2A89">
              <w:tab/>
              <w:t>Inspect, test and maintain aircraft egress systems</w:t>
            </w:r>
          </w:p>
        </w:tc>
        <w:tc>
          <w:tcPr>
            <w:tcW w:w="0" w:type="auto"/>
            <w:tcBorders>
              <w:top w:val="nil"/>
              <w:left w:val="nil"/>
              <w:bottom w:val="nil"/>
              <w:right w:val="nil"/>
            </w:tcBorders>
            <w:tcMar>
              <w:top w:w="0" w:type="dxa"/>
              <w:left w:w="62" w:type="dxa"/>
              <w:bottom w:w="0" w:type="dxa"/>
              <w:right w:w="62" w:type="dxa"/>
            </w:tcMar>
          </w:tcPr>
          <w:p w:rsidR="00000000" w:rsidRPr="000D2A89" w:rsidP="000D2A89">
            <w:pPr>
              <w:pStyle w:val="List2"/>
            </w:pPr>
            <w:r w:rsidRPr="000D2A89">
              <w:t>3.1.</w:t>
            </w:r>
            <w:r w:rsidRPr="000D2A89">
              <w:tab/>
            </w:r>
            <w:r w:rsidRPr="000D2A89">
              <w:t>Aircraft egress systems are inspected in accordance with applicable maintenance documentation</w:t>
            </w:r>
          </w:p>
          <w:p w:rsidR="00000000" w:rsidRPr="000D2A89" w:rsidP="000D2A89">
            <w:pPr>
              <w:pStyle w:val="List2"/>
            </w:pPr>
            <w:r w:rsidRPr="000D2A89">
              <w:t>3.2.</w:t>
            </w:r>
            <w:r w:rsidRPr="000D2A89">
              <w:tab/>
              <w:t>Relevant tests are safely conducted and results are recorded in accordance with standard enterprise procedures</w:t>
            </w:r>
          </w:p>
          <w:p w:rsidR="00000000" w:rsidRPr="000D2A89" w:rsidP="000D2A89">
            <w:pPr>
              <w:pStyle w:val="List2"/>
            </w:pPr>
            <w:r w:rsidRPr="000D2A89">
              <w:t>3.3.</w:t>
            </w:r>
            <w:r w:rsidRPr="000D2A89">
              <w:tab/>
            </w:r>
            <w:r w:rsidRPr="000D2A89">
              <w:rPr>
                <w:rStyle w:val="BoldandItalics"/>
              </w:rPr>
              <w:t>Required maintenance tasks</w:t>
            </w:r>
            <w:r w:rsidRPr="000D2A89">
              <w:t xml:space="preserve"> are performed </w:t>
            </w:r>
            <w:r w:rsidRPr="000D2A89">
              <w:t>in accordance with applicable maintenance documentation and standard enterprise procedures</w:t>
            </w:r>
          </w:p>
          <w:p w:rsidR="00000000" w:rsidP="000D2A89">
            <w:pPr>
              <w:pStyle w:val="List2"/>
              <w:rPr>
                <w:lang w:val="en-NZ"/>
              </w:rPr>
            </w:pPr>
            <w:r w:rsidRPr="000D2A89">
              <w:t>3.4.</w:t>
            </w:r>
            <w:r w:rsidRPr="000D2A89">
              <w:tab/>
              <w:t>Emergency and contingency procedures are performed, as required</w:t>
            </w:r>
          </w:p>
        </w:tc>
      </w:tr>
      <w:tr w:rsidTr="00E81F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2A89">
            <w:pPr>
              <w:pStyle w:val="List"/>
              <w:rPr>
                <w:lang w:val="en-NZ"/>
              </w:rPr>
            </w:pPr>
            <w:r w:rsidRPr="000D2A89">
              <w:t>4.</w:t>
            </w:r>
            <w:r w:rsidRPr="000D2A89">
              <w:tab/>
              <w:t>Remove and install aircraft egress system components</w:t>
            </w:r>
          </w:p>
        </w:tc>
        <w:tc>
          <w:tcPr>
            <w:tcW w:w="0" w:type="auto"/>
            <w:tcBorders>
              <w:top w:val="nil"/>
              <w:left w:val="nil"/>
              <w:bottom w:val="nil"/>
              <w:right w:val="nil"/>
            </w:tcBorders>
            <w:tcMar>
              <w:top w:w="0" w:type="dxa"/>
              <w:left w:w="62" w:type="dxa"/>
              <w:bottom w:w="0" w:type="dxa"/>
              <w:right w:w="62" w:type="dxa"/>
            </w:tcMar>
          </w:tcPr>
          <w:p w:rsidR="00000000" w:rsidRPr="000D2A89" w:rsidP="000D2A89">
            <w:pPr>
              <w:pStyle w:val="List2"/>
            </w:pPr>
            <w:r w:rsidRPr="000D2A89">
              <w:t>4.1.</w:t>
            </w:r>
            <w:r w:rsidRPr="000D2A89">
              <w:tab/>
            </w:r>
            <w:r w:rsidRPr="000D2A89">
              <w:rPr>
                <w:rStyle w:val="BoldandItalics"/>
              </w:rPr>
              <w:t>Non</w:t>
            </w:r>
            <w:r w:rsidRPr="000D2A89">
              <w:t>-</w:t>
            </w:r>
            <w:r w:rsidRPr="000D2A89">
              <w:rPr>
                <w:rStyle w:val="BoldandItalics"/>
              </w:rPr>
              <w:t>explosive egress system compon</w:t>
            </w:r>
            <w:r w:rsidRPr="000D2A89">
              <w:rPr>
                <w:rStyle w:val="BoldandItalics"/>
              </w:rPr>
              <w:t>ents</w:t>
            </w:r>
            <w:r w:rsidRPr="000D2A89">
              <w:t xml:space="preserve"> are removed and installed in accordance with applicable maintenance documentation and standard enterprise procedures</w:t>
            </w:r>
          </w:p>
          <w:p w:rsidR="00000000" w:rsidP="000D2A89">
            <w:pPr>
              <w:pStyle w:val="List2"/>
              <w:rPr>
                <w:lang w:val="en-NZ"/>
              </w:rPr>
            </w:pPr>
            <w:r w:rsidRPr="000D2A89">
              <w:t>4.2.</w:t>
            </w:r>
            <w:r w:rsidRPr="000D2A89">
              <w:tab/>
            </w:r>
            <w:r w:rsidRPr="000D2A89">
              <w:rPr>
                <w:rStyle w:val="BoldandItalics"/>
              </w:rPr>
              <w:t>Explosive egress system components</w:t>
            </w:r>
            <w:r w:rsidRPr="000D2A89">
              <w:t xml:space="preserve"> are removed and installed in accordance with applicable maintenance documentation and standard</w:t>
            </w:r>
            <w:r w:rsidRPr="000D2A89">
              <w:t xml:space="preserve"> enterprise procedures</w:t>
            </w:r>
          </w:p>
        </w:tc>
      </w:tr>
      <w:tr w:rsidTr="00E81F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2A89">
            <w:pPr>
              <w:pStyle w:val="List"/>
              <w:rPr>
                <w:lang w:val="en-NZ"/>
              </w:rPr>
            </w:pPr>
            <w:r w:rsidRPr="000D2A89">
              <w:t>5.</w:t>
            </w:r>
            <w:r w:rsidRPr="000D2A89">
              <w:tab/>
              <w:t>Complete aircraft egress system maintenance operation</w:t>
            </w:r>
          </w:p>
        </w:tc>
        <w:tc>
          <w:tcPr>
            <w:tcW w:w="0" w:type="auto"/>
            <w:tcBorders>
              <w:top w:val="nil"/>
              <w:left w:val="nil"/>
              <w:bottom w:val="nil"/>
              <w:right w:val="nil"/>
            </w:tcBorders>
            <w:tcMar>
              <w:top w:w="0" w:type="dxa"/>
              <w:left w:w="62" w:type="dxa"/>
              <w:bottom w:w="0" w:type="dxa"/>
              <w:right w:w="62" w:type="dxa"/>
            </w:tcMar>
          </w:tcPr>
          <w:p w:rsidR="00000000" w:rsidRPr="000D2A89" w:rsidP="000D2A89">
            <w:pPr>
              <w:pStyle w:val="List2"/>
            </w:pPr>
            <w:r w:rsidRPr="000D2A89">
              <w:t>5.1.</w:t>
            </w:r>
            <w:r w:rsidRPr="000D2A89">
              <w:tab/>
              <w:t>Removed non-explosive components are tagged and packaged for transportation in accordance with standard enterprise procedures</w:t>
            </w:r>
          </w:p>
          <w:p w:rsidR="00000000" w:rsidRPr="000D2A89" w:rsidP="000D2A89">
            <w:pPr>
              <w:pStyle w:val="List2"/>
            </w:pPr>
            <w:r w:rsidRPr="000D2A89">
              <w:t>5.2.</w:t>
            </w:r>
            <w:r w:rsidRPr="000D2A89">
              <w:tab/>
              <w:t>Removed explosive components are tagged</w:t>
            </w:r>
            <w:r w:rsidRPr="000D2A89">
              <w:t xml:space="preserve"> and packaged in accordance with procedures for packaging and transportation of explosive ordnance/dangerous goods</w:t>
            </w:r>
          </w:p>
          <w:p w:rsidR="00000000" w:rsidRPr="000D2A89" w:rsidP="000D2A89">
            <w:pPr>
              <w:pStyle w:val="List2"/>
            </w:pPr>
            <w:r w:rsidRPr="000D2A89">
              <w:t>5.3.</w:t>
            </w:r>
            <w:r w:rsidRPr="000D2A89">
              <w:tab/>
              <w:t>Special tools and equipment are maintained in accordance with standard enterprise procedures</w:t>
            </w:r>
          </w:p>
          <w:p w:rsidR="00000000" w:rsidRPr="000D2A89" w:rsidP="000D2A89">
            <w:pPr>
              <w:pStyle w:val="List2"/>
            </w:pPr>
            <w:r w:rsidRPr="000D2A89">
              <w:t>5.4.</w:t>
            </w:r>
            <w:r w:rsidRPr="000D2A89">
              <w:tab/>
              <w:t>Documentation and records are complete</w:t>
            </w:r>
            <w:r w:rsidRPr="000D2A89">
              <w:t>d in accordance with standard enterprise procedures</w:t>
            </w:r>
          </w:p>
        </w:tc>
      </w:tr>
    </w:tbl>
    <w:p w:rsidR="00000000" w:rsidRPr="000D2A89" w:rsidP="000D2A89">
      <w:pPr>
        <w:pStyle w:val="BodyText"/>
      </w:pPr>
    </w:p>
    <w:p w:rsidR="00000000" w:rsidRPr="000D2A89" w:rsidP="000D2A89">
      <w:pPr>
        <w:pStyle w:val="AllowPageBreak"/>
      </w:pPr>
    </w:p>
    <w:p w:rsidR="00000000" w:rsidRPr="000D2A89" w:rsidP="000D2A89">
      <w:pPr>
        <w:pStyle w:val="Heading1"/>
      </w:pPr>
      <w:bookmarkStart w:id="9" w:name="O_593631"/>
      <w:bookmarkEnd w:id="9"/>
      <w:r w:rsidRPr="000D2A89">
        <w:t>Required Skills and Knowledge</w:t>
      </w:r>
    </w:p>
    <w:tbl>
      <w:tblPr>
        <w:tblW w:w="9450" w:type="dxa"/>
        <w:tblLayout w:type="fixed"/>
        <w:tblCellMar>
          <w:left w:w="62" w:type="dxa"/>
          <w:right w:w="62" w:type="dxa"/>
        </w:tblCellMar>
        <w:tblLook w:val="0000"/>
      </w:tblPr>
      <w:tblGrid>
        <w:gridCol w:w="9450"/>
      </w:tblGrid>
      <w:tr w:rsidTr="00E81FE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0D2A89">
            <w:pPr>
              <w:pStyle w:val="BodyText"/>
              <w:rPr>
                <w:lang w:val="en-NZ"/>
              </w:rPr>
            </w:pPr>
            <w:r w:rsidRPr="000D2A89">
              <w:rPr>
                <w:rStyle w:val="SpecialBold"/>
              </w:rPr>
              <w:t>Required skills</w:t>
            </w:r>
          </w:p>
        </w:tc>
      </w:tr>
      <w:tr w:rsidTr="00E81FE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0D2A89" w:rsidP="000D2A89">
            <w:pPr>
              <w:pStyle w:val="BodyText"/>
            </w:pPr>
            <w:r w:rsidRPr="000D2A89">
              <w:t>Look for evidence that confirms skills in:</w:t>
            </w:r>
          </w:p>
          <w:p w:rsidR="00000000" w:rsidRPr="000D2A89" w:rsidP="000D2A89">
            <w:pPr>
              <w:pStyle w:val="ListBullet"/>
            </w:pPr>
            <w:r w:rsidRPr="000D2A89">
              <w:t xml:space="preserve">applying relevant OHS procedures, including selection and use of MSDS and PPE </w:t>
            </w:r>
          </w:p>
          <w:p w:rsidR="00000000" w:rsidRPr="000D2A89" w:rsidP="000D2A89">
            <w:pPr>
              <w:pStyle w:val="ListBullet"/>
            </w:pPr>
            <w:r w:rsidRPr="000D2A89">
              <w:t>fitment of applicable safety devices</w:t>
            </w:r>
          </w:p>
          <w:p w:rsidR="00000000" w:rsidRPr="000D2A89" w:rsidP="000D2A89">
            <w:pPr>
              <w:pStyle w:val="ListBullet"/>
            </w:pPr>
            <w:r w:rsidRPr="000D2A89">
              <w:t>egress system disarming and rearming</w:t>
            </w:r>
          </w:p>
          <w:p w:rsidR="00000000" w:rsidRPr="000D2A89" w:rsidP="000D2A89">
            <w:pPr>
              <w:pStyle w:val="ListBullet"/>
            </w:pPr>
            <w:r w:rsidRPr="000D2A89">
              <w:t>safely handling explosive components</w:t>
            </w:r>
          </w:p>
          <w:p w:rsidR="00000000" w:rsidRPr="000D2A89" w:rsidP="000D2A89">
            <w:pPr>
              <w:pStyle w:val="ListBullet"/>
            </w:pPr>
            <w:r w:rsidRPr="000D2A89">
              <w:t>conducting tests involving continuity, gauging and measuring</w:t>
            </w:r>
          </w:p>
          <w:p w:rsidR="00000000" w:rsidRPr="000D2A89" w:rsidP="000D2A89">
            <w:pPr>
              <w:pStyle w:val="ListBullet"/>
            </w:pPr>
            <w:r w:rsidRPr="000D2A89">
              <w:t>identifying and selecting applicable items of specialist equipment and tools</w:t>
            </w:r>
          </w:p>
          <w:p w:rsidR="00000000" w:rsidRPr="000D2A89" w:rsidP="000D2A89">
            <w:pPr>
              <w:pStyle w:val="ListBullet"/>
            </w:pPr>
            <w:r w:rsidRPr="000D2A89">
              <w:t>using m</w:t>
            </w:r>
            <w:r w:rsidRPr="000D2A89">
              <w:t>aintenance documentation, hand tools, specialist tools and equipment to perform egress system maintenance tasks</w:t>
            </w:r>
          </w:p>
          <w:p w:rsidR="00000000" w:rsidP="000D2A89">
            <w:pPr>
              <w:pStyle w:val="ListBullet"/>
              <w:rPr>
                <w:lang w:val="en-NZ"/>
              </w:rPr>
            </w:pPr>
            <w:r w:rsidRPr="000D2A89">
              <w:t>preparing removed explosive components for safe storage or transportation</w:t>
            </w:r>
          </w:p>
        </w:tc>
      </w:tr>
      <w:tr w:rsidTr="00E81FE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0D2A89">
            <w:pPr>
              <w:pStyle w:val="BodyText"/>
              <w:rPr>
                <w:lang w:val="en-NZ"/>
              </w:rPr>
            </w:pPr>
            <w:r w:rsidRPr="000D2A89">
              <w:rPr>
                <w:rStyle w:val="SpecialBold"/>
              </w:rPr>
              <w:t>Required knowledge</w:t>
            </w:r>
          </w:p>
        </w:tc>
      </w:tr>
      <w:tr w:rsidTr="00E81FE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0D2A89" w:rsidP="000D2A89">
            <w:pPr>
              <w:pStyle w:val="BodyText"/>
            </w:pPr>
            <w:r w:rsidRPr="000D2A89">
              <w:t>Look for evidence that confirms knowledge of:</w:t>
            </w:r>
          </w:p>
          <w:p w:rsidR="00000000" w:rsidRPr="000D2A89" w:rsidP="000D2A89">
            <w:pPr>
              <w:pStyle w:val="ListBullet"/>
            </w:pPr>
            <w:r w:rsidRPr="000D2A89">
              <w:t>egress system construction, layout and operation</w:t>
            </w:r>
          </w:p>
          <w:p w:rsidR="00000000" w:rsidRPr="000D2A89" w:rsidP="000D2A89">
            <w:pPr>
              <w:pStyle w:val="ListBullet"/>
            </w:pPr>
            <w:r w:rsidRPr="000D2A89">
              <w:t>operation, characteristics and limitations of aircraft egress systems</w:t>
            </w:r>
          </w:p>
          <w:p w:rsidR="00000000" w:rsidRPr="000D2A89" w:rsidP="000D2A89">
            <w:pPr>
              <w:pStyle w:val="ListBullet"/>
            </w:pPr>
            <w:r w:rsidRPr="000D2A89">
              <w:t>effect of environmental conditions</w:t>
            </w:r>
          </w:p>
          <w:p w:rsidR="00000000" w:rsidRPr="000D2A89" w:rsidP="000D2A89">
            <w:pPr>
              <w:pStyle w:val="ListBullet"/>
            </w:pPr>
            <w:r w:rsidRPr="000D2A89">
              <w:t>colour coding, marking and labels associated with egress systems</w:t>
            </w:r>
          </w:p>
          <w:p w:rsidR="00000000" w:rsidRPr="000D2A89" w:rsidP="000D2A89">
            <w:pPr>
              <w:pStyle w:val="ListBullet"/>
            </w:pPr>
            <w:r w:rsidRPr="000D2A89">
              <w:t>operation, characteristics and limita</w:t>
            </w:r>
            <w:r w:rsidRPr="000D2A89">
              <w:t>tions of specialist tools and equipment</w:t>
            </w:r>
          </w:p>
          <w:p w:rsidR="00000000" w:rsidRPr="000D2A89" w:rsidP="000D2A89">
            <w:pPr>
              <w:pStyle w:val="ListBullet"/>
            </w:pPr>
            <w:r w:rsidRPr="000D2A89">
              <w:t>egress system test procedures</w:t>
            </w:r>
          </w:p>
          <w:p w:rsidR="00000000" w:rsidRPr="000D2A89" w:rsidP="000D2A89">
            <w:pPr>
              <w:pStyle w:val="ListBullet"/>
            </w:pPr>
            <w:r w:rsidRPr="000D2A89">
              <w:t>safety precautions associated with explosive components</w:t>
            </w:r>
          </w:p>
          <w:p w:rsidR="00000000" w:rsidRPr="000D2A89" w:rsidP="000D2A89">
            <w:pPr>
              <w:pStyle w:val="ListBullet"/>
            </w:pPr>
            <w:r w:rsidRPr="000D2A89">
              <w:t>requirements for handling and disposal of explosive components</w:t>
            </w:r>
          </w:p>
          <w:p w:rsidR="00000000" w:rsidRPr="000D2A89" w:rsidP="000D2A89">
            <w:pPr>
              <w:pStyle w:val="ListBullet"/>
            </w:pPr>
            <w:r w:rsidRPr="000D2A89">
              <w:t>general OHS procedures applicable to egress system maintenance, inc</w:t>
            </w:r>
            <w:r w:rsidRPr="000D2A89">
              <w:t>luding applicable PPE</w:t>
            </w:r>
          </w:p>
          <w:p w:rsidR="00000000" w:rsidRPr="000D2A89" w:rsidP="000D2A89">
            <w:pPr>
              <w:pStyle w:val="ListBullet"/>
            </w:pPr>
            <w:r w:rsidRPr="000D2A89">
              <w:t>how to obtain and use MSDS</w:t>
            </w:r>
          </w:p>
        </w:tc>
      </w:tr>
    </w:tbl>
    <w:p w:rsidR="00000000" w:rsidRPr="000D2A89" w:rsidP="000D2A89">
      <w:pPr>
        <w:pStyle w:val="BodyText"/>
      </w:pPr>
    </w:p>
    <w:p w:rsidR="00000000" w:rsidRPr="000D2A89" w:rsidP="000D2A89">
      <w:pPr>
        <w:pStyle w:val="AllowPageBreak"/>
      </w:pPr>
    </w:p>
    <w:p w:rsidR="00000000" w:rsidRPr="000D2A89" w:rsidP="000D2A89">
      <w:pPr>
        <w:pStyle w:val="Heading1"/>
      </w:pPr>
      <w:bookmarkStart w:id="10" w:name="O_593630"/>
      <w:bookmarkEnd w:id="10"/>
      <w:r w:rsidRPr="000D2A89">
        <w:t>Evidence Guide</w:t>
      </w:r>
    </w:p>
    <w:tbl>
      <w:tblPr>
        <w:tblW w:w="9570" w:type="dxa"/>
        <w:tblLayout w:type="fixed"/>
        <w:tblCellMar>
          <w:left w:w="62" w:type="dxa"/>
          <w:right w:w="62" w:type="dxa"/>
        </w:tblCellMar>
        <w:tblLook w:val="0000"/>
      </w:tblPr>
      <w:tblGrid>
        <w:gridCol w:w="3908"/>
        <w:gridCol w:w="5662"/>
      </w:tblGrid>
      <w:tr w:rsidTr="00E81FE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A89">
            <w:pPr>
              <w:pStyle w:val="BodyText"/>
              <w:rPr>
                <w:lang w:val="en-NZ"/>
              </w:rPr>
            </w:pPr>
            <w:r w:rsidRPr="000D2A89">
              <w:t>The Evidence Guide provides advice on assessment and must be read in conjunction with the performance criteria, required skills and knowledge, range stat</w:t>
            </w:r>
            <w:r w:rsidRPr="000D2A89">
              <w:t>ement and the Assessment Guidelines for the Training Package.</w:t>
            </w:r>
          </w:p>
        </w:tc>
      </w:tr>
      <w:tr w:rsidTr="00E81F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A89">
            <w:pPr>
              <w:pStyle w:val="BodyText"/>
              <w:rPr>
                <w:lang w:val="en-NZ"/>
              </w:rPr>
            </w:pPr>
            <w:r w:rsidRPr="000D2A8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A89">
            <w:pPr>
              <w:pStyle w:val="BodyText"/>
              <w:rPr>
                <w:lang w:val="en-NZ"/>
              </w:rPr>
            </w:pPr>
            <w:r w:rsidRPr="000D2A89">
              <w:t>A person who demonstrates competency in this unit must be able to maintain aircraft egress systems and system components while observing all relevant safety precautions.</w:t>
            </w:r>
          </w:p>
        </w:tc>
      </w:tr>
      <w:tr w:rsidTr="00E81F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A89">
            <w:pPr>
              <w:pStyle w:val="BodyText"/>
              <w:rPr>
                <w:lang w:val="en-NZ"/>
              </w:rPr>
            </w:pPr>
            <w:r w:rsidRPr="000D2A8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A89" w:rsidP="000D2A89">
            <w:pPr>
              <w:pStyle w:val="BodyText"/>
            </w:pPr>
            <w:r w:rsidRPr="000D2A89">
              <w:t xml:space="preserve">The underlying skills inherent in this unit should be transferable across a range of aircraft egress system maintenance activities. It is essential </w:t>
            </w:r>
            <w:r w:rsidRPr="000D2A89">
              <w:t>that assessment confirms the ability to comply with organisational safety requirements and appropriate legislative and regulatory requirements while maintaining aircraft egress systems. The ability to work safely within an explosive ordnance environment, c</w:t>
            </w:r>
            <w:r w:rsidRPr="000D2A89">
              <w:t>onduct applicable tests and maintain relevant documentation is critical.</w:t>
            </w:r>
          </w:p>
          <w:p w:rsidR="00000000" w:rsidRPr="000D2A89" w:rsidP="000D2A89">
            <w:pPr>
              <w:pStyle w:val="BodyText"/>
            </w:pPr>
            <w:r w:rsidRPr="000D2A89">
              <w:t>Evidence of transferability of skills and knowledge related to egress system maintenance is essential. This is to be established through demonstration of the ability to:</w:t>
            </w:r>
          </w:p>
          <w:p w:rsidR="00000000" w:rsidRPr="000D2A89" w:rsidP="000D2A89">
            <w:pPr>
              <w:pStyle w:val="ListBullet"/>
            </w:pPr>
            <w:r w:rsidRPr="000D2A89">
              <w:t>render the s</w:t>
            </w:r>
            <w:r w:rsidRPr="000D2A89">
              <w:t>ystem safe</w:t>
            </w:r>
          </w:p>
          <w:p w:rsidR="00000000" w:rsidRPr="000D2A89" w:rsidP="000D2A89">
            <w:pPr>
              <w:pStyle w:val="ListBullet"/>
            </w:pPr>
            <w:r w:rsidRPr="000D2A89">
              <w:t xml:space="preserve">perform relevant inspections and tests, replace components (including disarming and re-arming the system) </w:t>
            </w:r>
          </w:p>
          <w:p w:rsidR="00000000" w:rsidRPr="000D2A89" w:rsidP="000D2A89">
            <w:pPr>
              <w:pStyle w:val="ListBullet"/>
            </w:pPr>
            <w:r w:rsidRPr="000D2A89">
              <w:t xml:space="preserve">perform appropriate maintenance tasks. </w:t>
            </w:r>
          </w:p>
          <w:p w:rsidR="00000000" w:rsidRPr="000D2A89" w:rsidP="000D2A89">
            <w:pPr>
              <w:pStyle w:val="BodyText"/>
            </w:pPr>
            <w:r w:rsidRPr="000D2A89">
              <w:t>The work plan should take account o</w:t>
            </w:r>
            <w:r w:rsidRPr="000D2A89">
              <w:t>f applicable safety and quality requirements in accordance with the industry and regulatory standards.</w:t>
            </w:r>
          </w:p>
          <w:p w:rsidR="00000000" w:rsidP="000D2A89">
            <w:pPr>
              <w:pStyle w:val="BodyText"/>
              <w:rPr>
                <w:lang w:val="en-NZ"/>
              </w:rPr>
            </w:pPr>
            <w:r w:rsidRPr="000D2A89">
              <w:t>A person cannot be assessed as competent until it can be demonstrated to the satisfaction of the workplace assessor that the relevant elements of the uni</w:t>
            </w:r>
            <w:r w:rsidRPr="000D2A89">
              <w:t>t of competency are being achieved under routine supervision on a range of tasks that is representative of the maintenance tasks, tests and the range of non-explosive and explosive components listed in the Range Statement. This shall be established via the</w:t>
            </w:r>
            <w:r w:rsidRPr="000D2A89">
              <w:t xml:space="preserve"> records in the Log of Industrial Experience and Achievement or, where appropriate, an equivalent Industry Evidence Guide.</w:t>
            </w:r>
          </w:p>
        </w:tc>
      </w:tr>
      <w:tr w:rsidTr="00E81F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A89">
            <w:pPr>
              <w:pStyle w:val="BodyText"/>
              <w:rPr>
                <w:lang w:val="en-NZ"/>
              </w:rPr>
            </w:pPr>
            <w:r w:rsidRPr="000D2A8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A89" w:rsidP="000D2A89">
            <w:pPr>
              <w:pStyle w:val="BodyText"/>
            </w:pPr>
            <w:r w:rsidRPr="000D2A89">
              <w:t>Competency should be assessed in the workplace or simulated workplace using materia</w:t>
            </w:r>
            <w:r w:rsidRPr="000D2A89">
              <w:t>ls, tools and equipment specified in the maintenance manuals and applicable procedures. It is also expected that general and special purpose tools and ground support equipment would be used where appropriate.</w:t>
            </w:r>
          </w:p>
          <w:p w:rsidR="00000000" w:rsidP="000D2A89">
            <w:pPr>
              <w:pStyle w:val="BodyText"/>
              <w:rPr>
                <w:lang w:val="en-NZ"/>
              </w:rPr>
            </w:pPr>
            <w:r w:rsidRPr="000D2A89">
              <w:t xml:space="preserve">Access will also be required to facilities and </w:t>
            </w:r>
            <w:r w:rsidRPr="000D2A89">
              <w:t>resources used in the storage, distribution or maintenance of explosive ordnance, including a licensed explosive site.</w:t>
            </w:r>
          </w:p>
        </w:tc>
      </w:tr>
      <w:tr w:rsidTr="00E81F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A89">
            <w:pPr>
              <w:pStyle w:val="BodyText"/>
              <w:rPr>
                <w:lang w:val="en-NZ"/>
              </w:rPr>
            </w:pPr>
            <w:r w:rsidRPr="000D2A8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A89">
            <w:pPr>
              <w:pStyle w:val="BodyText"/>
              <w:rPr>
                <w:lang w:val="en-NZ"/>
              </w:rPr>
            </w:pPr>
          </w:p>
        </w:tc>
      </w:tr>
      <w:tr w:rsidTr="00E81F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A89">
            <w:pPr>
              <w:pStyle w:val="BodyText"/>
              <w:rPr>
                <w:lang w:val="en-NZ"/>
              </w:rPr>
            </w:pPr>
            <w:r w:rsidRPr="000D2A8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A89" w:rsidP="000D2A89">
            <w:pPr>
              <w:pStyle w:val="BodyText"/>
            </w:pPr>
          </w:p>
        </w:tc>
      </w:tr>
    </w:tbl>
    <w:p w:rsidR="00000000" w:rsidRPr="000D2A89" w:rsidP="000D2A89">
      <w:pPr>
        <w:pStyle w:val="BodyText"/>
      </w:pPr>
    </w:p>
    <w:p w:rsidR="00000000" w:rsidRPr="000D2A89" w:rsidP="000D2A89">
      <w:pPr>
        <w:pStyle w:val="AllowPageBreak"/>
      </w:pPr>
    </w:p>
    <w:p w:rsidR="00000000" w:rsidRPr="000D2A89" w:rsidP="000D2A89">
      <w:pPr>
        <w:pStyle w:val="Heading1"/>
      </w:pPr>
      <w:bookmarkStart w:id="11" w:name="O_593629"/>
      <w:bookmarkEnd w:id="11"/>
      <w:r w:rsidRPr="000D2A89">
        <w:t>Range Statement</w:t>
      </w:r>
    </w:p>
    <w:tbl>
      <w:tblPr>
        <w:tblW w:w="9450" w:type="dxa"/>
        <w:tblLayout w:type="fixed"/>
        <w:tblCellMar>
          <w:left w:w="62" w:type="dxa"/>
          <w:right w:w="62" w:type="dxa"/>
        </w:tblCellMar>
        <w:tblLook w:val="0000"/>
      </w:tblPr>
      <w:tblGrid>
        <w:gridCol w:w="3531"/>
        <w:gridCol w:w="5919"/>
      </w:tblGrid>
      <w:tr w:rsidTr="00E81FE0">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A89">
            <w:pPr>
              <w:pStyle w:val="BodyText"/>
              <w:rPr>
                <w:lang w:val="en-NZ"/>
              </w:rPr>
            </w:pPr>
            <w:r w:rsidRPr="000D2A89">
              <w:t>The range statement relates</w:t>
            </w:r>
            <w:r w:rsidRPr="000D2A89">
              <w:t xml:space="preserve"> to the unit of competency as a whole. It allows for different work environments and situations that may affect performance. Bold italicised wording, if used in the performance criteria, is detailed below. Essential operating conditions that may be present</w:t>
            </w:r>
            <w:r w:rsidRPr="000D2A89">
              <w:t xml:space="preserve"> with training and assessment (depending on the work situation, needs of the candidate, accessibility of the item, and local industry and regional contexts) may also be included.</w:t>
            </w:r>
          </w:p>
        </w:tc>
      </w:tr>
      <w:tr w:rsidTr="00E81FE0">
        <w:tblPrEx>
          <w:tblW w:w="9450" w:type="dxa"/>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A89">
            <w:pPr>
              <w:pStyle w:val="BodyText"/>
              <w:rPr>
                <w:lang w:val="en-NZ"/>
              </w:rPr>
            </w:pPr>
            <w:r w:rsidRPr="000D2A89">
              <w:rPr>
                <w:rStyle w:val="SpecialBold"/>
              </w:rPr>
              <w:t>Applicable maintenance documentation</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A89" w:rsidP="000D2A89">
            <w:pPr>
              <w:pStyle w:val="BodyText"/>
            </w:pPr>
            <w:r w:rsidRPr="000D2A89">
              <w:t>Applicable maintenance documentation m</w:t>
            </w:r>
            <w:r w:rsidRPr="000D2A89">
              <w:t>ay include:</w:t>
            </w:r>
          </w:p>
          <w:p w:rsidR="00000000" w:rsidRPr="000D2A89" w:rsidP="000D2A89">
            <w:pPr>
              <w:pStyle w:val="ListBullet"/>
            </w:pPr>
            <w:r w:rsidRPr="000D2A89">
              <w:t>defect reports</w:t>
            </w:r>
          </w:p>
          <w:p w:rsidR="00000000" w:rsidRPr="000D2A89" w:rsidP="000D2A89">
            <w:pPr>
              <w:pStyle w:val="ListBullet"/>
            </w:pPr>
            <w:r w:rsidRPr="000D2A89">
              <w:t>maintenance releases containing details of unserviceabilities</w:t>
            </w:r>
          </w:p>
          <w:p w:rsidR="00000000" w:rsidRPr="000D2A89" w:rsidP="000D2A89">
            <w:pPr>
              <w:pStyle w:val="ListBullet"/>
            </w:pPr>
            <w:r w:rsidRPr="000D2A89">
              <w:t>modification orders or leaflets</w:t>
            </w:r>
          </w:p>
          <w:p w:rsidR="00000000" w:rsidRPr="000D2A89" w:rsidP="000D2A89">
            <w:pPr>
              <w:pStyle w:val="ListBullet"/>
            </w:pPr>
            <w:r w:rsidRPr="000D2A89">
              <w:t>service bulletins</w:t>
            </w:r>
          </w:p>
          <w:p w:rsidR="00000000" w:rsidRPr="000D2A89" w:rsidP="000D2A89">
            <w:pPr>
              <w:pStyle w:val="ListBullet"/>
            </w:pPr>
            <w:r w:rsidRPr="000D2A89">
              <w:t>instructions issued by airworthiness authorities</w:t>
            </w:r>
          </w:p>
          <w:p w:rsidR="00000000" w:rsidRPr="000D2A89" w:rsidP="000D2A89">
            <w:pPr>
              <w:pStyle w:val="ListBullet"/>
            </w:pPr>
            <w:r w:rsidRPr="000D2A89">
              <w:t>work instructions</w:t>
            </w:r>
          </w:p>
          <w:p w:rsidR="00000000" w:rsidRPr="000D2A89" w:rsidP="000D2A89">
            <w:pPr>
              <w:pStyle w:val="ListBullet"/>
            </w:pPr>
            <w:r w:rsidRPr="000D2A89">
              <w:t>servicing schedules</w:t>
            </w:r>
          </w:p>
          <w:p w:rsidR="00000000" w:rsidRPr="000D2A89" w:rsidP="000D2A89">
            <w:pPr>
              <w:pStyle w:val="ListBullet"/>
            </w:pPr>
            <w:r w:rsidRPr="000D2A89">
              <w:t>maintenance manuals</w:t>
            </w:r>
          </w:p>
          <w:p w:rsidR="00000000" w:rsidRPr="000D2A89" w:rsidP="000D2A89">
            <w:pPr>
              <w:pStyle w:val="ListBullet"/>
            </w:pPr>
            <w:r w:rsidRPr="000D2A89">
              <w:t>standards and drawings</w:t>
            </w:r>
          </w:p>
          <w:p w:rsidR="00000000" w:rsidRPr="000D2A89" w:rsidP="000D2A89">
            <w:pPr>
              <w:pStyle w:val="ListBullet"/>
            </w:pPr>
            <w:r w:rsidRPr="000D2A89">
              <w:t>applicable airworthiness and explosive ordnance regulations</w:t>
            </w:r>
          </w:p>
          <w:p w:rsidR="00000000" w:rsidRPr="000D2A89" w:rsidP="000D2A89">
            <w:pPr>
              <w:pStyle w:val="ListBullet"/>
            </w:pPr>
            <w:r w:rsidRPr="000D2A89">
              <w:t>standing instructions</w:t>
            </w:r>
          </w:p>
          <w:p w:rsidR="00000000" w:rsidRPr="000D2A89" w:rsidP="000D2A89">
            <w:pPr>
              <w:pStyle w:val="ListBullet"/>
            </w:pPr>
            <w:r w:rsidRPr="000D2A89">
              <w:t>quality manuals</w:t>
            </w:r>
          </w:p>
          <w:p w:rsidR="00000000" w:rsidRPr="000D2A89" w:rsidP="000D2A89">
            <w:pPr>
              <w:pStyle w:val="ListBullet"/>
            </w:pPr>
            <w:r w:rsidRPr="000D2A89">
              <w:t>safety manuals</w:t>
            </w:r>
          </w:p>
          <w:p w:rsidR="00000000" w:rsidP="000D2A89">
            <w:pPr>
              <w:pStyle w:val="ListBullet"/>
              <w:rPr>
                <w:lang w:val="en-NZ"/>
              </w:rPr>
            </w:pPr>
            <w:r w:rsidRPr="000D2A89">
              <w:t>maintenance and explosives records</w:t>
            </w:r>
          </w:p>
        </w:tc>
      </w:tr>
      <w:tr w:rsidTr="00E81FE0">
        <w:tblPrEx>
          <w:tblW w:w="9450" w:type="dxa"/>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A89">
            <w:pPr>
              <w:pStyle w:val="BodyText"/>
              <w:rPr>
                <w:lang w:val="en-NZ"/>
              </w:rPr>
            </w:pPr>
            <w:r w:rsidRPr="000D2A89">
              <w:rPr>
                <w:rStyle w:val="SpecialBold"/>
              </w:rPr>
              <w:t>Required maintenance tasks</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A89" w:rsidP="000D2A89">
            <w:pPr>
              <w:pStyle w:val="BodyText"/>
            </w:pPr>
            <w:r w:rsidRPr="000D2A89">
              <w:t>Required maintenance tasks may include:</w:t>
            </w:r>
          </w:p>
          <w:p w:rsidR="00000000" w:rsidRPr="000D2A89" w:rsidP="000D2A89">
            <w:pPr>
              <w:pStyle w:val="ListBullet"/>
            </w:pPr>
            <w:r w:rsidRPr="000D2A89">
              <w:t>arming and de-arming</w:t>
            </w:r>
          </w:p>
          <w:p w:rsidR="00000000" w:rsidRPr="000D2A89" w:rsidP="000D2A89">
            <w:pPr>
              <w:pStyle w:val="ListBullet"/>
            </w:pPr>
            <w:r w:rsidRPr="000D2A89">
              <w:t>cleaning</w:t>
            </w:r>
          </w:p>
          <w:p w:rsidR="00000000" w:rsidRPr="000D2A89" w:rsidP="000D2A89">
            <w:pPr>
              <w:pStyle w:val="ListBullet"/>
            </w:pPr>
            <w:r w:rsidRPr="000D2A89">
              <w:t>component changes</w:t>
            </w:r>
          </w:p>
          <w:p w:rsidR="00000000" w:rsidP="000D2A89">
            <w:pPr>
              <w:pStyle w:val="ListBullet"/>
              <w:rPr>
                <w:lang w:val="en-NZ"/>
              </w:rPr>
            </w:pPr>
            <w:r w:rsidRPr="000D2A89">
              <w:t>painting</w:t>
            </w:r>
          </w:p>
        </w:tc>
      </w:tr>
      <w:tr w:rsidTr="00E81FE0">
        <w:tblPrEx>
          <w:tblW w:w="9450" w:type="dxa"/>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A89">
            <w:pPr>
              <w:pStyle w:val="BodyText"/>
              <w:rPr>
                <w:lang w:val="en-NZ"/>
              </w:rPr>
            </w:pPr>
            <w:r w:rsidRPr="000D2A89">
              <w:rPr>
                <w:rStyle w:val="SpecialBold"/>
              </w:rPr>
              <w:t>Egress system components</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A89" w:rsidP="000D2A89">
            <w:pPr>
              <w:pStyle w:val="BodyText"/>
            </w:pPr>
            <w:r w:rsidRPr="000D2A89">
              <w:t>Non-explosive components may include:</w:t>
            </w:r>
          </w:p>
          <w:p w:rsidR="00000000" w:rsidRPr="000D2A89" w:rsidP="000D2A89">
            <w:pPr>
              <w:pStyle w:val="ListBullet"/>
            </w:pPr>
            <w:r w:rsidRPr="000D2A89">
              <w:t>barometric and gravitational sensing components</w:t>
            </w:r>
          </w:p>
          <w:p w:rsidR="00000000" w:rsidRPr="000D2A89" w:rsidP="000D2A89">
            <w:pPr>
              <w:pStyle w:val="ListBullet"/>
            </w:pPr>
            <w:r w:rsidRPr="000D2A89">
              <w:t>canopy jettison components</w:t>
            </w:r>
          </w:p>
          <w:p w:rsidR="00000000" w:rsidRPr="000D2A89" w:rsidP="000D2A89">
            <w:pPr>
              <w:pStyle w:val="ListBullet"/>
            </w:pPr>
            <w:r w:rsidRPr="000D2A89">
              <w:t>catapults</w:t>
            </w:r>
          </w:p>
          <w:p w:rsidR="00000000" w:rsidRPr="000D2A89" w:rsidP="000D2A89">
            <w:pPr>
              <w:pStyle w:val="ListBullet"/>
            </w:pPr>
            <w:r w:rsidRPr="000D2A89">
              <w:t>ejection seat railings and guns</w:t>
            </w:r>
          </w:p>
          <w:p w:rsidR="00000000" w:rsidRPr="000D2A89" w:rsidP="000D2A89">
            <w:pPr>
              <w:pStyle w:val="ListBullet"/>
            </w:pPr>
            <w:r w:rsidRPr="000D2A89">
              <w:t>inertia reels</w:t>
            </w:r>
          </w:p>
          <w:p w:rsidR="00000000" w:rsidRPr="000D2A89" w:rsidP="000D2A89">
            <w:pPr>
              <w:pStyle w:val="ListBullet"/>
            </w:pPr>
            <w:r w:rsidRPr="000D2A89">
              <w:t>par</w:t>
            </w:r>
            <w:r w:rsidRPr="000D2A89">
              <w:t>achute assemblies</w:t>
            </w:r>
          </w:p>
          <w:p w:rsidR="00000000" w:rsidRPr="000D2A89" w:rsidP="000D2A89">
            <w:pPr>
              <w:pStyle w:val="ListBullet"/>
            </w:pPr>
            <w:r w:rsidRPr="000D2A89">
              <w:t>pressure source bottles</w:t>
            </w:r>
          </w:p>
          <w:p w:rsidR="00000000" w:rsidRPr="000D2A89" w:rsidP="000D2A89">
            <w:pPr>
              <w:pStyle w:val="ListBullet"/>
            </w:pPr>
            <w:r w:rsidRPr="000D2A89">
              <w:t>survival equipment</w:t>
            </w:r>
          </w:p>
          <w:p w:rsidR="00000000" w:rsidRPr="000D2A89" w:rsidP="000D2A89">
            <w:pPr>
              <w:pStyle w:val="BodyText"/>
            </w:pPr>
            <w:r w:rsidRPr="000D2A89">
              <w:t>Explosive components may include:</w:t>
            </w:r>
          </w:p>
          <w:p w:rsidR="00000000" w:rsidRPr="000D2A89" w:rsidP="000D2A89">
            <w:pPr>
              <w:pStyle w:val="ListBullet"/>
            </w:pPr>
            <w:r w:rsidRPr="000D2A89">
              <w:t>ejection handles</w:t>
            </w:r>
          </w:p>
          <w:p w:rsidR="00000000" w:rsidRPr="000D2A89" w:rsidP="000D2A89">
            <w:pPr>
              <w:pStyle w:val="ListBullet"/>
            </w:pPr>
            <w:r w:rsidRPr="000D2A89">
              <w:t>ejection seat cartridges and initiators</w:t>
            </w:r>
          </w:p>
          <w:p w:rsidR="00000000" w:rsidRPr="000D2A89" w:rsidP="000D2A89">
            <w:pPr>
              <w:pStyle w:val="ListBullet"/>
            </w:pPr>
            <w:r w:rsidRPr="000D2A89">
              <w:t>explosive connectors</w:t>
            </w:r>
          </w:p>
          <w:p w:rsidR="00000000" w:rsidRPr="000D2A89" w:rsidP="000D2A89">
            <w:pPr>
              <w:pStyle w:val="ListBullet"/>
            </w:pPr>
            <w:r w:rsidRPr="000D2A89">
              <w:t>explosive delay elements</w:t>
            </w:r>
          </w:p>
          <w:p w:rsidR="00000000" w:rsidRPr="000D2A89" w:rsidP="000D2A89">
            <w:pPr>
              <w:pStyle w:val="ListBullet"/>
            </w:pPr>
            <w:r w:rsidRPr="000D2A89">
              <w:t>flexible linear shaped charges</w:t>
            </w:r>
          </w:p>
          <w:p w:rsidR="00000000" w:rsidRPr="000D2A89" w:rsidP="000D2A89">
            <w:pPr>
              <w:pStyle w:val="ListBullet"/>
            </w:pPr>
            <w:r w:rsidRPr="000D2A89">
              <w:t>rocket motors</w:t>
            </w:r>
          </w:p>
          <w:p w:rsidR="00000000" w:rsidRPr="000D2A89" w:rsidP="000D2A89">
            <w:pPr>
              <w:pStyle w:val="ListBullet"/>
            </w:pPr>
            <w:r w:rsidRPr="000D2A89">
              <w:t>shielded mild detonating cord</w:t>
            </w:r>
          </w:p>
          <w:p w:rsidR="00000000" w:rsidP="000D2A89">
            <w:pPr>
              <w:pStyle w:val="ListBullet"/>
              <w:rPr>
                <w:lang w:val="en-NZ"/>
              </w:rPr>
            </w:pPr>
            <w:r w:rsidRPr="000D2A89">
              <w:t>special function cartridges</w:t>
            </w:r>
          </w:p>
        </w:tc>
      </w:tr>
      <w:tr w:rsidTr="00E81FE0">
        <w:tblPrEx>
          <w:tblW w:w="9450" w:type="dxa"/>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A89">
            <w:pPr>
              <w:pStyle w:val="BodyText"/>
              <w:rPr>
                <w:lang w:val="en-NZ"/>
              </w:rPr>
            </w:pPr>
            <w:r w:rsidRPr="000D2A89">
              <w:rPr>
                <w:rStyle w:val="SpecialBold"/>
              </w:rPr>
              <w:t>Application</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A89" w:rsidP="000D2A89">
            <w:pPr>
              <w:pStyle w:val="BodyText"/>
            </w:pPr>
            <w:r w:rsidRPr="000D2A89">
              <w:t>Application of this unit may relate to:</w:t>
            </w:r>
          </w:p>
          <w:p w:rsidR="00000000" w:rsidRPr="000D2A89" w:rsidP="000D2A89">
            <w:pPr>
              <w:pStyle w:val="ListBullet"/>
            </w:pPr>
            <w:r w:rsidRPr="000D2A89">
              <w:t>scheduled or unscheduled maintenance activities</w:t>
            </w:r>
          </w:p>
          <w:p w:rsidR="00000000" w:rsidP="000D2A89">
            <w:pPr>
              <w:pStyle w:val="ListBullet"/>
              <w:rPr>
                <w:lang w:val="en-NZ"/>
              </w:rPr>
            </w:pPr>
            <w:r w:rsidRPr="000D2A89">
              <w:t>individual or team-related activities</w:t>
            </w:r>
          </w:p>
        </w:tc>
      </w:tr>
      <w:tr w:rsidTr="00E81FE0">
        <w:tblPrEx>
          <w:tblW w:w="9450" w:type="dxa"/>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A89">
            <w:pPr>
              <w:pStyle w:val="BodyText"/>
              <w:rPr>
                <w:lang w:val="en-NZ"/>
              </w:rPr>
            </w:pPr>
            <w:r w:rsidRPr="000D2A89">
              <w:rPr>
                <w:rStyle w:val="SpecialBold"/>
              </w:rPr>
              <w:t>Procedures and requirements</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A89" w:rsidP="000D2A89">
            <w:pPr>
              <w:pStyle w:val="BodyText"/>
            </w:pPr>
            <w:r w:rsidRPr="000D2A89">
              <w:t>Refer to industry standard procedures specified by manufacturers, regulatory authorities or the enterprise</w:t>
            </w:r>
          </w:p>
        </w:tc>
      </w:tr>
    </w:tbl>
    <w:p w:rsidR="00000000" w:rsidRPr="000D2A89" w:rsidP="000D2A89">
      <w:pPr>
        <w:pStyle w:val="BodyText"/>
      </w:pPr>
    </w:p>
    <w:p w:rsidR="00000000" w:rsidRPr="000D2A89" w:rsidP="000D2A89">
      <w:pPr>
        <w:pStyle w:val="AllowPageBreak"/>
      </w:pPr>
    </w:p>
    <w:p w:rsidR="00000000" w:rsidRPr="000D2A89" w:rsidP="000D2A89">
      <w:pPr>
        <w:pStyle w:val="Heading1"/>
      </w:pPr>
      <w:bookmarkStart w:id="12" w:name="O_593628"/>
      <w:bookmarkEnd w:id="12"/>
      <w:r w:rsidRPr="000D2A89">
        <w:t>Unit Sector(s)</w:t>
      </w:r>
    </w:p>
    <w:p w:rsidR="00000000" w:rsidRPr="000D2A89" w:rsidP="000D2A89">
      <w:pPr>
        <w:pStyle w:val="BodyText"/>
      </w:pPr>
      <w:r w:rsidRPr="000D2A89">
        <w:t>Aviation maintenance</w:t>
      </w:r>
    </w:p>
    <w:p w:rsidR="00000000" w:rsidRPr="000D2A89" w:rsidP="000D2A89">
      <w:pPr>
        <w:pStyle w:val="AllowPageBreak"/>
      </w:pPr>
    </w:p>
    <w:p w:rsidR="00000000" w:rsidRPr="000D2A89" w:rsidP="000D2A89">
      <w:pPr>
        <w:pStyle w:val="Heading1"/>
      </w:pPr>
      <w:bookmarkStart w:id="13" w:name="O_593627"/>
      <w:bookmarkEnd w:id="13"/>
      <w:r w:rsidRPr="000D2A89">
        <w:t>Competency field</w:t>
      </w:r>
    </w:p>
    <w:p w:rsidR="00000000" w:rsidRPr="000D2A89" w:rsidP="000D2A89">
      <w:pPr>
        <w:pStyle w:val="BodyText"/>
      </w:pPr>
      <w:r w:rsidRPr="000D2A89">
        <w:t>Not applicable.</w:t>
      </w:r>
    </w:p>
    <w:p w:rsidR="00000000" w:rsidRPr="000D2A89" w:rsidP="000D2A89">
      <w:pPr>
        <w:pStyle w:val="AllowPageBreak"/>
      </w:pPr>
    </w:p>
    <w:p w:rsidR="00000000" w:rsidRPr="000D2A89" w:rsidP="000D2A89">
      <w:pPr>
        <w:pStyle w:val="Heading1"/>
      </w:pPr>
      <w:bookmarkStart w:id="14" w:name="O_593626"/>
      <w:bookmarkEnd w:id="14"/>
      <w:r w:rsidRPr="000D2A89">
        <w:t>Co-requisite units</w:t>
      </w:r>
    </w:p>
    <w:p w:rsidR="00000000" w:rsidRPr="000D2A89" w:rsidP="000D2A89">
      <w:pPr>
        <w:pStyle w:val="BodyText"/>
      </w:pPr>
      <w:r w:rsidRPr="000D2A89">
        <w:t>Not applicable</w:t>
      </w:r>
    </w:p>
    <w:p w:rsidR="00000000" w:rsidRPr="000D2A89" w:rsidP="000D2A89"/>
    <w:sectPr w:rsidSect="000D2A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A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A89" w:rsidRPr="00E81FE0" w:rsidP="00E81F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A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FE0" w:rsidP="000D2A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81FE0" w:rsidP="000D2A8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81FE0" w:rsidP="000D2A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A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A89" w:rsidRPr="00E81FE0" w:rsidP="00E81F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A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FE0" w:rsidRPr="002D2AF8" w:rsidP="000D2A89">
    <w:pPr>
      <w:pStyle w:val="Header"/>
      <w:framePr w:wrap="around"/>
    </w:pPr>
    <w:r>
      <w:fldChar w:fldCharType="begin"/>
    </w:r>
    <w:r>
      <w:instrText xml:space="preserve"> TITLE   \* MERGEFORMAT </w:instrText>
    </w:r>
    <w:r>
      <w:fldChar w:fldCharType="separate"/>
    </w:r>
    <w:r>
      <w:t>MEA601A Maintain aircraft egress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August 2013</w:t>
    </w:r>
    <w:r>
      <w:fldChar w:fldCharType="end"/>
    </w:r>
  </w:p>
  <w:p w:rsidR="00E81FE0" w:rsidP="000D2A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9C20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1EB4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A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2A89"/>
    <w:pPr>
      <w:spacing w:before="360" w:after="60"/>
      <w:outlineLvl w:val="0"/>
    </w:pPr>
    <w:rPr>
      <w:sz w:val="32"/>
    </w:rPr>
  </w:style>
  <w:style w:type="paragraph" w:styleId="Heading2">
    <w:name w:val="heading 2"/>
    <w:basedOn w:val="HeadingBase"/>
    <w:next w:val="BodyText"/>
    <w:link w:val="Heading2Char"/>
    <w:qFormat/>
    <w:rsid w:val="000D2A89"/>
    <w:pPr>
      <w:keepLines/>
      <w:spacing w:before="240" w:after="120"/>
      <w:outlineLvl w:val="1"/>
    </w:pPr>
    <w:rPr>
      <w:sz w:val="28"/>
      <w:szCs w:val="40"/>
    </w:rPr>
  </w:style>
  <w:style w:type="paragraph" w:styleId="Heading3">
    <w:name w:val="heading 3"/>
    <w:basedOn w:val="HeadingBase"/>
    <w:next w:val="BodyText"/>
    <w:link w:val="Heading3Char"/>
    <w:qFormat/>
    <w:rsid w:val="000D2A89"/>
    <w:pPr>
      <w:spacing w:before="180" w:after="120"/>
      <w:outlineLvl w:val="2"/>
    </w:pPr>
    <w:rPr>
      <w:spacing w:val="-10"/>
      <w:kern w:val="32"/>
    </w:rPr>
  </w:style>
  <w:style w:type="paragraph" w:styleId="Heading4">
    <w:name w:val="heading 4"/>
    <w:basedOn w:val="HeadingBase"/>
    <w:next w:val="BodyText"/>
    <w:link w:val="Heading4Char"/>
    <w:qFormat/>
    <w:rsid w:val="000D2A89"/>
    <w:pPr>
      <w:spacing w:before="160" w:after="120"/>
      <w:outlineLvl w:val="3"/>
    </w:pPr>
    <w:rPr>
      <w:sz w:val="22"/>
    </w:rPr>
  </w:style>
  <w:style w:type="paragraph" w:styleId="Heading5">
    <w:name w:val="heading 5"/>
    <w:basedOn w:val="HeadingBase"/>
    <w:next w:val="Normal"/>
    <w:link w:val="Heading5Char"/>
    <w:qFormat/>
    <w:rsid w:val="000D2A89"/>
    <w:pPr>
      <w:spacing w:before="80"/>
      <w:outlineLvl w:val="4"/>
    </w:pPr>
    <w:rPr>
      <w:color w:val="918585"/>
      <w:sz w:val="20"/>
    </w:rPr>
  </w:style>
  <w:style w:type="paragraph" w:styleId="Heading6">
    <w:name w:val="heading 6"/>
    <w:basedOn w:val="HeadingBase"/>
    <w:next w:val="Normal"/>
    <w:link w:val="Heading6Char"/>
    <w:qFormat/>
    <w:rsid w:val="000D2A89"/>
    <w:pPr>
      <w:spacing w:before="60"/>
      <w:outlineLvl w:val="5"/>
    </w:pPr>
    <w:rPr>
      <w:color w:val="918585"/>
      <w:sz w:val="20"/>
    </w:rPr>
  </w:style>
  <w:style w:type="paragraph" w:styleId="Heading7">
    <w:name w:val="heading 7"/>
    <w:basedOn w:val="Normal"/>
    <w:next w:val="Normal"/>
    <w:link w:val="Heading7Char"/>
    <w:qFormat/>
    <w:rsid w:val="000D2A89"/>
    <w:pPr>
      <w:ind w:left="720"/>
      <w:outlineLvl w:val="6"/>
    </w:pPr>
    <w:rPr>
      <w:i/>
    </w:rPr>
  </w:style>
  <w:style w:type="paragraph" w:styleId="Heading8">
    <w:name w:val="heading 8"/>
    <w:basedOn w:val="Normal"/>
    <w:next w:val="Normal"/>
    <w:link w:val="Heading8Char"/>
    <w:qFormat/>
    <w:rsid w:val="000D2A89"/>
    <w:pPr>
      <w:ind w:left="720"/>
      <w:outlineLvl w:val="7"/>
    </w:pPr>
    <w:rPr>
      <w:i/>
    </w:rPr>
  </w:style>
  <w:style w:type="paragraph" w:styleId="Heading9">
    <w:name w:val="heading 9"/>
    <w:basedOn w:val="Normal"/>
    <w:next w:val="Normal"/>
    <w:link w:val="Heading9Char"/>
    <w:qFormat/>
    <w:rsid w:val="000D2A89"/>
    <w:pPr>
      <w:ind w:left="720"/>
      <w:outlineLvl w:val="8"/>
    </w:pPr>
    <w:rPr>
      <w:i/>
    </w:rPr>
  </w:style>
  <w:style w:type="character" w:default="1" w:styleId="DefaultParagraphFont">
    <w:name w:val="Default Paragraph Font"/>
    <w:uiPriority w:val="1"/>
    <w:unhideWhenUsed/>
    <w:rsid w:val="000D2A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2A89"/>
  </w:style>
  <w:style w:type="character" w:customStyle="1" w:styleId="Heading1Char">
    <w:name w:val="Heading 1 Char"/>
    <w:basedOn w:val="DefaultParagraphFont"/>
    <w:link w:val="Heading1"/>
    <w:rsid w:val="000D2A89"/>
    <w:rPr>
      <w:rFonts w:ascii="Times New Roman" w:eastAsia="Times New Roman" w:hAnsi="Times New Roman" w:cs="Times New Roman"/>
      <w:b/>
      <w:sz w:val="32"/>
      <w:szCs w:val="20"/>
      <w:lang w:eastAsia="en-US"/>
    </w:rPr>
  </w:style>
  <w:style w:type="paragraph" w:styleId="BodyText">
    <w:name w:val="Body Text"/>
    <w:basedOn w:val="Normal"/>
    <w:link w:val="BodyTextChar"/>
    <w:rsid w:val="000D2A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2A89"/>
    <w:rPr>
      <w:rFonts w:ascii="Times New Roman" w:eastAsia="Times New Roman" w:hAnsi="Times New Roman" w:cs="Times New Roman"/>
      <w:sz w:val="24"/>
      <w:lang w:eastAsia="en-US"/>
    </w:rPr>
  </w:style>
  <w:style w:type="paragraph" w:styleId="List">
    <w:name w:val="List"/>
    <w:basedOn w:val="BodyText"/>
    <w:next w:val="BodyText"/>
    <w:rsid w:val="000D2A89"/>
    <w:pPr>
      <w:tabs>
        <w:tab w:val="left" w:pos="340"/>
      </w:tabs>
      <w:spacing w:before="60" w:after="60"/>
      <w:ind w:left="340" w:hanging="340"/>
    </w:pPr>
  </w:style>
  <w:style w:type="paragraph" w:styleId="ListBullet">
    <w:name w:val="List Bullet"/>
    <w:basedOn w:val="List"/>
    <w:rsid w:val="000D2A89"/>
    <w:pPr>
      <w:numPr>
        <w:numId w:val="12"/>
      </w:numPr>
      <w:tabs>
        <w:tab w:val="clear" w:pos="340"/>
      </w:tabs>
      <w:spacing w:before="40" w:after="40"/>
    </w:pPr>
  </w:style>
  <w:style w:type="character" w:customStyle="1" w:styleId="SpecialBold">
    <w:name w:val="Special Bold"/>
    <w:basedOn w:val="DefaultParagraphFont"/>
    <w:rsid w:val="000D2A89"/>
    <w:rPr>
      <w:b/>
      <w:spacing w:val="0"/>
    </w:rPr>
  </w:style>
  <w:style w:type="paragraph" w:customStyle="1" w:styleId="SuperHeading">
    <w:name w:val="SuperHeading"/>
    <w:basedOn w:val="Normal"/>
    <w:rsid w:val="000D2A89"/>
    <w:pPr>
      <w:spacing w:before="240" w:after="120"/>
      <w:outlineLvl w:val="0"/>
    </w:pPr>
    <w:rPr>
      <w:rFonts w:ascii="Times New Roman" w:hAnsi="Times New Roman"/>
      <w:b/>
      <w:sz w:val="32"/>
    </w:rPr>
  </w:style>
  <w:style w:type="paragraph" w:customStyle="1" w:styleId="AllowPageBreak">
    <w:name w:val="AllowPageBreak"/>
    <w:rsid w:val="000D2A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2A89"/>
    <w:pPr>
      <w:tabs>
        <w:tab w:val="left" w:pos="680"/>
      </w:tabs>
      <w:spacing w:before="60" w:after="60"/>
      <w:ind w:left="680" w:hanging="340"/>
    </w:pPr>
  </w:style>
  <w:style w:type="character" w:customStyle="1" w:styleId="BoldandItalics">
    <w:name w:val="Bold and Italics"/>
    <w:qFormat/>
    <w:rsid w:val="000D2A89"/>
    <w:rPr>
      <w:b/>
      <w:i/>
      <w:u w:val="none"/>
    </w:rPr>
  </w:style>
  <w:style w:type="character" w:customStyle="1" w:styleId="Heading2Char">
    <w:name w:val="Heading 2 Char"/>
    <w:basedOn w:val="DefaultParagraphFont"/>
    <w:link w:val="Heading2"/>
    <w:rsid w:val="000D2A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2A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2A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2A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2A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2A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2A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2A89"/>
    <w:rPr>
      <w:rFonts w:ascii="Courier New" w:eastAsia="Times New Roman" w:hAnsi="Courier New" w:cs="Times New Roman"/>
      <w:i/>
      <w:szCs w:val="20"/>
      <w:lang w:eastAsia="en-US"/>
    </w:rPr>
  </w:style>
  <w:style w:type="paragraph" w:customStyle="1" w:styleId="HeadingBase">
    <w:name w:val="Heading Base"/>
    <w:rsid w:val="000D2A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2A89"/>
    <w:pPr>
      <w:tabs>
        <w:tab w:val="right" w:leader="dot" w:pos="9072"/>
      </w:tabs>
      <w:ind w:left="567"/>
    </w:pPr>
    <w:rPr>
      <w:szCs w:val="22"/>
    </w:rPr>
  </w:style>
  <w:style w:type="paragraph" w:customStyle="1" w:styleId="TOCBase">
    <w:name w:val="TOC Base"/>
    <w:rsid w:val="000D2A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2A89"/>
    <w:pPr>
      <w:tabs>
        <w:tab w:val="right" w:leader="dot" w:pos="9072"/>
      </w:tabs>
      <w:spacing w:before="40" w:after="40"/>
      <w:ind w:left="284"/>
    </w:pPr>
    <w:rPr>
      <w:rFonts w:ascii="Times New Roman" w:hAnsi="Times New Roman"/>
    </w:rPr>
  </w:style>
  <w:style w:type="paragraph" w:styleId="TOC1">
    <w:name w:val="toc 1"/>
    <w:basedOn w:val="TOCBase"/>
    <w:next w:val="Normal"/>
    <w:rsid w:val="000D2A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2A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2A89"/>
    <w:rPr>
      <w:rFonts w:ascii="Times New Roman" w:eastAsia="Times New Roman" w:hAnsi="Times New Roman" w:cs="Times New Roman"/>
      <w:sz w:val="16"/>
      <w:lang w:eastAsia="en-US"/>
    </w:rPr>
  </w:style>
  <w:style w:type="paragraph" w:styleId="Title">
    <w:name w:val="Title"/>
    <w:basedOn w:val="HeadingBase"/>
    <w:link w:val="TitleChar"/>
    <w:qFormat/>
    <w:rsid w:val="000D2A89"/>
    <w:pPr>
      <w:spacing w:before="5040"/>
      <w:jc w:val="center"/>
    </w:pPr>
    <w:rPr>
      <w:sz w:val="48"/>
      <w:szCs w:val="72"/>
      <w:lang w:val="en-US"/>
    </w:rPr>
  </w:style>
  <w:style w:type="character" w:customStyle="1" w:styleId="TitleChar">
    <w:name w:val="Title Char"/>
    <w:basedOn w:val="DefaultParagraphFont"/>
    <w:link w:val="Title"/>
    <w:rsid w:val="000D2A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2A89"/>
    <w:pPr>
      <w:tabs>
        <w:tab w:val="left" w:pos="3600"/>
        <w:tab w:val="left" w:pos="3958"/>
      </w:tabs>
    </w:pPr>
  </w:style>
  <w:style w:type="paragraph" w:customStyle="1" w:styleId="Note">
    <w:name w:val="Note"/>
    <w:basedOn w:val="BodyText"/>
    <w:rsid w:val="000D2A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2A89"/>
    <w:pPr>
      <w:framePr w:wrap="auto" w:hAnchor="text" w:y="6049"/>
    </w:pPr>
    <w:rPr>
      <w:color w:val="000000"/>
      <w:sz w:val="40"/>
    </w:rPr>
  </w:style>
  <w:style w:type="paragraph" w:customStyle="1" w:styleId="TOCTitle">
    <w:name w:val="TOCTitle"/>
    <w:basedOn w:val="Heading1"/>
    <w:rsid w:val="000D2A89"/>
    <w:pPr>
      <w:spacing w:after="240"/>
      <w:jc w:val="center"/>
      <w:outlineLvl w:val="9"/>
    </w:pPr>
    <w:rPr>
      <w:caps/>
    </w:rPr>
  </w:style>
  <w:style w:type="paragraph" w:customStyle="1" w:styleId="Version">
    <w:name w:val="Version"/>
    <w:rsid w:val="000D2A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2A89"/>
    <w:pPr>
      <w:numPr>
        <w:numId w:val="13"/>
      </w:numPr>
      <w:tabs>
        <w:tab w:val="clear" w:pos="680"/>
      </w:tabs>
    </w:pPr>
  </w:style>
  <w:style w:type="paragraph" w:styleId="Index1">
    <w:name w:val="index 1"/>
    <w:basedOn w:val="Normal"/>
    <w:next w:val="Normal"/>
    <w:semiHidden/>
    <w:rsid w:val="000D2A89"/>
    <w:pPr>
      <w:keepNext w:val="0"/>
      <w:tabs>
        <w:tab w:val="right" w:pos="4176"/>
      </w:tabs>
      <w:ind w:left="198" w:hanging="198"/>
    </w:pPr>
    <w:rPr>
      <w:rFonts w:ascii="Garamond" w:hAnsi="Garamond"/>
    </w:rPr>
  </w:style>
  <w:style w:type="paragraph" w:styleId="IndexHeading">
    <w:name w:val="index heading"/>
    <w:basedOn w:val="Normal"/>
    <w:next w:val="Index1"/>
    <w:semiHidden/>
    <w:rsid w:val="000D2A89"/>
    <w:pPr>
      <w:spacing w:before="120" w:after="120"/>
    </w:pPr>
    <w:rPr>
      <w:rFonts w:ascii="Arial" w:hAnsi="Arial"/>
      <w:b/>
      <w:color w:val="918585"/>
      <w:sz w:val="24"/>
    </w:rPr>
  </w:style>
  <w:style w:type="paragraph" w:styleId="Header">
    <w:name w:val="header"/>
    <w:basedOn w:val="Normal"/>
    <w:link w:val="HeaderChar"/>
    <w:rsid w:val="000D2A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2A89"/>
    <w:rPr>
      <w:rFonts w:ascii="Times New Roman" w:eastAsia="Times New Roman" w:hAnsi="Times New Roman" w:cs="Times New Roman"/>
      <w:sz w:val="16"/>
      <w:szCs w:val="20"/>
      <w:lang w:val="en-GB" w:eastAsia="en-US"/>
    </w:rPr>
  </w:style>
  <w:style w:type="paragraph" w:customStyle="1" w:styleId="Chapter">
    <w:name w:val="Chapter"/>
    <w:basedOn w:val="Normal"/>
    <w:rsid w:val="000D2A89"/>
    <w:pPr>
      <w:spacing w:before="240"/>
    </w:pPr>
    <w:rPr>
      <w:rFonts w:ascii="Times New Roman" w:hAnsi="Times New Roman"/>
      <w:smallCaps/>
      <w:spacing w:val="80"/>
      <w:sz w:val="28"/>
    </w:rPr>
  </w:style>
  <w:style w:type="paragraph" w:customStyle="1" w:styleId="InChapter">
    <w:name w:val="InChapter"/>
    <w:basedOn w:val="Heading3"/>
    <w:rsid w:val="000D2A89"/>
    <w:pPr>
      <w:spacing w:after="240"/>
      <w:outlineLvl w:val="9"/>
    </w:pPr>
    <w:rPr>
      <w:noProof/>
    </w:rPr>
  </w:style>
  <w:style w:type="paragraph" w:styleId="Index2">
    <w:name w:val="index 2"/>
    <w:basedOn w:val="Normal"/>
    <w:next w:val="Normal"/>
    <w:semiHidden/>
    <w:rsid w:val="000D2A89"/>
    <w:pPr>
      <w:tabs>
        <w:tab w:val="right" w:pos="4176"/>
      </w:tabs>
      <w:ind w:left="568" w:hanging="284"/>
    </w:pPr>
    <w:rPr>
      <w:rFonts w:ascii="Garamond" w:hAnsi="Garamond"/>
    </w:rPr>
  </w:style>
  <w:style w:type="paragraph" w:customStyle="1" w:styleId="Byline">
    <w:name w:val="Byline"/>
    <w:rsid w:val="000D2A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2A89"/>
    <w:pPr>
      <w:tabs>
        <w:tab w:val="clear" w:pos="3600"/>
        <w:tab w:val="clear" w:pos="3958"/>
      </w:tabs>
      <w:jc w:val="right"/>
    </w:pPr>
  </w:style>
  <w:style w:type="character" w:styleId="Emphasis">
    <w:name w:val="Emphasis"/>
    <w:basedOn w:val="DefaultParagraphFont"/>
    <w:qFormat/>
    <w:rsid w:val="000D2A89"/>
    <w:rPr>
      <w:i/>
    </w:rPr>
  </w:style>
  <w:style w:type="paragraph" w:styleId="Caption">
    <w:name w:val="caption"/>
    <w:basedOn w:val="BodyText"/>
    <w:next w:val="Normal"/>
    <w:qFormat/>
    <w:rsid w:val="000D2A89"/>
    <w:pPr>
      <w:framePr w:w="2268" w:hSpace="181" w:vSpace="181" w:wrap="around" w:vAnchor="text" w:hAnchor="page" w:x="1135" w:y="285" w:anchorLock="1"/>
    </w:pPr>
    <w:rPr>
      <w:i/>
    </w:rPr>
  </w:style>
  <w:style w:type="paragraph" w:customStyle="1" w:styleId="MiniTOCTitle">
    <w:name w:val="MiniTOCTitle"/>
    <w:basedOn w:val="Heading4"/>
    <w:rsid w:val="000D2A89"/>
    <w:pPr>
      <w:spacing w:before="240"/>
      <w:outlineLvl w:val="9"/>
    </w:pPr>
    <w:rPr>
      <w:noProof/>
      <w:sz w:val="24"/>
    </w:rPr>
  </w:style>
  <w:style w:type="paragraph" w:customStyle="1" w:styleId="MiniTOCItem">
    <w:name w:val="MiniTOCItem"/>
    <w:basedOn w:val="ListBullet"/>
    <w:rsid w:val="000D2A89"/>
    <w:pPr>
      <w:numPr>
        <w:numId w:val="0"/>
      </w:numPr>
      <w:tabs>
        <w:tab w:val="right" w:leader="dot" w:pos="6521"/>
      </w:tabs>
      <w:spacing w:before="0" w:after="0"/>
    </w:pPr>
  </w:style>
  <w:style w:type="paragraph" w:customStyle="1" w:styleId="TOFTitle">
    <w:name w:val="TOFTitle"/>
    <w:basedOn w:val="TOCTitle"/>
    <w:rsid w:val="000D2A89"/>
  </w:style>
  <w:style w:type="paragraph" w:styleId="TableofFigures">
    <w:name w:val="table of figures"/>
    <w:basedOn w:val="Normal"/>
    <w:next w:val="Normal"/>
    <w:semiHidden/>
    <w:rsid w:val="000D2A89"/>
    <w:pPr>
      <w:tabs>
        <w:tab w:val="right" w:leader="dot" w:pos="9072"/>
      </w:tabs>
      <w:ind w:left="970" w:hanging="403"/>
    </w:pPr>
    <w:rPr>
      <w:rFonts w:ascii="Times New Roman" w:hAnsi="Times New Roman"/>
      <w:b/>
    </w:rPr>
  </w:style>
  <w:style w:type="paragraph" w:styleId="ListNumber">
    <w:name w:val="List Number"/>
    <w:basedOn w:val="List"/>
    <w:rsid w:val="000D2A89"/>
    <w:pPr>
      <w:numPr>
        <w:numId w:val="10"/>
      </w:numPr>
    </w:pPr>
  </w:style>
  <w:style w:type="character" w:customStyle="1" w:styleId="WingdingSymbols">
    <w:name w:val="Wingding Symbols"/>
    <w:rsid w:val="000D2A89"/>
    <w:rPr>
      <w:rFonts w:ascii="Wingdings" w:hAnsi="Wingdings"/>
    </w:rPr>
  </w:style>
  <w:style w:type="paragraph" w:customStyle="1" w:styleId="TableHeading">
    <w:name w:val="Table Heading"/>
    <w:basedOn w:val="HeadingBase"/>
    <w:rsid w:val="000D2A89"/>
    <w:pPr>
      <w:keepLines/>
      <w:pBdr>
        <w:bottom w:val="single" w:sz="6" w:space="1" w:color="918585"/>
      </w:pBdr>
      <w:spacing w:before="240"/>
    </w:pPr>
  </w:style>
  <w:style w:type="character" w:customStyle="1" w:styleId="HotSpot">
    <w:name w:val="HotSpot"/>
    <w:rsid w:val="000D2A89"/>
    <w:rPr>
      <w:color w:val="0033CC"/>
      <w:u w:val="none"/>
    </w:rPr>
  </w:style>
  <w:style w:type="paragraph" w:customStyle="1" w:styleId="BodyTextRight">
    <w:name w:val="Body Text Right"/>
    <w:basedOn w:val="BodyText"/>
    <w:rsid w:val="000D2A89"/>
    <w:pPr>
      <w:spacing w:before="0" w:after="0"/>
      <w:jc w:val="right"/>
    </w:pPr>
  </w:style>
  <w:style w:type="paragraph" w:styleId="Index3">
    <w:name w:val="index 3"/>
    <w:basedOn w:val="ListNumber2"/>
    <w:next w:val="Normal"/>
    <w:semiHidden/>
    <w:rsid w:val="000D2A89"/>
    <w:pPr>
      <w:numPr>
        <w:numId w:val="0"/>
      </w:numPr>
      <w:tabs>
        <w:tab w:val="right" w:leader="dot" w:pos="4176"/>
      </w:tabs>
    </w:pPr>
  </w:style>
  <w:style w:type="paragraph" w:styleId="ListNumber2">
    <w:name w:val="List Number 2"/>
    <w:basedOn w:val="List2"/>
    <w:rsid w:val="000D2A89"/>
    <w:pPr>
      <w:numPr>
        <w:numId w:val="9"/>
      </w:numPr>
      <w:tabs>
        <w:tab w:val="clear" w:pos="1060"/>
      </w:tabs>
    </w:pPr>
  </w:style>
  <w:style w:type="paragraph" w:customStyle="1" w:styleId="MarginNote">
    <w:name w:val="Margin Note"/>
    <w:basedOn w:val="BodyText"/>
    <w:rsid w:val="000D2A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2A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2A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2A89"/>
    <w:rPr>
      <w:sz w:val="32"/>
    </w:rPr>
  </w:style>
  <w:style w:type="paragraph" w:customStyle="1" w:styleId="HeadingProcedure">
    <w:name w:val="Heading Procedure"/>
    <w:basedOn w:val="HeadingBase"/>
    <w:next w:val="Normal"/>
    <w:rsid w:val="000D2A89"/>
    <w:pPr>
      <w:tabs>
        <w:tab w:val="left" w:pos="0"/>
      </w:tabs>
      <w:spacing w:before="120" w:after="60"/>
    </w:pPr>
    <w:rPr>
      <w:i/>
      <w:color w:val="918585"/>
      <w:sz w:val="22"/>
    </w:rPr>
  </w:style>
  <w:style w:type="paragraph" w:customStyle="1" w:styleId="TableBodyText">
    <w:name w:val="Table Body Text"/>
    <w:basedOn w:val="BodyText"/>
    <w:rsid w:val="000D2A89"/>
    <w:pPr>
      <w:spacing w:before="60" w:after="60"/>
    </w:pPr>
  </w:style>
  <w:style w:type="paragraph" w:styleId="ListContinue">
    <w:name w:val="List Continue"/>
    <w:basedOn w:val="List"/>
    <w:rsid w:val="000D2A89"/>
    <w:pPr>
      <w:ind w:firstLine="0"/>
    </w:pPr>
  </w:style>
  <w:style w:type="paragraph" w:customStyle="1" w:styleId="ListNote">
    <w:name w:val="List Note"/>
    <w:basedOn w:val="List"/>
    <w:rsid w:val="000D2A89"/>
    <w:pPr>
      <w:pBdr>
        <w:top w:val="single" w:sz="6" w:space="2" w:color="918585"/>
        <w:bottom w:val="single" w:sz="6" w:space="2" w:color="918585"/>
      </w:pBdr>
      <w:tabs>
        <w:tab w:val="left" w:pos="1021"/>
      </w:tabs>
      <w:ind w:firstLine="0"/>
    </w:pPr>
  </w:style>
  <w:style w:type="paragraph" w:customStyle="1" w:styleId="Warning">
    <w:name w:val="Warning"/>
    <w:basedOn w:val="BodyText"/>
    <w:rsid w:val="000D2A89"/>
    <w:pPr>
      <w:shd w:val="clear" w:color="auto" w:fill="D9D9D9"/>
      <w:tabs>
        <w:tab w:val="left" w:pos="992"/>
      </w:tabs>
      <w:ind w:left="119" w:right="119"/>
    </w:pPr>
    <w:rPr>
      <w:sz w:val="20"/>
    </w:rPr>
  </w:style>
  <w:style w:type="paragraph" w:customStyle="1" w:styleId="MarginIcons">
    <w:name w:val="Margin Icons"/>
    <w:basedOn w:val="BodyText"/>
    <w:rsid w:val="000D2A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2A89"/>
    <w:rPr>
      <w:rFonts w:ascii="Courier New" w:hAnsi="Courier New"/>
    </w:rPr>
  </w:style>
  <w:style w:type="paragraph" w:customStyle="1" w:styleId="NoteBullet">
    <w:name w:val="Note Bullet"/>
    <w:basedOn w:val="Note"/>
    <w:rsid w:val="000D2A89"/>
    <w:pPr>
      <w:tabs>
        <w:tab w:val="clear" w:pos="680"/>
      </w:tabs>
      <w:spacing w:before="60" w:after="60"/>
    </w:pPr>
  </w:style>
  <w:style w:type="paragraph" w:customStyle="1" w:styleId="SubHeading2">
    <w:name w:val="SubHeading2"/>
    <w:basedOn w:val="HeadingBase"/>
    <w:rsid w:val="000D2A89"/>
    <w:pPr>
      <w:spacing w:before="240" w:after="60"/>
    </w:pPr>
    <w:rPr>
      <w:sz w:val="20"/>
    </w:rPr>
  </w:style>
  <w:style w:type="paragraph" w:customStyle="1" w:styleId="SubHeading1">
    <w:name w:val="SubHeading1"/>
    <w:basedOn w:val="HeadingBase"/>
    <w:rsid w:val="000D2A89"/>
    <w:pPr>
      <w:spacing w:before="240" w:after="60"/>
    </w:pPr>
    <w:rPr>
      <w:color w:val="918585"/>
      <w:sz w:val="22"/>
    </w:rPr>
  </w:style>
  <w:style w:type="paragraph" w:customStyle="1" w:styleId="SideHeading">
    <w:name w:val="Side Heading"/>
    <w:basedOn w:val="HeadingBase"/>
    <w:rsid w:val="000D2A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2A89"/>
    <w:pPr>
      <w:tabs>
        <w:tab w:val="num" w:pos="360"/>
      </w:tabs>
    </w:pPr>
  </w:style>
  <w:style w:type="paragraph" w:styleId="PlainText">
    <w:name w:val="Plain Text"/>
    <w:basedOn w:val="Normal"/>
    <w:link w:val="PlainTextChar"/>
    <w:rsid w:val="000D2A89"/>
    <w:rPr>
      <w:sz w:val="20"/>
    </w:rPr>
  </w:style>
  <w:style w:type="character" w:customStyle="1" w:styleId="PlainTextChar">
    <w:name w:val="Plain Text Char"/>
    <w:basedOn w:val="DefaultParagraphFont"/>
    <w:link w:val="PlainText"/>
    <w:rsid w:val="000D2A89"/>
    <w:rPr>
      <w:rFonts w:ascii="Courier New" w:eastAsia="Times New Roman" w:hAnsi="Courier New" w:cs="Times New Roman"/>
      <w:sz w:val="20"/>
      <w:szCs w:val="20"/>
      <w:lang w:eastAsia="en-US"/>
    </w:rPr>
  </w:style>
  <w:style w:type="character" w:customStyle="1" w:styleId="MenuOption">
    <w:name w:val="Menu Option"/>
    <w:basedOn w:val="DefaultParagraphFont"/>
    <w:rsid w:val="000D2A89"/>
    <w:rPr>
      <w:b/>
      <w:smallCaps/>
    </w:rPr>
  </w:style>
  <w:style w:type="paragraph" w:customStyle="1" w:styleId="TableListNumber">
    <w:name w:val="Table List Number"/>
    <w:basedOn w:val="ListNumber"/>
    <w:rsid w:val="000D2A89"/>
    <w:pPr>
      <w:numPr>
        <w:numId w:val="0"/>
      </w:numPr>
    </w:pPr>
  </w:style>
  <w:style w:type="paragraph" w:styleId="TOC4">
    <w:name w:val="toc 4"/>
    <w:basedOn w:val="TOCBase"/>
    <w:next w:val="Normal"/>
    <w:semiHidden/>
    <w:rsid w:val="000D2A89"/>
    <w:pPr>
      <w:tabs>
        <w:tab w:val="right" w:leader="dot" w:pos="9071"/>
      </w:tabs>
      <w:ind w:left="1701"/>
    </w:pPr>
  </w:style>
  <w:style w:type="paragraph" w:customStyle="1" w:styleId="ListAlpha">
    <w:name w:val="List Alpha"/>
    <w:basedOn w:val="List"/>
    <w:rsid w:val="000D2A89"/>
    <w:pPr>
      <w:numPr>
        <w:numId w:val="8"/>
      </w:numPr>
    </w:pPr>
  </w:style>
  <w:style w:type="paragraph" w:customStyle="1" w:styleId="ListAlpha2">
    <w:name w:val="List Alpha 2"/>
    <w:basedOn w:val="List2"/>
    <w:rsid w:val="000D2A89"/>
    <w:pPr>
      <w:numPr>
        <w:numId w:val="7"/>
      </w:numPr>
    </w:pPr>
  </w:style>
  <w:style w:type="paragraph" w:styleId="List3">
    <w:name w:val="List 3"/>
    <w:basedOn w:val="BodyText"/>
    <w:rsid w:val="000D2A89"/>
    <w:pPr>
      <w:tabs>
        <w:tab w:val="left" w:pos="1021"/>
      </w:tabs>
      <w:spacing w:before="60" w:after="60"/>
      <w:ind w:left="1020" w:hanging="340"/>
    </w:pPr>
  </w:style>
  <w:style w:type="paragraph" w:styleId="List4">
    <w:name w:val="List 4"/>
    <w:basedOn w:val="BodyText"/>
    <w:rsid w:val="000D2A89"/>
    <w:pPr>
      <w:tabs>
        <w:tab w:val="left" w:pos="1361"/>
      </w:tabs>
      <w:spacing w:before="60" w:after="60"/>
      <w:ind w:left="1361" w:hanging="340"/>
    </w:pPr>
  </w:style>
  <w:style w:type="paragraph" w:styleId="List5">
    <w:name w:val="List 5"/>
    <w:basedOn w:val="BodyText"/>
    <w:rsid w:val="000D2A89"/>
    <w:pPr>
      <w:tabs>
        <w:tab w:val="left" w:pos="1701"/>
      </w:tabs>
      <w:spacing w:before="60" w:after="60"/>
      <w:ind w:left="1701" w:hanging="340"/>
    </w:pPr>
  </w:style>
  <w:style w:type="paragraph" w:styleId="ListBullet3">
    <w:name w:val="List Bullet 3"/>
    <w:basedOn w:val="List3"/>
    <w:rsid w:val="000D2A89"/>
    <w:pPr>
      <w:numPr>
        <w:numId w:val="14"/>
      </w:numPr>
      <w:tabs>
        <w:tab w:val="clear" w:pos="1021"/>
      </w:tabs>
      <w:ind w:left="1037" w:hanging="357"/>
    </w:pPr>
  </w:style>
  <w:style w:type="paragraph" w:styleId="ListBullet4">
    <w:name w:val="List Bullet 4"/>
    <w:basedOn w:val="List4"/>
    <w:rsid w:val="000D2A89"/>
    <w:pPr>
      <w:numPr>
        <w:numId w:val="2"/>
      </w:numPr>
    </w:pPr>
  </w:style>
  <w:style w:type="paragraph" w:styleId="ListBullet5">
    <w:name w:val="List Bullet 5"/>
    <w:basedOn w:val="List5"/>
    <w:rsid w:val="000D2A89"/>
    <w:pPr>
      <w:numPr>
        <w:numId w:val="3"/>
      </w:numPr>
    </w:pPr>
  </w:style>
  <w:style w:type="paragraph" w:styleId="ListContinue2">
    <w:name w:val="List Continue 2"/>
    <w:basedOn w:val="List2"/>
    <w:rsid w:val="000D2A89"/>
    <w:pPr>
      <w:ind w:firstLine="0"/>
    </w:pPr>
  </w:style>
  <w:style w:type="paragraph" w:styleId="ListContinue3">
    <w:name w:val="List Continue 3"/>
    <w:basedOn w:val="List3"/>
    <w:rsid w:val="000D2A89"/>
    <w:pPr>
      <w:ind w:left="1021" w:firstLine="0"/>
    </w:pPr>
  </w:style>
  <w:style w:type="paragraph" w:styleId="ListContinue4">
    <w:name w:val="List Continue 4"/>
    <w:basedOn w:val="List4"/>
    <w:rsid w:val="000D2A89"/>
    <w:pPr>
      <w:ind w:firstLine="0"/>
    </w:pPr>
  </w:style>
  <w:style w:type="paragraph" w:styleId="ListContinue5">
    <w:name w:val="List Continue 5"/>
    <w:basedOn w:val="List5"/>
    <w:rsid w:val="000D2A89"/>
    <w:pPr>
      <w:ind w:firstLine="0"/>
    </w:pPr>
  </w:style>
  <w:style w:type="paragraph" w:styleId="ListNumber3">
    <w:name w:val="List Number 3"/>
    <w:basedOn w:val="List3"/>
    <w:rsid w:val="000D2A89"/>
    <w:pPr>
      <w:numPr>
        <w:numId w:val="4"/>
      </w:numPr>
    </w:pPr>
  </w:style>
  <w:style w:type="paragraph" w:styleId="ListNumber4">
    <w:name w:val="List Number 4"/>
    <w:basedOn w:val="List4"/>
    <w:rsid w:val="000D2A89"/>
    <w:pPr>
      <w:numPr>
        <w:numId w:val="5"/>
      </w:numPr>
    </w:pPr>
  </w:style>
  <w:style w:type="paragraph" w:styleId="ListNumber5">
    <w:name w:val="List Number 5"/>
    <w:basedOn w:val="List5"/>
    <w:rsid w:val="000D2A89"/>
    <w:pPr>
      <w:numPr>
        <w:numId w:val="6"/>
      </w:numPr>
    </w:pPr>
  </w:style>
  <w:style w:type="paragraph" w:styleId="BlockText">
    <w:name w:val="Block Text"/>
    <w:basedOn w:val="Normal"/>
    <w:rsid w:val="000D2A89"/>
    <w:pPr>
      <w:spacing w:after="120"/>
      <w:ind w:left="1440" w:right="1440"/>
    </w:pPr>
  </w:style>
  <w:style w:type="character" w:customStyle="1" w:styleId="Subscript">
    <w:name w:val="Subscript"/>
    <w:basedOn w:val="DefaultParagraphFont"/>
    <w:rsid w:val="000D2A89"/>
    <w:rPr>
      <w:sz w:val="16"/>
      <w:vertAlign w:val="subscript"/>
    </w:rPr>
  </w:style>
  <w:style w:type="character" w:customStyle="1" w:styleId="Superscript">
    <w:name w:val="Superscript"/>
    <w:basedOn w:val="DefaultParagraphFont"/>
    <w:rsid w:val="000D2A89"/>
    <w:rPr>
      <w:sz w:val="16"/>
      <w:vertAlign w:val="superscript"/>
    </w:rPr>
  </w:style>
  <w:style w:type="character" w:customStyle="1" w:styleId="Symbols">
    <w:name w:val="Symbols"/>
    <w:basedOn w:val="DefaultParagraphFont"/>
    <w:rsid w:val="000D2A89"/>
    <w:rPr>
      <w:rFonts w:ascii="Symbol" w:hAnsi="Symbol"/>
    </w:rPr>
  </w:style>
  <w:style w:type="character" w:customStyle="1" w:styleId="MenuOptions">
    <w:name w:val="Menu Options"/>
    <w:basedOn w:val="DefaultParagraphFont"/>
    <w:rsid w:val="000D2A89"/>
    <w:rPr>
      <w:rFonts w:ascii="Arial Narrow" w:hAnsi="Arial Narrow"/>
      <w:smallCaps/>
    </w:rPr>
  </w:style>
  <w:style w:type="character" w:customStyle="1" w:styleId="Buttons">
    <w:name w:val="Buttons"/>
    <w:basedOn w:val="DefaultParagraphFont"/>
    <w:rsid w:val="000D2A89"/>
    <w:rPr>
      <w:b/>
    </w:rPr>
  </w:style>
  <w:style w:type="character" w:customStyle="1" w:styleId="Underlined">
    <w:name w:val="Underlined"/>
    <w:basedOn w:val="DefaultParagraphFont"/>
    <w:rsid w:val="000D2A89"/>
    <w:rPr>
      <w:u w:val="single"/>
    </w:rPr>
  </w:style>
  <w:style w:type="paragraph" w:customStyle="1" w:styleId="TableBodyTextRight">
    <w:name w:val="Table Body Text Right"/>
    <w:basedOn w:val="TableBodyText"/>
    <w:rsid w:val="000D2A89"/>
    <w:pPr>
      <w:widowControl w:val="0"/>
      <w:autoSpaceDE w:val="0"/>
      <w:autoSpaceDN w:val="0"/>
      <w:adjustRightInd w:val="0"/>
      <w:jc w:val="right"/>
    </w:pPr>
    <w:rPr>
      <w:rFonts w:cs="Arial"/>
      <w:szCs w:val="18"/>
    </w:rPr>
  </w:style>
  <w:style w:type="paragraph" w:customStyle="1" w:styleId="CopyrightText">
    <w:name w:val="Copyright Text"/>
    <w:basedOn w:val="BodyText"/>
    <w:rsid w:val="000D2A89"/>
    <w:rPr>
      <w:sz w:val="18"/>
    </w:rPr>
  </w:style>
  <w:style w:type="paragraph" w:customStyle="1" w:styleId="BodySmallRight">
    <w:name w:val="Body Small Right"/>
    <w:basedOn w:val="BodyTextRight"/>
    <w:rsid w:val="000D2A89"/>
    <w:rPr>
      <w:sz w:val="18"/>
      <w:szCs w:val="18"/>
    </w:rPr>
  </w:style>
  <w:style w:type="paragraph" w:customStyle="1" w:styleId="MarginEdition">
    <w:name w:val="Margin Edition"/>
    <w:basedOn w:val="MarginNote"/>
    <w:rsid w:val="000D2A89"/>
    <w:pPr>
      <w:spacing w:before="0" w:after="0"/>
    </w:pPr>
    <w:rPr>
      <w:rFonts w:ascii="Times New Roman" w:hAnsi="Times New Roman"/>
      <w:color w:val="999999"/>
    </w:rPr>
  </w:style>
  <w:style w:type="paragraph" w:customStyle="1" w:styleId="Spacer">
    <w:name w:val="Spacer"/>
    <w:basedOn w:val="Normal"/>
    <w:rsid w:val="000D2A89"/>
    <w:rPr>
      <w:sz w:val="2"/>
      <w:szCs w:val="2"/>
    </w:rPr>
  </w:style>
  <w:style w:type="character" w:customStyle="1" w:styleId="Small">
    <w:name w:val="Small"/>
    <w:basedOn w:val="DefaultParagraphFont"/>
    <w:rsid w:val="000D2A89"/>
    <w:rPr>
      <w:sz w:val="16"/>
    </w:rPr>
  </w:style>
  <w:style w:type="paragraph" w:customStyle="1" w:styleId="WideTable">
    <w:name w:val="Wide Table"/>
    <w:basedOn w:val="Normal"/>
    <w:rsid w:val="000D2A89"/>
    <w:pPr>
      <w:ind w:left="-1418"/>
    </w:pPr>
    <w:rPr>
      <w:sz w:val="2"/>
      <w:szCs w:val="2"/>
    </w:rPr>
  </w:style>
  <w:style w:type="character" w:styleId="PageNumber">
    <w:name w:val="page number"/>
    <w:basedOn w:val="DefaultParagraphFont"/>
    <w:rsid w:val="000D2A89"/>
  </w:style>
  <w:style w:type="paragraph" w:styleId="Quote">
    <w:name w:val="Quote"/>
    <w:basedOn w:val="Heading1"/>
    <w:link w:val="QuoteChar"/>
    <w:qFormat/>
    <w:rsid w:val="000D2A89"/>
    <w:rPr>
      <w:b w:val="0"/>
      <w:sz w:val="72"/>
      <w:szCs w:val="72"/>
      <w:lang w:val="en-NZ"/>
    </w:rPr>
  </w:style>
  <w:style w:type="character" w:customStyle="1" w:styleId="QuoteChar">
    <w:name w:val="Quote Char"/>
    <w:basedOn w:val="DefaultParagraphFont"/>
    <w:link w:val="Quote"/>
    <w:rsid w:val="000D2A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2A89"/>
    <w:pPr>
      <w:pageBreakBefore/>
    </w:pPr>
  </w:style>
  <w:style w:type="paragraph" w:customStyle="1" w:styleId="Border">
    <w:name w:val="Border"/>
    <w:basedOn w:val="Normal"/>
    <w:qFormat/>
    <w:rsid w:val="000D2A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2A89"/>
    <w:rPr>
      <w:b/>
      <w:bCs/>
      <w:i/>
      <w:iCs/>
      <w:color w:val="auto"/>
    </w:rPr>
  </w:style>
  <w:style w:type="paragraph" w:styleId="IntenseQuote">
    <w:name w:val="Intense Quote"/>
    <w:basedOn w:val="Normal"/>
    <w:next w:val="Normal"/>
    <w:link w:val="IntenseQuoteChar"/>
    <w:uiPriority w:val="30"/>
    <w:qFormat/>
    <w:rsid w:val="000D2A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2A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2A89"/>
    <w:rPr>
      <w:smallCaps/>
      <w:color w:val="auto"/>
      <w:u w:val="single"/>
    </w:rPr>
  </w:style>
  <w:style w:type="character" w:styleId="IntenseReference">
    <w:name w:val="Intense Reference"/>
    <w:basedOn w:val="DefaultParagraphFont"/>
    <w:uiPriority w:val="32"/>
    <w:qFormat/>
    <w:rsid w:val="000D2A89"/>
    <w:rPr>
      <w:b/>
      <w:bCs/>
      <w:smallCaps/>
      <w:color w:val="auto"/>
      <w:spacing w:val="5"/>
      <w:u w:val="single"/>
    </w:rPr>
  </w:style>
  <w:style w:type="paragraph" w:customStyle="1" w:styleId="2ColumnHeading">
    <w:name w:val="2Column Heading"/>
    <w:basedOn w:val="BodyText"/>
    <w:qFormat/>
    <w:rsid w:val="000D2A89"/>
    <w:pPr>
      <w:spacing w:after="60"/>
      <w:ind w:left="-2268"/>
    </w:pPr>
    <w:rPr>
      <w:b/>
    </w:rPr>
  </w:style>
  <w:style w:type="paragraph" w:customStyle="1" w:styleId="Heading1TOC">
    <w:name w:val="Heading1 TOC"/>
    <w:basedOn w:val="Normal"/>
    <w:qFormat/>
    <w:rsid w:val="000D2A89"/>
    <w:pPr>
      <w:spacing w:before="240" w:after="120"/>
    </w:pPr>
    <w:rPr>
      <w:rFonts w:ascii="Times New Roman" w:hAnsi="Times New Roman"/>
      <w:b/>
      <w:sz w:val="32"/>
    </w:rPr>
  </w:style>
  <w:style w:type="paragraph" w:customStyle="1" w:styleId="Heading2TOC">
    <w:name w:val="Heading2 TOC"/>
    <w:basedOn w:val="Normal"/>
    <w:qFormat/>
    <w:rsid w:val="000D2A89"/>
    <w:pPr>
      <w:spacing w:before="240" w:after="60"/>
    </w:pPr>
    <w:rPr>
      <w:rFonts w:ascii="Times New Roman" w:hAnsi="Times New Roman"/>
      <w:b/>
      <w:sz w:val="28"/>
    </w:rPr>
  </w:style>
  <w:style w:type="character" w:customStyle="1" w:styleId="Underline">
    <w:name w:val="Underline"/>
    <w:basedOn w:val="DefaultParagraphFont"/>
    <w:qFormat/>
    <w:rsid w:val="000D2A89"/>
    <w:rPr>
      <w:u w:val="single"/>
    </w:rPr>
  </w:style>
  <w:style w:type="paragraph" w:styleId="BalloonText">
    <w:name w:val="Balloon Text"/>
    <w:basedOn w:val="Normal"/>
    <w:link w:val="BalloonTextChar"/>
    <w:rsid w:val="000D2A89"/>
    <w:rPr>
      <w:rFonts w:ascii="Tahoma" w:hAnsi="Tahoma" w:cs="Tahoma"/>
      <w:sz w:val="16"/>
      <w:szCs w:val="16"/>
    </w:rPr>
  </w:style>
  <w:style w:type="character" w:customStyle="1" w:styleId="BalloonTextChar">
    <w:name w:val="Balloon Text Char"/>
    <w:basedOn w:val="DefaultParagraphFont"/>
    <w:link w:val="BalloonText"/>
    <w:rsid w:val="000D2A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2A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2A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2A89"/>
    <w:rPr>
      <w:b/>
      <w:color w:val="660033"/>
      <w:spacing w:val="0"/>
    </w:rPr>
  </w:style>
  <w:style w:type="paragraph" w:customStyle="1" w:styleId="Nameditemlist">
    <w:name w:val="Named item list"/>
    <w:basedOn w:val="BodyText"/>
    <w:qFormat/>
    <w:rsid w:val="000D2A8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1329</Words>
  <Characters>8749</Characters>
  <Application>Microsoft Office Word</Application>
  <DocSecurity>0</DocSecurity>
  <Lines>260</Lines>
  <Paragraphs>150</Paragraphs>
  <ScaleCrop>false</ScaleCrop>
  <Company>Author-it Software Corporation Ltd.</Company>
  <LinksUpToDate>false</LinksUpToDate>
  <CharactersWithSpaces>9994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MEA601A Maintain aircraft egress systems</dc:title>
  <dc:subject>Approved</dc:subject>
  <dc:creator>Manufacturing Skills Australia</dc:creator>
  <cp:keywords>Release 3</cp:keywords>
  <dc:description>Review Date: 12 April 2008</dc:description>
  <cp:lastModifiedBy>TPCMS</cp:lastModifiedBy>
  <cp:revision>3</cp:revision>
  <dcterms:created xsi:type="dcterms:W3CDTF">2013-08-22T17:06:00Z</dcterms:created>
  <dcterms:modified xsi:type="dcterms:W3CDTF">2013-08-22T17:06:00Z</dcterms:modified>
</cp:coreProperties>
</file>