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505" w:rsidP="00520505">
      <w:pPr>
        <w:pStyle w:val="Title"/>
      </w:pPr>
      <w:r>
        <w:fldChar w:fldCharType="begin"/>
      </w:r>
      <w:r>
        <w:instrText xml:space="preserve"> TITLE   \* MERGEFORMAT </w:instrText>
      </w:r>
      <w:r>
        <w:fldChar w:fldCharType="separate"/>
      </w:r>
      <w:r>
        <w:t>MEA412A Pre-treat aluminium alloy surfaces</w:t>
      </w:r>
      <w:r>
        <w:fldChar w:fldCharType="end"/>
      </w:r>
    </w:p>
    <w:p w:rsidR="00520505" w:rsidP="00520505">
      <w:pPr>
        <w:pStyle w:val="Version"/>
        <w:sectPr w:rsidSect="00EF1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F1546" w:rsidP="00EF1546">
      <w:pPr>
        <w:pStyle w:val="SuperHeading"/>
      </w:pPr>
      <w:r w:rsidRPr="00EF1546">
        <w:t xml:space="preserve">MEA412A Pre-treat aluminium alloy surfaces </w:t>
      </w:r>
    </w:p>
    <w:p w:rsidR="00000000" w:rsidRPr="00EF1546" w:rsidP="00EF1546">
      <w:pPr>
        <w:pStyle w:val="SuperHeading"/>
      </w:pPr>
    </w:p>
    <w:p w:rsidR="00000000" w:rsidRPr="00EF1546" w:rsidP="00EF1546">
      <w:pPr>
        <w:pStyle w:val="Heading1"/>
      </w:pPr>
      <w:bookmarkStart w:id="1" w:name="O_410205"/>
      <w:bookmarkEnd w:id="1"/>
      <w:r w:rsidRPr="00EF1546">
        <w:t>Modification History</w:t>
      </w:r>
    </w:p>
    <w:p w:rsidR="00000000" w:rsidRPr="00EF1546" w:rsidP="00EF1546">
      <w:pPr>
        <w:pStyle w:val="BodyText"/>
      </w:pPr>
      <w:r w:rsidRPr="00EF1546">
        <w:t>Minor formatting and editorial changes made. Prerequisite unit version code updated.</w:t>
      </w:r>
    </w:p>
    <w:p w:rsidR="00000000" w:rsidRPr="00EF1546" w:rsidP="00EF1546">
      <w:pPr>
        <w:pStyle w:val="AllowPageBreak"/>
      </w:pPr>
    </w:p>
    <w:p w:rsidR="00000000" w:rsidRPr="00EF1546" w:rsidP="00EF1546">
      <w:pPr>
        <w:pStyle w:val="Heading1"/>
      </w:pPr>
      <w:bookmarkStart w:id="2" w:name="O_410201"/>
      <w:bookmarkEnd w:id="2"/>
      <w:r w:rsidRPr="00EF1546">
        <w:t>Unit Descriptor</w:t>
      </w:r>
    </w:p>
    <w:tbl>
      <w:tblPr>
        <w:tblW w:w="0" w:type="auto"/>
        <w:tblLayout w:type="fixed"/>
        <w:tblCellMar>
          <w:left w:w="62" w:type="dxa"/>
          <w:right w:w="62" w:type="dxa"/>
        </w:tblCellMar>
        <w:tblLook w:val="0000"/>
      </w:tblPr>
      <w:tblGrid>
        <w:gridCol w:w="8820"/>
      </w:tblGrid>
      <w:tr w:rsidTr="00520505">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This unit covers the competencies required to pre-tr</w:t>
            </w:r>
            <w:r w:rsidRPr="00EF1546">
              <w:t xml:space="preserve">eat aircraft and aircraft component aluminium alloy surfaces prior to application of surface coatings. No licensing requirements apply to this unit at the time of publication, but compliance with legislation and regulations governing handling and disposal </w:t>
            </w:r>
            <w:r w:rsidRPr="00EF1546">
              <w:t>of hazardous materials is included in the unit. This unit is used in workplaces that operate under the airworthiness regulatory systems of the ADF and CASA.</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3" w:name="O_410214"/>
      <w:bookmarkEnd w:id="3"/>
      <w:r w:rsidRPr="00EF1546">
        <w:t>Application of the Unit</w:t>
      </w:r>
    </w:p>
    <w:tbl>
      <w:tblPr>
        <w:tblW w:w="0" w:type="auto"/>
        <w:tblLayout w:type="fixed"/>
        <w:tblCellMar>
          <w:left w:w="62" w:type="dxa"/>
          <w:right w:w="62" w:type="dxa"/>
        </w:tblCellMar>
        <w:tblLook w:val="0000"/>
      </w:tblPr>
      <w:tblGrid>
        <w:gridCol w:w="8820"/>
      </w:tblGrid>
      <w:tr w:rsidTr="00520505">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This unit requires application of skills and knowledge relating to the application of chemical conversion coatings to aluminium alloy surfaces of aircraft and aircraft components.</w:t>
            </w:r>
          </w:p>
          <w:p w:rsidR="00000000" w:rsidRPr="00EF1546" w:rsidP="00EF1546">
            <w:pPr>
              <w:pStyle w:val="BodyText"/>
            </w:pPr>
            <w:r w:rsidRPr="00EF1546">
              <w:t xml:space="preserve">Applications include fixed and rotary wing aircraft and aircraft components </w:t>
            </w:r>
            <w:r w:rsidRPr="00EF1546">
              <w:t>with aluminium alloy surfaces.</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4" w:name="O_410206"/>
      <w:bookmarkEnd w:id="4"/>
      <w:r w:rsidRPr="00EF1546">
        <w:t>Licensing/Regulatory Information</w:t>
      </w:r>
    </w:p>
    <w:p w:rsidR="00000000" w:rsidRPr="00EF1546" w:rsidP="00EF1546">
      <w:pPr>
        <w:pStyle w:val="BodyText"/>
      </w:pPr>
      <w:r w:rsidRPr="00EF1546">
        <w:t>Not applicable.</w:t>
      </w:r>
    </w:p>
    <w:p w:rsidR="00000000" w:rsidRPr="00EF1546" w:rsidP="00EF1546">
      <w:pPr>
        <w:pStyle w:val="AllowPageBreak"/>
      </w:pPr>
    </w:p>
    <w:p w:rsidR="00000000" w:rsidRPr="00EF1546" w:rsidP="00EF1546">
      <w:pPr>
        <w:pStyle w:val="Heading1"/>
      </w:pPr>
      <w:bookmarkStart w:id="5" w:name="O_410204"/>
      <w:bookmarkEnd w:id="5"/>
      <w:r w:rsidRPr="00EF1546">
        <w:t>Pre-Requisites</w:t>
      </w:r>
    </w:p>
    <w:tbl>
      <w:tblPr>
        <w:tblW w:w="0" w:type="auto"/>
        <w:tblLayout w:type="fixed"/>
        <w:tblCellMar>
          <w:left w:w="62" w:type="dxa"/>
          <w:right w:w="62" w:type="dxa"/>
        </w:tblCellMar>
        <w:tblLook w:val="0000"/>
      </w:tblPr>
      <w:tblGrid>
        <w:gridCol w:w="1914"/>
        <w:gridCol w:w="6996"/>
      </w:tblGrid>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MEA101B </w:t>
            </w:r>
          </w:p>
        </w:tc>
        <w:tc>
          <w:tcPr>
            <w:tcW w:w="6996"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Interpret occupational health and safety practices in aviation maintenance</w:t>
            </w:r>
          </w:p>
        </w:tc>
      </w:tr>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MEA103B </w:t>
            </w:r>
          </w:p>
        </w:tc>
        <w:tc>
          <w:tcPr>
            <w:tcW w:w="6996"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Plan and organise aviation maintenance work activity</w:t>
            </w:r>
          </w:p>
        </w:tc>
      </w:tr>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MEA105C </w:t>
            </w:r>
          </w:p>
        </w:tc>
        <w:tc>
          <w:tcPr>
            <w:tcW w:w="6996"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Apply quality standards applicable to aviation maintenance processes</w:t>
            </w:r>
          </w:p>
        </w:tc>
      </w:tr>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MEA107B</w:t>
            </w:r>
          </w:p>
        </w:tc>
        <w:tc>
          <w:tcPr>
            <w:tcW w:w="6996"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Interpret and use aviation maintenance industry manuals and specifications</w:t>
            </w:r>
          </w:p>
        </w:tc>
      </w:tr>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MEA108B </w:t>
            </w:r>
          </w:p>
        </w:tc>
        <w:tc>
          <w:tcPr>
            <w:tcW w:w="6996"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Complete aviation maintenance </w:t>
            </w:r>
            <w:r w:rsidRPr="00EF1546">
              <w:t>industry documentation</w:t>
            </w:r>
          </w:p>
        </w:tc>
      </w:tr>
      <w:tr w:rsidTr="0052050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t xml:space="preserve">MEA109B </w:t>
            </w:r>
          </w:p>
        </w:tc>
        <w:tc>
          <w:tcPr>
            <w:tcW w:w="6996"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Perform basic hand skills, standard trade practices and fundamentals in aviation maintenance</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6" w:name="O_410209"/>
      <w:bookmarkEnd w:id="6"/>
      <w:r w:rsidRPr="00EF1546">
        <w:t>Employability Skills Information</w:t>
      </w:r>
    </w:p>
    <w:tbl>
      <w:tblPr>
        <w:tblW w:w="0" w:type="auto"/>
        <w:tblLayout w:type="fixed"/>
        <w:tblCellMar>
          <w:left w:w="62" w:type="dxa"/>
          <w:right w:w="62" w:type="dxa"/>
        </w:tblCellMar>
        <w:tblLook w:val="0000"/>
      </w:tblPr>
      <w:tblGrid>
        <w:gridCol w:w="5720"/>
      </w:tblGrid>
      <w:tr w:rsidTr="0052050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This unit contains employability skills.</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7" w:name="O_410210"/>
      <w:bookmarkEnd w:id="7"/>
      <w:r w:rsidRPr="00EF1546">
        <w:t>Elements and Performance Criteria Pre-Content</w:t>
      </w:r>
    </w:p>
    <w:tbl>
      <w:tblPr>
        <w:tblW w:w="9450" w:type="dxa"/>
        <w:tblLayout w:type="fixed"/>
        <w:tblCellMar>
          <w:left w:w="62" w:type="dxa"/>
          <w:right w:w="62" w:type="dxa"/>
        </w:tblCellMar>
        <w:tblLook w:val="0000"/>
      </w:tblPr>
      <w:tblGrid>
        <w:gridCol w:w="2544"/>
        <w:gridCol w:w="6906"/>
      </w:tblGrid>
      <w:tr w:rsidTr="00520505">
        <w:tblPrEx>
          <w:tblW w:w="9450" w:type="dxa"/>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Elements describe the essential outcomes of a unit of competency.</w:t>
            </w:r>
          </w:p>
        </w:tc>
        <w:tc>
          <w:tcPr>
            <w:tcW w:w="6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Performance criteria describe the performance needed to demonstrate achievement of the element. Where bold italicised text is used, further info</w:t>
            </w:r>
            <w:r w:rsidRPr="00EF1546">
              <w:t>rmation is detailed in the required skills and knowledge section and the range statement. Assessment of performance is to be consistent with the evidence guide.</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8" w:name="O_410211"/>
      <w:bookmarkEnd w:id="8"/>
      <w:r w:rsidRPr="00EF1546">
        <w:t>Elements and Performance Criteria</w:t>
      </w:r>
    </w:p>
    <w:tbl>
      <w:tblPr>
        <w:tblW w:w="0" w:type="auto"/>
        <w:tblCellMar>
          <w:left w:w="62" w:type="dxa"/>
          <w:right w:w="62" w:type="dxa"/>
        </w:tblCellMar>
        <w:tblLook w:val="0000"/>
      </w:tblPr>
      <w:tblGrid>
        <w:gridCol w:w="1884"/>
        <w:gridCol w:w="7312"/>
      </w:tblGrid>
      <w:tr w:rsidTr="005205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546">
            <w:pPr>
              <w:pStyle w:val="List"/>
              <w:rPr>
                <w:lang w:val="en-NZ"/>
              </w:rPr>
            </w:pPr>
            <w:r w:rsidRPr="00EF1546">
              <w:t>1.</w:t>
            </w:r>
            <w:r w:rsidRPr="00EF1546">
              <w:tab/>
              <w:t>Prepare surfaces for application of che</w:t>
            </w:r>
            <w:r w:rsidRPr="00EF1546">
              <w:t>mical conversion coating</w:t>
            </w:r>
          </w:p>
        </w:tc>
        <w:tc>
          <w:tcPr>
            <w:tcW w:w="0" w:type="auto"/>
            <w:tcBorders>
              <w:top w:val="nil"/>
              <w:left w:val="nil"/>
              <w:bottom w:val="nil"/>
              <w:right w:val="nil"/>
            </w:tcBorders>
            <w:tcMar>
              <w:top w:w="0" w:type="dxa"/>
              <w:left w:w="62" w:type="dxa"/>
              <w:bottom w:w="0" w:type="dxa"/>
              <w:right w:w="62" w:type="dxa"/>
            </w:tcMar>
          </w:tcPr>
          <w:p w:rsidR="00000000" w:rsidRPr="00EF1546" w:rsidP="00EF1546">
            <w:pPr>
              <w:pStyle w:val="List2"/>
            </w:pPr>
            <w:r w:rsidRPr="00EF1546">
              <w:t>1.1.</w:t>
            </w:r>
            <w:r w:rsidRPr="00EF1546">
              <w:tab/>
              <w:t>The required pre-treatment task is identified from maintenance documentation and enterprise procedures</w:t>
            </w:r>
          </w:p>
          <w:p w:rsidR="00000000" w:rsidRPr="00EF1546" w:rsidP="00EF1546">
            <w:pPr>
              <w:pStyle w:val="List2"/>
            </w:pPr>
            <w:r w:rsidRPr="00EF1546">
              <w:t>1.2.</w:t>
            </w:r>
            <w:r w:rsidRPr="00EF1546">
              <w:tab/>
              <w:t>Enterprise procedures and/or process specifications are used to identify required materials and tools</w:t>
            </w:r>
          </w:p>
          <w:p w:rsidR="00000000" w:rsidRPr="00EF1546" w:rsidP="00EF1546">
            <w:pPr>
              <w:pStyle w:val="List2"/>
            </w:pPr>
            <w:r w:rsidRPr="00EF1546">
              <w:t>1.3.</w:t>
            </w:r>
            <w:r w:rsidRPr="00EF1546">
              <w:tab/>
            </w:r>
            <w:r w:rsidRPr="00EF1546">
              <w:t>Aircraft or component identification is matched with relevant maintenance documentation</w:t>
            </w:r>
          </w:p>
          <w:p w:rsidR="00000000" w:rsidRPr="00EF1546" w:rsidP="00EF1546">
            <w:pPr>
              <w:pStyle w:val="List2"/>
            </w:pPr>
            <w:r w:rsidRPr="00EF1546">
              <w:t>1.4.</w:t>
            </w:r>
            <w:r w:rsidRPr="00EF1546">
              <w:tab/>
            </w:r>
            <w:r w:rsidRPr="00EF1546">
              <w:rPr>
                <w:rStyle w:val="BoldandItalics"/>
              </w:rPr>
              <w:t>OHS requirements</w:t>
            </w:r>
            <w:r w:rsidRPr="00EF1546">
              <w:t xml:space="preserve"> are identified and complied with and PPE is checked for correct fit and function</w:t>
            </w:r>
          </w:p>
          <w:p w:rsidR="00000000" w:rsidRPr="00EF1546" w:rsidP="00EF1546">
            <w:pPr>
              <w:pStyle w:val="List2"/>
            </w:pPr>
            <w:r w:rsidRPr="00EF1546">
              <w:t>1.5.</w:t>
            </w:r>
            <w:r w:rsidRPr="00EF1546">
              <w:tab/>
            </w:r>
            <w:r w:rsidRPr="00EF1546">
              <w:rPr>
                <w:rStyle w:val="BoldandItalics"/>
              </w:rPr>
              <w:t>Common surface soils</w:t>
            </w:r>
            <w:r w:rsidRPr="00EF1546">
              <w:t xml:space="preserve"> are removed in accordance with enterpri</w:t>
            </w:r>
            <w:r w:rsidRPr="00EF1546">
              <w:t>se procedures and/or process specifications</w:t>
            </w:r>
          </w:p>
          <w:p w:rsidR="00000000" w:rsidRPr="00EF1546" w:rsidP="00EF1546">
            <w:pPr>
              <w:pStyle w:val="List2"/>
            </w:pPr>
            <w:r w:rsidRPr="00EF1546">
              <w:t>1.6.</w:t>
            </w:r>
            <w:r w:rsidRPr="00EF1546">
              <w:tab/>
              <w:t>Masking is completed on areas where pre-treatment is not required</w:t>
            </w:r>
          </w:p>
          <w:p w:rsidR="00000000" w:rsidP="00EF1546">
            <w:pPr>
              <w:pStyle w:val="List2"/>
              <w:rPr>
                <w:lang w:val="en-NZ"/>
              </w:rPr>
            </w:pPr>
            <w:r w:rsidRPr="00EF1546">
              <w:t>1.7.</w:t>
            </w:r>
            <w:r w:rsidRPr="00EF1546">
              <w:tab/>
              <w:t>Aluminium alloy substrate is prepared for application of conversion coating in accordance with enterprise procedures and/or process spec</w:t>
            </w:r>
            <w:r w:rsidRPr="00EF1546">
              <w:t>ifications</w:t>
            </w:r>
          </w:p>
        </w:tc>
      </w:tr>
      <w:tr w:rsidTr="005205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546">
            <w:pPr>
              <w:pStyle w:val="List"/>
              <w:rPr>
                <w:lang w:val="en-NZ"/>
              </w:rPr>
            </w:pPr>
            <w:r w:rsidRPr="00EF1546">
              <w:t>2.</w:t>
            </w:r>
            <w:r w:rsidRPr="00EF1546">
              <w:tab/>
              <w:t>Apply chemical conversion coating</w:t>
            </w:r>
          </w:p>
        </w:tc>
        <w:tc>
          <w:tcPr>
            <w:tcW w:w="0" w:type="auto"/>
            <w:tcBorders>
              <w:top w:val="nil"/>
              <w:left w:val="nil"/>
              <w:bottom w:val="nil"/>
              <w:right w:val="nil"/>
            </w:tcBorders>
            <w:tcMar>
              <w:top w:w="0" w:type="dxa"/>
              <w:left w:w="62" w:type="dxa"/>
              <w:bottom w:w="0" w:type="dxa"/>
              <w:right w:w="62" w:type="dxa"/>
            </w:tcMar>
          </w:tcPr>
          <w:p w:rsidR="00000000" w:rsidRPr="00EF1546" w:rsidP="00EF1546">
            <w:pPr>
              <w:pStyle w:val="List2"/>
            </w:pPr>
            <w:r w:rsidRPr="00EF1546">
              <w:t>2.1.</w:t>
            </w:r>
            <w:r w:rsidRPr="00EF1546">
              <w:tab/>
              <w:t>The correct environment for conversion coating application is established and maintained</w:t>
            </w:r>
          </w:p>
          <w:p w:rsidR="00000000" w:rsidRPr="00EF1546" w:rsidP="00EF1546">
            <w:pPr>
              <w:pStyle w:val="List2"/>
            </w:pPr>
            <w:r w:rsidRPr="00EF1546">
              <w:t>2.2.</w:t>
            </w:r>
            <w:r w:rsidRPr="00EF1546">
              <w:tab/>
              <w:t>The applicable chemical conversion coating is applied</w:t>
            </w:r>
          </w:p>
          <w:p w:rsidR="00000000" w:rsidRPr="00EF1546" w:rsidP="00EF1546">
            <w:pPr>
              <w:pStyle w:val="List2"/>
            </w:pPr>
            <w:r w:rsidRPr="00EF1546">
              <w:t>2.3.</w:t>
            </w:r>
            <w:r w:rsidRPr="00EF1546">
              <w:tab/>
              <w:t xml:space="preserve">Masking is removed and the aircraft or component </w:t>
            </w:r>
            <w:r w:rsidRPr="00EF1546">
              <w:t>is left in a suitable condition for the next task</w:t>
            </w:r>
          </w:p>
          <w:p w:rsidR="00000000" w:rsidP="00EF1546">
            <w:pPr>
              <w:pStyle w:val="List2"/>
              <w:rPr>
                <w:lang w:val="en-NZ"/>
              </w:rPr>
            </w:pPr>
            <w:r w:rsidRPr="00EF1546">
              <w:t>2.4.</w:t>
            </w:r>
            <w:r w:rsidRPr="00EF1546">
              <w:tab/>
              <w:t>Completion of the pre-treatment process is documented in accordance with enterprise procedures</w:t>
            </w:r>
          </w:p>
        </w:tc>
      </w:tr>
      <w:tr w:rsidTr="005205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1546">
            <w:pPr>
              <w:pStyle w:val="List"/>
              <w:rPr>
                <w:lang w:val="en-NZ"/>
              </w:rPr>
            </w:pPr>
            <w:r w:rsidRPr="00EF1546">
              <w:t>3.</w:t>
            </w:r>
            <w:r w:rsidRPr="00EF1546">
              <w:tab/>
              <w:t>Clean up work area and maintain equipment</w:t>
            </w:r>
          </w:p>
        </w:tc>
        <w:tc>
          <w:tcPr>
            <w:tcW w:w="0" w:type="auto"/>
            <w:tcBorders>
              <w:top w:val="nil"/>
              <w:left w:val="nil"/>
              <w:bottom w:val="nil"/>
              <w:right w:val="nil"/>
            </w:tcBorders>
            <w:tcMar>
              <w:top w:w="0" w:type="dxa"/>
              <w:left w:w="62" w:type="dxa"/>
              <w:bottom w:w="0" w:type="dxa"/>
              <w:right w:w="62" w:type="dxa"/>
            </w:tcMar>
          </w:tcPr>
          <w:p w:rsidR="00000000" w:rsidRPr="00EF1546" w:rsidP="00EF1546">
            <w:pPr>
              <w:pStyle w:val="List2"/>
            </w:pPr>
            <w:r w:rsidRPr="00EF1546">
              <w:t>3.1.</w:t>
            </w:r>
            <w:r w:rsidRPr="00EF1546">
              <w:tab/>
              <w:t xml:space="preserve">Material that can be reused is collected and correctly </w:t>
            </w:r>
            <w:r w:rsidRPr="00EF1546">
              <w:t>stored</w:t>
            </w:r>
          </w:p>
          <w:p w:rsidR="00000000" w:rsidRPr="00EF1546" w:rsidP="00EF1546">
            <w:pPr>
              <w:pStyle w:val="List2"/>
            </w:pPr>
            <w:r w:rsidRPr="00EF1546">
              <w:t>3.2.</w:t>
            </w:r>
            <w:r w:rsidRPr="00EF1546">
              <w:tab/>
              <w:t xml:space="preserve">Waste material is removed and disposed of or stored in accordance with </w:t>
            </w:r>
            <w:r w:rsidRPr="00EF1546">
              <w:rPr>
                <w:rStyle w:val="BoldandItalics"/>
              </w:rPr>
              <w:t>legislative</w:t>
            </w:r>
            <w:r w:rsidRPr="00EF1546">
              <w:t xml:space="preserve">, </w:t>
            </w:r>
            <w:r w:rsidRPr="00EF1546">
              <w:rPr>
                <w:rStyle w:val="BoldandItalics"/>
              </w:rPr>
              <w:t>regulatory and enterprise procedures</w:t>
            </w:r>
          </w:p>
          <w:p w:rsidR="00000000" w:rsidRPr="00EF1546" w:rsidP="00EF1546">
            <w:pPr>
              <w:pStyle w:val="List2"/>
            </w:pPr>
            <w:r w:rsidRPr="00EF1546">
              <w:t>3.3.</w:t>
            </w:r>
            <w:r w:rsidRPr="00EF1546">
              <w:tab/>
              <w:t>Equipment is cleaned in accordance with enterprise procedures or manufacturer's instructions</w:t>
            </w:r>
          </w:p>
          <w:p w:rsidR="00000000" w:rsidRPr="00EF1546" w:rsidP="00EF1546">
            <w:pPr>
              <w:pStyle w:val="List2"/>
            </w:pPr>
            <w:r w:rsidRPr="00EF1546">
              <w:t>3.4.</w:t>
            </w:r>
            <w:r w:rsidRPr="00EF1546">
              <w:tab/>
              <w:t>Equipment is checked</w:t>
            </w:r>
            <w:r w:rsidRPr="00EF1546">
              <w:t xml:space="preserve"> for serviceability and unserviceable items are dealt with in accordance with enterprise procedures</w:t>
            </w:r>
          </w:p>
          <w:p w:rsidR="00000000" w:rsidRPr="00EF1546" w:rsidP="00EF1546">
            <w:pPr>
              <w:pStyle w:val="List2"/>
            </w:pPr>
            <w:r w:rsidRPr="00EF1546">
              <w:t>3.5.</w:t>
            </w:r>
            <w:r w:rsidRPr="00EF1546">
              <w:tab/>
              <w:t>Tools are cleaned and maintained in accordance with enterprise procedures</w:t>
            </w:r>
          </w:p>
          <w:p w:rsidR="00000000" w:rsidRPr="00EF1546" w:rsidP="00EF1546">
            <w:pPr>
              <w:pStyle w:val="List2"/>
            </w:pPr>
            <w:r w:rsidRPr="00EF1546">
              <w:t>3.6.</w:t>
            </w:r>
            <w:r w:rsidRPr="00EF1546">
              <w:tab/>
              <w:t>Work area is cleaned and inspected for serviceable condition</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9" w:name="O_410202"/>
      <w:bookmarkEnd w:id="9"/>
      <w:r w:rsidRPr="00EF1546">
        <w:t>Required Skills and Knowledge</w:t>
      </w:r>
    </w:p>
    <w:tbl>
      <w:tblPr>
        <w:tblW w:w="9360" w:type="dxa"/>
        <w:tblLayout w:type="fixed"/>
        <w:tblCellMar>
          <w:left w:w="62" w:type="dxa"/>
          <w:right w:w="62" w:type="dxa"/>
        </w:tblCellMar>
        <w:tblLook w:val="0000"/>
      </w:tblPr>
      <w:tblGrid>
        <w:gridCol w:w="9360"/>
      </w:tblGrid>
      <w:tr w:rsidTr="0052050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rPr>
                <w:rStyle w:val="SpecialBold"/>
              </w:rPr>
              <w:t>Required skills</w:t>
            </w:r>
          </w:p>
        </w:tc>
      </w:tr>
      <w:tr w:rsidTr="0052050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Look for evidence that confirms skills in:</w:t>
            </w:r>
          </w:p>
          <w:p w:rsidR="00000000" w:rsidRPr="00EF1546" w:rsidP="00EF1546">
            <w:pPr>
              <w:pStyle w:val="ListBullet"/>
            </w:pPr>
            <w:r w:rsidRPr="00EF1546">
              <w:t>applying OHS procedures relating to pre-treatment of aluminium alloy substrates, including the selection and correct use of PPE</w:t>
            </w:r>
          </w:p>
          <w:p w:rsidR="00000000" w:rsidRPr="00EF1546" w:rsidP="00EF1546">
            <w:pPr>
              <w:pStyle w:val="ListBullet"/>
            </w:pPr>
            <w:r w:rsidRPr="00EF1546">
              <w:t>applying masking</w:t>
            </w:r>
          </w:p>
          <w:p w:rsidR="00000000" w:rsidRPr="00EF1546" w:rsidP="00EF1546">
            <w:pPr>
              <w:pStyle w:val="ListBullet"/>
            </w:pPr>
            <w:r w:rsidRPr="00EF1546">
              <w:t>preparing for chemical conversion coating</w:t>
            </w:r>
          </w:p>
          <w:p w:rsidR="00000000" w:rsidRPr="00EF1546" w:rsidP="00EF1546">
            <w:pPr>
              <w:pStyle w:val="ListBullet"/>
            </w:pPr>
            <w:r w:rsidRPr="00EF1546">
              <w:t>water break testing</w:t>
            </w:r>
          </w:p>
          <w:p w:rsidR="00000000" w:rsidRPr="00EF1546" w:rsidP="00EF1546">
            <w:pPr>
              <w:pStyle w:val="ListBullet"/>
            </w:pPr>
            <w:r w:rsidRPr="00EF1546">
              <w:t>application of specified pre-treatment process</w:t>
            </w:r>
          </w:p>
          <w:p w:rsidR="00000000" w:rsidRPr="00EF1546" w:rsidP="00EF1546">
            <w:pPr>
              <w:pStyle w:val="ListBullet"/>
            </w:pPr>
            <w:r w:rsidRPr="00EF1546">
              <w:t>water break re-testing</w:t>
            </w:r>
          </w:p>
          <w:p w:rsidR="00000000" w:rsidRPr="00EF1546" w:rsidP="00EF1546">
            <w:pPr>
              <w:pStyle w:val="ListBullet"/>
            </w:pPr>
            <w:r w:rsidRPr="00EF1546">
              <w:t>using MSDS</w:t>
            </w:r>
          </w:p>
          <w:p w:rsidR="00000000" w:rsidRPr="00EF1546" w:rsidP="00EF1546">
            <w:pPr>
              <w:pStyle w:val="ListBullet"/>
            </w:pPr>
            <w:r w:rsidRPr="00EF1546">
              <w:t>selecting and using applicable chemical conversion coating</w:t>
            </w:r>
          </w:p>
          <w:p w:rsidR="00000000" w:rsidRPr="00EF1546" w:rsidP="00EF1546">
            <w:pPr>
              <w:pStyle w:val="ListBullet"/>
            </w:pPr>
            <w:r w:rsidRPr="00EF1546">
              <w:t>correctly disposing of waste materials</w:t>
            </w:r>
          </w:p>
          <w:p w:rsidR="00000000" w:rsidP="00EF1546">
            <w:pPr>
              <w:pStyle w:val="ListBullet"/>
              <w:rPr>
                <w:lang w:val="en-NZ"/>
              </w:rPr>
            </w:pPr>
            <w:r w:rsidRPr="00EF1546">
              <w:t>cleaning and ma</w:t>
            </w:r>
            <w:r w:rsidRPr="00EF1546">
              <w:t>intaining equipment and tools</w:t>
            </w:r>
          </w:p>
        </w:tc>
      </w:tr>
      <w:tr w:rsidTr="0052050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F1546">
            <w:pPr>
              <w:pStyle w:val="BodyText"/>
              <w:rPr>
                <w:lang w:val="en-NZ"/>
              </w:rPr>
            </w:pPr>
            <w:r w:rsidRPr="00EF1546">
              <w:rPr>
                <w:rStyle w:val="SpecialBold"/>
              </w:rPr>
              <w:t>Required knowledge</w:t>
            </w:r>
          </w:p>
        </w:tc>
      </w:tr>
      <w:tr w:rsidTr="00520505">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F1546" w:rsidP="00EF1546">
            <w:pPr>
              <w:pStyle w:val="BodyText"/>
            </w:pPr>
            <w:r w:rsidRPr="00EF1546">
              <w:t>Look for evidence that confirms knowledge of:</w:t>
            </w:r>
          </w:p>
          <w:p w:rsidR="00000000" w:rsidRPr="00EF1546" w:rsidP="00EF1546">
            <w:pPr>
              <w:pStyle w:val="ListBullet"/>
            </w:pPr>
            <w:r w:rsidRPr="00EF1546">
              <w:t>relevant enterprise procedures and/or process specifications</w:t>
            </w:r>
          </w:p>
          <w:p w:rsidR="00000000" w:rsidRPr="00EF1546" w:rsidP="00EF1546">
            <w:pPr>
              <w:pStyle w:val="ListBullet"/>
            </w:pPr>
            <w:r w:rsidRPr="00EF1546">
              <w:t xml:space="preserve">OHS procedures relating to aluminium alloy pre-treatment processes, including PPE </w:t>
            </w:r>
          </w:p>
          <w:p w:rsidR="00000000" w:rsidRPr="00EF1546" w:rsidP="00EF1546">
            <w:pPr>
              <w:pStyle w:val="ListBullet"/>
            </w:pPr>
            <w:r w:rsidRPr="00EF1546">
              <w:t>how to obtain MSDS</w:t>
            </w:r>
          </w:p>
          <w:p w:rsidR="00000000" w:rsidRPr="00EF1546" w:rsidP="00EF1546">
            <w:pPr>
              <w:pStyle w:val="ListBullet"/>
            </w:pPr>
            <w:r w:rsidRPr="00EF1546">
              <w:t>types of masking and barrier materials</w:t>
            </w:r>
          </w:p>
          <w:p w:rsidR="00000000" w:rsidRPr="00EF1546" w:rsidP="00EF1546">
            <w:pPr>
              <w:pStyle w:val="ListBullet"/>
            </w:pPr>
            <w:r w:rsidRPr="00EF1546">
              <w:t>types of pre-treatment processes</w:t>
            </w:r>
          </w:p>
          <w:p w:rsidR="00000000" w:rsidRPr="00EF1546" w:rsidP="00EF1546">
            <w:pPr>
              <w:pStyle w:val="ListBullet"/>
            </w:pPr>
            <w:r w:rsidRPr="00EF1546">
              <w:t>environmental legislation and regulations relating to the storage, use and disposal of hazardous materials</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10" w:name="O_410208"/>
      <w:bookmarkEnd w:id="10"/>
      <w:r w:rsidRPr="00EF1546">
        <w:t>Evidence Guide</w:t>
      </w:r>
    </w:p>
    <w:tbl>
      <w:tblPr>
        <w:tblW w:w="9570" w:type="dxa"/>
        <w:tblLayout w:type="fixed"/>
        <w:tblCellMar>
          <w:left w:w="62" w:type="dxa"/>
          <w:right w:w="62" w:type="dxa"/>
        </w:tblCellMar>
        <w:tblLook w:val="0000"/>
      </w:tblPr>
      <w:tblGrid>
        <w:gridCol w:w="3908"/>
        <w:gridCol w:w="5662"/>
      </w:tblGrid>
      <w:tr w:rsidTr="005205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The Evidence Guide provi</w:t>
            </w:r>
            <w:r w:rsidRPr="00EF1546">
              <w:t>des advice on assessment and must be read in conjunction with the performance criteria, required skills and knowledge, range statement and the Assessment Guidelines for the Training Package.</w:t>
            </w:r>
          </w:p>
        </w:tc>
      </w:tr>
      <w:tr w:rsidTr="00520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A person who demonstrates competency in this unit must be able to pre-treat aluminium alloy surfaces in accordance with specified procedures while using the correct PPE and observing all relevant safety precautions and environmental protection processes.</w:t>
            </w:r>
          </w:p>
        </w:tc>
      </w:tr>
      <w:tr w:rsidTr="00520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 xml:space="preserve">The underlying skills inherent in this unit should be transferable across a range of pre-treatment tasks associated with aircraft and aircraft component aluminium </w:t>
            </w:r>
            <w:r w:rsidRPr="00EF1546">
              <w:t>alloy surfaces. It is essential that applicable processes, cleanliness requirements and safety precautions, including the correct use of PPE, and application of environmental protection procedures are fully observed, understood and complied with. Ability t</w:t>
            </w:r>
            <w:r w:rsidRPr="00EF1546">
              <w:t>o interpret pre-treatment procedures and apply them in practice is critical.</w:t>
            </w:r>
          </w:p>
          <w:p w:rsidR="00000000" w:rsidRPr="00EF1546" w:rsidP="00EF1546">
            <w:pPr>
              <w:pStyle w:val="BodyText"/>
            </w:pPr>
            <w:r w:rsidRPr="00EF1546">
              <w:t>Evidence of transferability of skills and knowledge related to pre-treatment is essential. This is to be demonstrated through application of conversion coatings to aluminium alloy</w:t>
            </w:r>
            <w:r w:rsidRPr="00EF1546">
              <w:t xml:space="preserve"> surfaces across a range of aircraft and component tasks. The work plan should take account of applicable safety and quality requirements in accordance with the industry and regulatory standards.</w:t>
            </w:r>
          </w:p>
          <w:p w:rsidR="00000000" w:rsidP="00EF1546">
            <w:pPr>
              <w:pStyle w:val="BodyText"/>
              <w:rPr>
                <w:lang w:val="en-NZ"/>
              </w:rPr>
            </w:pPr>
            <w:r w:rsidRPr="00EF1546">
              <w:t>A person cannot be assessed as competent until it can be dem</w:t>
            </w:r>
            <w:r w:rsidRPr="00EF1546">
              <w:t>onstrated to the satisfaction of the workplace assessor that the relevant elements of the unit of competency are being achieved under routine supervision on a representative range of pre-treatment tasks. This shall be established via the records in the Log</w:t>
            </w:r>
            <w:r w:rsidRPr="00EF1546">
              <w:t xml:space="preserve"> of Industrial Experience and Achievement or, where appropriate, an equivalent Industry Evidence Guide.</w:t>
            </w:r>
          </w:p>
        </w:tc>
      </w:tr>
      <w:tr w:rsidTr="00520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Competency should be assessed in the workplace or simulated workplace using materials, tools and equip</w:t>
            </w:r>
            <w:r w:rsidRPr="00EF1546">
              <w:t>ment specified in the maintenance manuals and applicable procedures. It is also expected that general and special purpose tools and ground support equipment would be used where appropriate.</w:t>
            </w:r>
          </w:p>
        </w:tc>
      </w:tr>
      <w:tr w:rsidTr="00520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p>
        </w:tc>
      </w:tr>
      <w:tr w:rsidTr="00520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11" w:name="O_410203"/>
      <w:bookmarkEnd w:id="11"/>
      <w:r w:rsidRPr="00EF1546">
        <w:t>Range Statement</w:t>
      </w:r>
    </w:p>
    <w:tbl>
      <w:tblPr>
        <w:tblW w:w="9450" w:type="dxa"/>
        <w:tblLayout w:type="fixed"/>
        <w:tblCellMar>
          <w:left w:w="62" w:type="dxa"/>
          <w:right w:w="62" w:type="dxa"/>
        </w:tblCellMar>
        <w:tblLook w:val="0000"/>
      </w:tblPr>
      <w:tblGrid>
        <w:gridCol w:w="3361"/>
        <w:gridCol w:w="6089"/>
      </w:tblGrid>
      <w:tr w:rsidTr="0052050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The range statement relates to the unit of competency as a whole. It allows for different work environments and situations that may affect performance. Bold italicised wording, if used in the performance criteria, is detaile</w:t>
            </w:r>
            <w:r w:rsidRPr="00EF1546">
              <w:t>d below. Essential operating conditions that may be present with training and assessment (depending on the work situation, needs of the candidate, accessibility of the item, and local industry and regional contexts) may also be included.</w:t>
            </w:r>
          </w:p>
        </w:tc>
      </w:tr>
      <w:tr w:rsidTr="00520505">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Application of t</w:t>
            </w:r>
            <w:r w:rsidRPr="00EF1546">
              <w:rPr>
                <w:rStyle w:val="SpecialBold"/>
              </w:rPr>
              <w:t>his unit may relate to</w:t>
            </w:r>
            <w:r w:rsidRPr="00EF1546">
              <w: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Application of this unit may relate to:</w:t>
            </w:r>
          </w:p>
          <w:p w:rsidR="00000000" w:rsidRPr="00EF1546" w:rsidP="00EF1546">
            <w:pPr>
              <w:pStyle w:val="ListBullet"/>
            </w:pPr>
            <w:r w:rsidRPr="00EF1546">
              <w:t>scheduled or unscheduled maintenance</w:t>
            </w:r>
          </w:p>
          <w:p w:rsidR="00000000" w:rsidP="00EF1546">
            <w:pPr>
              <w:pStyle w:val="ListBullet"/>
              <w:rPr>
                <w:lang w:val="en-NZ"/>
              </w:rPr>
            </w:pPr>
            <w:r w:rsidRPr="00EF1546">
              <w:t>individual or team-related activities</w:t>
            </w:r>
          </w:p>
        </w:tc>
      </w:tr>
      <w:tr w:rsidTr="00520505">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Procedures and requirements</w:t>
            </w:r>
            <w:r w:rsidRPr="00EF154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t>Refer to industry standard procedures specified by manufacturers, regulatory authorities or the enterprise</w:t>
            </w:r>
          </w:p>
        </w:tc>
      </w:tr>
      <w:tr w:rsidTr="00520505">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OHS requirements</w:t>
            </w:r>
            <w:r w:rsidRPr="00EF154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OHS requirements are identified from relevant:</w:t>
            </w:r>
          </w:p>
          <w:p w:rsidR="00000000" w:rsidRPr="00EF1546" w:rsidP="00EF1546">
            <w:pPr>
              <w:pStyle w:val="ListBullet"/>
            </w:pPr>
            <w:r w:rsidRPr="00EF1546">
              <w:t>state/territory/Commonwealth OHS legislation, regulations and codes</w:t>
            </w:r>
          </w:p>
          <w:p w:rsidR="00000000" w:rsidRPr="00EF1546" w:rsidP="00EF1546">
            <w:pPr>
              <w:pStyle w:val="ListBullet"/>
            </w:pPr>
            <w:r w:rsidRPr="00EF1546">
              <w:t>procedures man</w:t>
            </w:r>
            <w:r w:rsidRPr="00EF1546">
              <w:t>ual</w:t>
            </w:r>
          </w:p>
          <w:p w:rsidR="00000000" w:rsidRPr="00EF1546" w:rsidP="00EF1546">
            <w:pPr>
              <w:pStyle w:val="ListBullet"/>
            </w:pPr>
            <w:r w:rsidRPr="00EF1546">
              <w:t>safety manual</w:t>
            </w:r>
          </w:p>
          <w:p w:rsidR="00000000" w:rsidRPr="00EF1546" w:rsidP="00EF1546">
            <w:pPr>
              <w:pStyle w:val="ListBullet"/>
            </w:pPr>
            <w:r w:rsidRPr="00EF1546">
              <w:t>work instructions</w:t>
            </w:r>
          </w:p>
          <w:p w:rsidR="00000000" w:rsidRPr="00EF1546" w:rsidP="00EF1546">
            <w:pPr>
              <w:pStyle w:val="ListBullet"/>
            </w:pPr>
            <w:r w:rsidRPr="00EF1546">
              <w:t>maintenance organisation manual</w:t>
            </w:r>
          </w:p>
          <w:p w:rsidR="00000000" w:rsidRPr="00EF1546" w:rsidP="00EF1546">
            <w:pPr>
              <w:pStyle w:val="ListBullet"/>
            </w:pPr>
            <w:r w:rsidRPr="00EF1546">
              <w:t>MSDS</w:t>
            </w:r>
          </w:p>
          <w:p w:rsidR="00000000" w:rsidRPr="00EF1546" w:rsidP="00EF1546">
            <w:pPr>
              <w:pStyle w:val="ListBullet"/>
            </w:pPr>
            <w:r w:rsidRPr="00EF1546">
              <w:t>Defence regulations and instructions</w:t>
            </w:r>
          </w:p>
          <w:p w:rsidR="00000000" w:rsidP="00EF1546">
            <w:pPr>
              <w:pStyle w:val="ListBullet"/>
              <w:rPr>
                <w:lang w:val="en-NZ"/>
              </w:rPr>
            </w:pPr>
            <w:r w:rsidRPr="00EF1546">
              <w:t>standing instructions</w:t>
            </w:r>
          </w:p>
        </w:tc>
      </w:tr>
      <w:tr w:rsidTr="00520505">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Common surface soils</w:t>
            </w:r>
            <w:r w:rsidRPr="00EF154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Common surface soils may include:</w:t>
            </w:r>
          </w:p>
          <w:p w:rsidR="00000000" w:rsidRPr="00EF1546" w:rsidP="00EF1546">
            <w:pPr>
              <w:pStyle w:val="ListBullet"/>
            </w:pPr>
            <w:r w:rsidRPr="00EF1546">
              <w:t>paint</w:t>
            </w:r>
          </w:p>
          <w:p w:rsidR="00000000" w:rsidRPr="00EF1546" w:rsidP="00EF1546">
            <w:pPr>
              <w:pStyle w:val="ListBullet"/>
            </w:pPr>
            <w:r w:rsidRPr="00EF1546">
              <w:t>dirt</w:t>
            </w:r>
          </w:p>
          <w:p w:rsidR="00000000" w:rsidRPr="00EF1546" w:rsidP="00EF1546">
            <w:pPr>
              <w:pStyle w:val="ListBullet"/>
            </w:pPr>
            <w:r w:rsidRPr="00EF1546">
              <w:t>grease</w:t>
            </w:r>
          </w:p>
          <w:p w:rsidR="00000000" w:rsidRPr="00EF1546" w:rsidP="00EF1546">
            <w:pPr>
              <w:pStyle w:val="ListBullet"/>
            </w:pPr>
            <w:r w:rsidRPr="00EF1546">
              <w:t>oils</w:t>
            </w:r>
          </w:p>
          <w:p w:rsidR="00000000" w:rsidRPr="00EF1546" w:rsidP="00EF1546">
            <w:pPr>
              <w:pStyle w:val="ListBullet"/>
            </w:pPr>
            <w:r w:rsidRPr="00EF1546">
              <w:t>fuel</w:t>
            </w:r>
          </w:p>
          <w:p w:rsidR="00000000" w:rsidP="00EF1546">
            <w:pPr>
              <w:pStyle w:val="ListBullet"/>
              <w:rPr>
                <w:lang w:val="en-NZ"/>
              </w:rPr>
            </w:pPr>
            <w:r w:rsidRPr="00EF1546">
              <w:t>adhesives</w:t>
            </w:r>
          </w:p>
        </w:tc>
      </w:tr>
      <w:tr w:rsidTr="00520505">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546">
            <w:pPr>
              <w:pStyle w:val="BodyText"/>
              <w:rPr>
                <w:lang w:val="en-NZ"/>
              </w:rPr>
            </w:pPr>
            <w:r w:rsidRPr="00EF1546">
              <w:rPr>
                <w:rStyle w:val="SpecialBold"/>
              </w:rPr>
              <w:t>Legislative</w:t>
            </w:r>
            <w:r w:rsidRPr="00EF1546">
              <w:t xml:space="preserve">, </w:t>
            </w:r>
            <w:r w:rsidRPr="00EF1546">
              <w:rPr>
                <w:rStyle w:val="SpecialBold"/>
              </w:rPr>
              <w:t>regulatory and enterprise procedures</w:t>
            </w:r>
            <w:r w:rsidRPr="00EF1546">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546" w:rsidP="00EF1546">
            <w:pPr>
              <w:pStyle w:val="BodyText"/>
            </w:pPr>
            <w:r w:rsidRPr="00EF1546">
              <w:t>Legislative, regulatory and enterprise procedures may include:</w:t>
            </w:r>
          </w:p>
          <w:p w:rsidR="00000000" w:rsidRPr="00EF1546" w:rsidP="00EF1546">
            <w:pPr>
              <w:pStyle w:val="ListBullet"/>
            </w:pPr>
            <w:r w:rsidRPr="00EF1546">
              <w:t>state/territory/Commonwealth environmental legislation, regulations and codes for the storage and disposal of hazardous and toxic materials</w:t>
            </w:r>
          </w:p>
          <w:p w:rsidR="00000000" w:rsidRPr="00EF1546" w:rsidP="00EF1546">
            <w:pPr>
              <w:pStyle w:val="ListBullet"/>
            </w:pPr>
            <w:r w:rsidRPr="00EF1546">
              <w:t>MSDS</w:t>
            </w:r>
          </w:p>
          <w:p w:rsidR="00000000" w:rsidRPr="00EF1546" w:rsidP="00EF1546">
            <w:pPr>
              <w:pStyle w:val="ListBullet"/>
            </w:pPr>
            <w:r w:rsidRPr="00EF1546">
              <w:t>maintenan</w:t>
            </w:r>
            <w:r w:rsidRPr="00EF1546">
              <w:t>ce organisation manual</w:t>
            </w:r>
          </w:p>
          <w:p w:rsidR="00000000" w:rsidRPr="00EF1546" w:rsidP="00EF1546">
            <w:pPr>
              <w:pStyle w:val="ListBullet"/>
            </w:pPr>
            <w:r w:rsidRPr="00EF1546">
              <w:t>procedures manual</w:t>
            </w:r>
          </w:p>
          <w:p w:rsidR="00000000" w:rsidRPr="00EF1546" w:rsidP="00EF1546">
            <w:pPr>
              <w:pStyle w:val="ListBullet"/>
            </w:pPr>
            <w:r w:rsidRPr="00EF1546">
              <w:t>work instructions</w:t>
            </w:r>
          </w:p>
          <w:p w:rsidR="00000000" w:rsidRPr="00EF1546" w:rsidP="00EF1546">
            <w:pPr>
              <w:pStyle w:val="ListBullet"/>
            </w:pPr>
            <w:r w:rsidRPr="00EF1546">
              <w:t>relevant Defence regulations and instructions</w:t>
            </w:r>
          </w:p>
          <w:p w:rsidR="00000000" w:rsidRPr="00EF1546" w:rsidP="00EF1546">
            <w:pPr>
              <w:pStyle w:val="ListBullet"/>
            </w:pPr>
            <w:r w:rsidRPr="00EF1546">
              <w:t>standing instructions</w:t>
            </w:r>
          </w:p>
        </w:tc>
      </w:tr>
    </w:tbl>
    <w:p w:rsidR="00000000" w:rsidRPr="00EF1546" w:rsidP="00EF1546">
      <w:pPr>
        <w:pStyle w:val="BodyText"/>
      </w:pPr>
    </w:p>
    <w:p w:rsidR="00000000" w:rsidRPr="00EF1546" w:rsidP="00EF1546">
      <w:pPr>
        <w:pStyle w:val="AllowPageBreak"/>
      </w:pPr>
    </w:p>
    <w:p w:rsidR="00000000" w:rsidRPr="00EF1546" w:rsidP="00EF1546">
      <w:pPr>
        <w:pStyle w:val="Heading1"/>
      </w:pPr>
      <w:bookmarkStart w:id="12" w:name="O_410200"/>
      <w:bookmarkEnd w:id="12"/>
      <w:r w:rsidRPr="00EF1546">
        <w:t>Unit Sector(s)</w:t>
      </w:r>
    </w:p>
    <w:p w:rsidR="00000000" w:rsidRPr="00EF1546" w:rsidP="00EF1546">
      <w:pPr>
        <w:pStyle w:val="BodyText"/>
      </w:pPr>
      <w:r w:rsidRPr="00EF1546">
        <w:t>Aviation maintenance</w:t>
      </w:r>
    </w:p>
    <w:p w:rsidR="00000000" w:rsidRPr="00EF1546" w:rsidP="00EF1546">
      <w:pPr>
        <w:pStyle w:val="AllowPageBreak"/>
      </w:pPr>
    </w:p>
    <w:p w:rsidR="00000000" w:rsidRPr="00EF1546" w:rsidP="00EF1546">
      <w:pPr>
        <w:pStyle w:val="Heading1"/>
      </w:pPr>
      <w:bookmarkStart w:id="13" w:name="O_410213"/>
      <w:bookmarkEnd w:id="13"/>
      <w:r w:rsidRPr="00EF1546">
        <w:t>Competency field</w:t>
      </w:r>
    </w:p>
    <w:p w:rsidR="00000000" w:rsidRPr="00EF1546" w:rsidP="00EF1546">
      <w:pPr>
        <w:pStyle w:val="Heading1"/>
      </w:pPr>
      <w:bookmarkStart w:id="14" w:name="O_410212"/>
      <w:bookmarkEnd w:id="14"/>
      <w:r w:rsidRPr="00EF1546">
        <w:t>Co-requisite units</w:t>
      </w:r>
    </w:p>
    <w:p w:rsidR="00000000" w:rsidRPr="00EF1546" w:rsidP="00EF1546">
      <w:pPr>
        <w:pStyle w:val="BodyText"/>
      </w:pPr>
      <w:r w:rsidRPr="00EF1546">
        <w:t>Not applicable</w:t>
      </w:r>
    </w:p>
    <w:p w:rsidR="00000000" w:rsidRPr="00EF1546" w:rsidP="00EF1546"/>
    <w:sectPr w:rsidSect="00EF1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505" w:rsidP="00520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505" w:rsidP="00EF1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0505" w:rsidP="00EF1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0505" w:rsidP="00EF1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505" w:rsidP="005205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505" w:rsidP="00EF1546">
    <w:pPr>
      <w:pStyle w:val="Header"/>
      <w:framePr w:wrap="around"/>
    </w:pPr>
    <w:r>
      <w:fldChar w:fldCharType="begin"/>
    </w:r>
    <w:r>
      <w:instrText xml:space="preserve"> TITLE   \* MERGEFORMAT </w:instrText>
    </w:r>
    <w:r>
      <w:fldChar w:fldCharType="separate"/>
    </w:r>
    <w:r>
      <w:t>MEA412A Pre-treat aluminium alloy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505" w:rsidP="00EF15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F662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CAB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5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546"/>
    <w:pPr>
      <w:spacing w:before="360" w:after="60"/>
      <w:outlineLvl w:val="0"/>
    </w:pPr>
    <w:rPr>
      <w:sz w:val="32"/>
    </w:rPr>
  </w:style>
  <w:style w:type="paragraph" w:styleId="Heading2">
    <w:name w:val="heading 2"/>
    <w:basedOn w:val="HeadingBase"/>
    <w:next w:val="BodyText"/>
    <w:link w:val="Heading2Char"/>
    <w:qFormat/>
    <w:rsid w:val="00EF1546"/>
    <w:pPr>
      <w:keepLines/>
      <w:spacing w:before="240" w:after="120"/>
      <w:outlineLvl w:val="1"/>
    </w:pPr>
    <w:rPr>
      <w:sz w:val="28"/>
      <w:szCs w:val="40"/>
    </w:rPr>
  </w:style>
  <w:style w:type="paragraph" w:styleId="Heading3">
    <w:name w:val="heading 3"/>
    <w:basedOn w:val="HeadingBase"/>
    <w:next w:val="BodyText"/>
    <w:link w:val="Heading3Char"/>
    <w:qFormat/>
    <w:rsid w:val="00EF1546"/>
    <w:pPr>
      <w:spacing w:before="180" w:after="120"/>
      <w:outlineLvl w:val="2"/>
    </w:pPr>
    <w:rPr>
      <w:spacing w:val="-10"/>
      <w:kern w:val="32"/>
    </w:rPr>
  </w:style>
  <w:style w:type="paragraph" w:styleId="Heading4">
    <w:name w:val="heading 4"/>
    <w:basedOn w:val="HeadingBase"/>
    <w:next w:val="BodyText"/>
    <w:link w:val="Heading4Char"/>
    <w:qFormat/>
    <w:rsid w:val="00EF1546"/>
    <w:pPr>
      <w:spacing w:before="160" w:after="120"/>
      <w:outlineLvl w:val="3"/>
    </w:pPr>
    <w:rPr>
      <w:sz w:val="22"/>
    </w:rPr>
  </w:style>
  <w:style w:type="paragraph" w:styleId="Heading5">
    <w:name w:val="heading 5"/>
    <w:basedOn w:val="HeadingBase"/>
    <w:next w:val="Normal"/>
    <w:link w:val="Heading5Char"/>
    <w:qFormat/>
    <w:rsid w:val="00EF1546"/>
    <w:pPr>
      <w:spacing w:before="80"/>
      <w:outlineLvl w:val="4"/>
    </w:pPr>
    <w:rPr>
      <w:color w:val="918585"/>
      <w:sz w:val="20"/>
    </w:rPr>
  </w:style>
  <w:style w:type="paragraph" w:styleId="Heading6">
    <w:name w:val="heading 6"/>
    <w:basedOn w:val="HeadingBase"/>
    <w:next w:val="Normal"/>
    <w:link w:val="Heading6Char"/>
    <w:qFormat/>
    <w:rsid w:val="00EF1546"/>
    <w:pPr>
      <w:spacing w:before="60"/>
      <w:outlineLvl w:val="5"/>
    </w:pPr>
    <w:rPr>
      <w:color w:val="918585"/>
      <w:sz w:val="20"/>
    </w:rPr>
  </w:style>
  <w:style w:type="paragraph" w:styleId="Heading7">
    <w:name w:val="heading 7"/>
    <w:basedOn w:val="Normal"/>
    <w:next w:val="Normal"/>
    <w:link w:val="Heading7Char"/>
    <w:qFormat/>
    <w:rsid w:val="00EF1546"/>
    <w:pPr>
      <w:ind w:left="720"/>
      <w:outlineLvl w:val="6"/>
    </w:pPr>
    <w:rPr>
      <w:i/>
    </w:rPr>
  </w:style>
  <w:style w:type="paragraph" w:styleId="Heading8">
    <w:name w:val="heading 8"/>
    <w:basedOn w:val="Normal"/>
    <w:next w:val="Normal"/>
    <w:link w:val="Heading8Char"/>
    <w:qFormat/>
    <w:rsid w:val="00EF1546"/>
    <w:pPr>
      <w:ind w:left="720"/>
      <w:outlineLvl w:val="7"/>
    </w:pPr>
    <w:rPr>
      <w:i/>
    </w:rPr>
  </w:style>
  <w:style w:type="paragraph" w:styleId="Heading9">
    <w:name w:val="heading 9"/>
    <w:basedOn w:val="Normal"/>
    <w:next w:val="Normal"/>
    <w:link w:val="Heading9Char"/>
    <w:qFormat/>
    <w:rsid w:val="00EF1546"/>
    <w:pPr>
      <w:ind w:left="720"/>
      <w:outlineLvl w:val="8"/>
    </w:pPr>
    <w:rPr>
      <w:i/>
    </w:rPr>
  </w:style>
  <w:style w:type="character" w:default="1" w:styleId="DefaultParagraphFont">
    <w:name w:val="Default Paragraph Font"/>
    <w:uiPriority w:val="1"/>
    <w:unhideWhenUsed/>
    <w:rsid w:val="00EF1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546"/>
  </w:style>
  <w:style w:type="character" w:customStyle="1" w:styleId="Heading1Char">
    <w:name w:val="Heading 1 Char"/>
    <w:basedOn w:val="DefaultParagraphFont"/>
    <w:link w:val="Heading1"/>
    <w:rsid w:val="00EF1546"/>
    <w:rPr>
      <w:rFonts w:ascii="Times New Roman" w:eastAsia="Times New Roman" w:hAnsi="Times New Roman" w:cs="Times New Roman"/>
      <w:b/>
      <w:sz w:val="32"/>
      <w:szCs w:val="20"/>
      <w:lang w:eastAsia="en-US"/>
    </w:rPr>
  </w:style>
  <w:style w:type="paragraph" w:styleId="BodyText">
    <w:name w:val="Body Text"/>
    <w:basedOn w:val="Normal"/>
    <w:link w:val="BodyTextChar"/>
    <w:rsid w:val="00EF1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546"/>
    <w:rPr>
      <w:rFonts w:ascii="Times New Roman" w:eastAsia="Times New Roman" w:hAnsi="Times New Roman" w:cs="Times New Roman"/>
      <w:sz w:val="24"/>
      <w:lang w:val="en-US" w:eastAsia="en-US"/>
    </w:rPr>
  </w:style>
  <w:style w:type="paragraph" w:styleId="Footer">
    <w:name w:val="footer"/>
    <w:basedOn w:val="Normal"/>
    <w:link w:val="FooterChar"/>
    <w:rsid w:val="00EF1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546"/>
    <w:rPr>
      <w:rFonts w:ascii="Times New Roman" w:eastAsia="Times New Roman" w:hAnsi="Times New Roman" w:cs="Times New Roman"/>
      <w:sz w:val="16"/>
      <w:lang w:val="en-US" w:eastAsia="en-US"/>
    </w:rPr>
  </w:style>
  <w:style w:type="paragraph" w:styleId="List">
    <w:name w:val="List"/>
    <w:basedOn w:val="BodyText"/>
    <w:next w:val="BodyText"/>
    <w:rsid w:val="00EF1546"/>
    <w:pPr>
      <w:tabs>
        <w:tab w:val="left" w:pos="340"/>
      </w:tabs>
      <w:spacing w:before="60" w:after="60"/>
      <w:ind w:left="340" w:hanging="340"/>
    </w:pPr>
  </w:style>
  <w:style w:type="paragraph" w:styleId="ListBullet">
    <w:name w:val="List Bullet"/>
    <w:basedOn w:val="List"/>
    <w:rsid w:val="00EF1546"/>
    <w:pPr>
      <w:numPr>
        <w:numId w:val="12"/>
      </w:numPr>
      <w:tabs>
        <w:tab w:val="clear" w:pos="340"/>
      </w:tabs>
      <w:spacing w:before="40" w:after="40"/>
    </w:pPr>
  </w:style>
  <w:style w:type="character" w:customStyle="1" w:styleId="SpecialBold">
    <w:name w:val="Special Bold"/>
    <w:basedOn w:val="DefaultParagraphFont"/>
    <w:rsid w:val="00EF1546"/>
    <w:rPr>
      <w:b/>
      <w:spacing w:val="0"/>
    </w:rPr>
  </w:style>
  <w:style w:type="paragraph" w:styleId="Header">
    <w:name w:val="header"/>
    <w:basedOn w:val="Normal"/>
    <w:link w:val="HeaderChar"/>
    <w:rsid w:val="00EF1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5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546"/>
    <w:pPr>
      <w:spacing w:before="240" w:after="120"/>
      <w:outlineLvl w:val="0"/>
    </w:pPr>
    <w:rPr>
      <w:rFonts w:ascii="Times New Roman" w:hAnsi="Times New Roman"/>
      <w:b/>
      <w:sz w:val="28"/>
    </w:rPr>
  </w:style>
  <w:style w:type="paragraph" w:customStyle="1" w:styleId="AllowPageBreak">
    <w:name w:val="AllowPageBreak"/>
    <w:rsid w:val="00EF1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546"/>
    <w:pPr>
      <w:tabs>
        <w:tab w:val="left" w:pos="680"/>
      </w:tabs>
      <w:spacing w:before="60" w:after="60"/>
      <w:ind w:left="680" w:hanging="340"/>
    </w:pPr>
  </w:style>
  <w:style w:type="character" w:customStyle="1" w:styleId="BoldandItalics">
    <w:name w:val="Bold and Italics"/>
    <w:qFormat/>
    <w:rsid w:val="00EF1546"/>
    <w:rPr>
      <w:b/>
      <w:i/>
      <w:u w:val="none"/>
    </w:rPr>
  </w:style>
  <w:style w:type="character" w:customStyle="1" w:styleId="Heading2Char">
    <w:name w:val="Heading 2 Char"/>
    <w:basedOn w:val="DefaultParagraphFont"/>
    <w:link w:val="Heading2"/>
    <w:rsid w:val="00EF1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5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5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546"/>
    <w:rPr>
      <w:rFonts w:ascii="Courier New" w:eastAsia="Times New Roman" w:hAnsi="Courier New" w:cs="Times New Roman"/>
      <w:i/>
      <w:szCs w:val="20"/>
      <w:lang w:val="en-US" w:eastAsia="en-US"/>
    </w:rPr>
  </w:style>
  <w:style w:type="paragraph" w:customStyle="1" w:styleId="HeadingBase">
    <w:name w:val="Heading Base"/>
    <w:rsid w:val="00EF1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546"/>
    <w:pPr>
      <w:tabs>
        <w:tab w:val="right" w:leader="dot" w:pos="9072"/>
      </w:tabs>
      <w:ind w:left="567"/>
    </w:pPr>
    <w:rPr>
      <w:szCs w:val="22"/>
    </w:rPr>
  </w:style>
  <w:style w:type="paragraph" w:customStyle="1" w:styleId="TOCBase">
    <w:name w:val="TOC Base"/>
    <w:rsid w:val="00EF1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546"/>
    <w:pPr>
      <w:tabs>
        <w:tab w:val="right" w:leader="dot" w:pos="9072"/>
      </w:tabs>
      <w:spacing w:before="40" w:after="40"/>
      <w:ind w:left="284"/>
    </w:pPr>
    <w:rPr>
      <w:rFonts w:ascii="Times New Roman" w:hAnsi="Times New Roman"/>
    </w:rPr>
  </w:style>
  <w:style w:type="paragraph" w:styleId="TOC1">
    <w:name w:val="toc 1"/>
    <w:basedOn w:val="TOCBase"/>
    <w:next w:val="Normal"/>
    <w:rsid w:val="00EF1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546"/>
    <w:pPr>
      <w:spacing w:before="5040"/>
      <w:jc w:val="center"/>
    </w:pPr>
    <w:rPr>
      <w:sz w:val="48"/>
      <w:szCs w:val="72"/>
      <w:lang w:val="en-US"/>
    </w:rPr>
  </w:style>
  <w:style w:type="character" w:customStyle="1" w:styleId="TitleChar">
    <w:name w:val="Title Char"/>
    <w:basedOn w:val="DefaultParagraphFont"/>
    <w:link w:val="Title"/>
    <w:rsid w:val="00EF1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546"/>
    <w:pPr>
      <w:tabs>
        <w:tab w:val="left" w:pos="3600"/>
        <w:tab w:val="left" w:pos="3958"/>
      </w:tabs>
    </w:pPr>
  </w:style>
  <w:style w:type="paragraph" w:customStyle="1" w:styleId="Note">
    <w:name w:val="Note"/>
    <w:basedOn w:val="BodyText"/>
    <w:rsid w:val="00EF1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546"/>
    <w:pPr>
      <w:framePr w:wrap="auto" w:hAnchor="text" w:y="6049"/>
    </w:pPr>
    <w:rPr>
      <w:color w:val="000000"/>
      <w:sz w:val="40"/>
    </w:rPr>
  </w:style>
  <w:style w:type="paragraph" w:customStyle="1" w:styleId="TOCTitle">
    <w:name w:val="TOCTitle"/>
    <w:basedOn w:val="Heading1"/>
    <w:rsid w:val="00EF1546"/>
    <w:pPr>
      <w:spacing w:after="240"/>
      <w:jc w:val="center"/>
      <w:outlineLvl w:val="9"/>
    </w:pPr>
    <w:rPr>
      <w:caps/>
    </w:rPr>
  </w:style>
  <w:style w:type="paragraph" w:customStyle="1" w:styleId="Version">
    <w:name w:val="Version"/>
    <w:rsid w:val="00EF1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546"/>
    <w:pPr>
      <w:numPr>
        <w:numId w:val="13"/>
      </w:numPr>
      <w:tabs>
        <w:tab w:val="clear" w:pos="680"/>
      </w:tabs>
    </w:pPr>
  </w:style>
  <w:style w:type="paragraph" w:styleId="Index1">
    <w:name w:val="index 1"/>
    <w:basedOn w:val="Normal"/>
    <w:next w:val="Normal"/>
    <w:semiHidden/>
    <w:rsid w:val="00EF1546"/>
    <w:pPr>
      <w:keepNext w:val="0"/>
      <w:tabs>
        <w:tab w:val="right" w:pos="4176"/>
      </w:tabs>
      <w:ind w:left="198" w:hanging="198"/>
    </w:pPr>
    <w:rPr>
      <w:rFonts w:ascii="Garamond" w:hAnsi="Garamond"/>
    </w:rPr>
  </w:style>
  <w:style w:type="paragraph" w:styleId="IndexHeading">
    <w:name w:val="index heading"/>
    <w:basedOn w:val="Normal"/>
    <w:next w:val="Index1"/>
    <w:semiHidden/>
    <w:rsid w:val="00EF1546"/>
    <w:pPr>
      <w:spacing w:before="120" w:after="120"/>
    </w:pPr>
    <w:rPr>
      <w:rFonts w:ascii="Arial" w:hAnsi="Arial"/>
      <w:b/>
      <w:color w:val="918585"/>
      <w:sz w:val="24"/>
    </w:rPr>
  </w:style>
  <w:style w:type="paragraph" w:customStyle="1" w:styleId="Chapter">
    <w:name w:val="Chapter"/>
    <w:basedOn w:val="Normal"/>
    <w:rsid w:val="00EF1546"/>
    <w:pPr>
      <w:spacing w:before="240"/>
    </w:pPr>
    <w:rPr>
      <w:rFonts w:ascii="Times New Roman" w:hAnsi="Times New Roman"/>
      <w:smallCaps/>
      <w:spacing w:val="80"/>
      <w:sz w:val="28"/>
    </w:rPr>
  </w:style>
  <w:style w:type="paragraph" w:customStyle="1" w:styleId="InChapter">
    <w:name w:val="InChapter"/>
    <w:basedOn w:val="Heading3"/>
    <w:rsid w:val="00EF1546"/>
    <w:pPr>
      <w:spacing w:after="240"/>
      <w:outlineLvl w:val="9"/>
    </w:pPr>
    <w:rPr>
      <w:noProof/>
    </w:rPr>
  </w:style>
  <w:style w:type="paragraph" w:styleId="Index2">
    <w:name w:val="index 2"/>
    <w:basedOn w:val="Normal"/>
    <w:next w:val="Normal"/>
    <w:semiHidden/>
    <w:rsid w:val="00EF1546"/>
    <w:pPr>
      <w:tabs>
        <w:tab w:val="right" w:pos="4176"/>
      </w:tabs>
      <w:ind w:left="568" w:hanging="284"/>
    </w:pPr>
    <w:rPr>
      <w:rFonts w:ascii="Garamond" w:hAnsi="Garamond"/>
    </w:rPr>
  </w:style>
  <w:style w:type="paragraph" w:customStyle="1" w:styleId="Byline">
    <w:name w:val="Byline"/>
    <w:rsid w:val="00EF1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546"/>
    <w:pPr>
      <w:tabs>
        <w:tab w:val="clear" w:pos="3600"/>
        <w:tab w:val="clear" w:pos="3958"/>
      </w:tabs>
      <w:jc w:val="right"/>
    </w:pPr>
  </w:style>
  <w:style w:type="character" w:styleId="Emphasis">
    <w:name w:val="Emphasis"/>
    <w:basedOn w:val="DefaultParagraphFont"/>
    <w:qFormat/>
    <w:rsid w:val="00EF1546"/>
    <w:rPr>
      <w:i/>
    </w:rPr>
  </w:style>
  <w:style w:type="paragraph" w:styleId="Caption">
    <w:name w:val="caption"/>
    <w:basedOn w:val="BodyText"/>
    <w:next w:val="Normal"/>
    <w:qFormat/>
    <w:rsid w:val="00EF1546"/>
    <w:pPr>
      <w:framePr w:w="2268" w:hSpace="181" w:vSpace="181" w:wrap="around" w:vAnchor="text" w:hAnchor="page" w:x="1135" w:y="285" w:anchorLock="1"/>
    </w:pPr>
    <w:rPr>
      <w:i/>
    </w:rPr>
  </w:style>
  <w:style w:type="paragraph" w:customStyle="1" w:styleId="MiniTOCTitle">
    <w:name w:val="MiniTOCTitle"/>
    <w:basedOn w:val="Heading4"/>
    <w:rsid w:val="00EF1546"/>
    <w:pPr>
      <w:spacing w:before="240"/>
      <w:outlineLvl w:val="9"/>
    </w:pPr>
    <w:rPr>
      <w:noProof/>
      <w:sz w:val="24"/>
    </w:rPr>
  </w:style>
  <w:style w:type="paragraph" w:customStyle="1" w:styleId="MiniTOCItem">
    <w:name w:val="MiniTOCItem"/>
    <w:basedOn w:val="ListBullet"/>
    <w:rsid w:val="00EF1546"/>
    <w:pPr>
      <w:numPr>
        <w:numId w:val="0"/>
      </w:numPr>
      <w:tabs>
        <w:tab w:val="right" w:leader="dot" w:pos="6521"/>
      </w:tabs>
      <w:spacing w:before="0" w:after="0"/>
    </w:pPr>
  </w:style>
  <w:style w:type="paragraph" w:customStyle="1" w:styleId="TOFTitle">
    <w:name w:val="TOFTitle"/>
    <w:basedOn w:val="TOCTitle"/>
    <w:rsid w:val="00EF1546"/>
  </w:style>
  <w:style w:type="paragraph" w:styleId="TableofFigures">
    <w:name w:val="table of figures"/>
    <w:basedOn w:val="Normal"/>
    <w:next w:val="Normal"/>
    <w:semiHidden/>
    <w:rsid w:val="00EF1546"/>
    <w:pPr>
      <w:tabs>
        <w:tab w:val="right" w:leader="dot" w:pos="9072"/>
      </w:tabs>
      <w:ind w:left="970" w:hanging="403"/>
    </w:pPr>
    <w:rPr>
      <w:rFonts w:ascii="Times New Roman" w:hAnsi="Times New Roman"/>
      <w:b/>
    </w:rPr>
  </w:style>
  <w:style w:type="paragraph" w:styleId="ListNumber">
    <w:name w:val="List Number"/>
    <w:basedOn w:val="List"/>
    <w:rsid w:val="00EF1546"/>
    <w:pPr>
      <w:numPr>
        <w:numId w:val="10"/>
      </w:numPr>
    </w:pPr>
  </w:style>
  <w:style w:type="character" w:customStyle="1" w:styleId="WingdingSymbols">
    <w:name w:val="Wingding Symbols"/>
    <w:rsid w:val="00EF1546"/>
    <w:rPr>
      <w:rFonts w:ascii="Wingdings" w:hAnsi="Wingdings"/>
    </w:rPr>
  </w:style>
  <w:style w:type="paragraph" w:customStyle="1" w:styleId="TableHeading">
    <w:name w:val="Table Heading"/>
    <w:basedOn w:val="HeadingBase"/>
    <w:rsid w:val="00EF1546"/>
    <w:pPr>
      <w:keepLines/>
      <w:pBdr>
        <w:bottom w:val="single" w:sz="6" w:space="1" w:color="918585"/>
      </w:pBdr>
      <w:spacing w:before="240"/>
    </w:pPr>
  </w:style>
  <w:style w:type="character" w:customStyle="1" w:styleId="HotSpot">
    <w:name w:val="HotSpot"/>
    <w:rsid w:val="00EF1546"/>
    <w:rPr>
      <w:color w:val="0033CC"/>
      <w:u w:val="none"/>
    </w:rPr>
  </w:style>
  <w:style w:type="paragraph" w:customStyle="1" w:styleId="BodyTextRight">
    <w:name w:val="Body Text Right"/>
    <w:basedOn w:val="BodyText"/>
    <w:rsid w:val="00EF1546"/>
    <w:pPr>
      <w:spacing w:before="0" w:after="0"/>
      <w:jc w:val="right"/>
    </w:pPr>
  </w:style>
  <w:style w:type="paragraph" w:styleId="Index3">
    <w:name w:val="index 3"/>
    <w:basedOn w:val="ListNumber2"/>
    <w:next w:val="Normal"/>
    <w:semiHidden/>
    <w:rsid w:val="00EF1546"/>
    <w:pPr>
      <w:numPr>
        <w:numId w:val="0"/>
      </w:numPr>
      <w:tabs>
        <w:tab w:val="right" w:leader="dot" w:pos="4176"/>
      </w:tabs>
    </w:pPr>
  </w:style>
  <w:style w:type="paragraph" w:styleId="ListNumber2">
    <w:name w:val="List Number 2"/>
    <w:basedOn w:val="List2"/>
    <w:rsid w:val="00EF1546"/>
    <w:pPr>
      <w:numPr>
        <w:numId w:val="9"/>
      </w:numPr>
      <w:tabs>
        <w:tab w:val="clear" w:pos="1060"/>
      </w:tabs>
    </w:pPr>
  </w:style>
  <w:style w:type="paragraph" w:customStyle="1" w:styleId="MarginNote">
    <w:name w:val="Margin Note"/>
    <w:basedOn w:val="BodyText"/>
    <w:rsid w:val="00EF1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5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546"/>
    <w:rPr>
      <w:sz w:val="32"/>
    </w:rPr>
  </w:style>
  <w:style w:type="paragraph" w:customStyle="1" w:styleId="HeadingProcedure">
    <w:name w:val="Heading Procedure"/>
    <w:basedOn w:val="HeadingBase"/>
    <w:next w:val="Normal"/>
    <w:rsid w:val="00EF1546"/>
    <w:pPr>
      <w:tabs>
        <w:tab w:val="left" w:pos="0"/>
      </w:tabs>
      <w:spacing w:before="120" w:after="60"/>
    </w:pPr>
    <w:rPr>
      <w:i/>
      <w:color w:val="918585"/>
      <w:sz w:val="22"/>
    </w:rPr>
  </w:style>
  <w:style w:type="paragraph" w:customStyle="1" w:styleId="TableBodyText">
    <w:name w:val="Table Body Text"/>
    <w:basedOn w:val="BodyText"/>
    <w:rsid w:val="00EF1546"/>
    <w:pPr>
      <w:spacing w:before="60" w:after="60"/>
    </w:pPr>
  </w:style>
  <w:style w:type="paragraph" w:styleId="ListContinue">
    <w:name w:val="List Continue"/>
    <w:basedOn w:val="List"/>
    <w:rsid w:val="00EF1546"/>
    <w:pPr>
      <w:ind w:firstLine="0"/>
    </w:pPr>
  </w:style>
  <w:style w:type="paragraph" w:customStyle="1" w:styleId="ListNote">
    <w:name w:val="List Note"/>
    <w:basedOn w:val="List"/>
    <w:rsid w:val="00EF1546"/>
    <w:pPr>
      <w:pBdr>
        <w:top w:val="single" w:sz="6" w:space="2" w:color="918585"/>
        <w:bottom w:val="single" w:sz="6" w:space="2" w:color="918585"/>
      </w:pBdr>
      <w:tabs>
        <w:tab w:val="left" w:pos="1021"/>
      </w:tabs>
      <w:ind w:firstLine="0"/>
    </w:pPr>
  </w:style>
  <w:style w:type="paragraph" w:customStyle="1" w:styleId="Warning">
    <w:name w:val="Warning"/>
    <w:basedOn w:val="BodyText"/>
    <w:rsid w:val="00EF1546"/>
    <w:pPr>
      <w:shd w:val="clear" w:color="auto" w:fill="D9D9D9"/>
      <w:tabs>
        <w:tab w:val="left" w:pos="992"/>
      </w:tabs>
      <w:ind w:left="119" w:right="119"/>
    </w:pPr>
    <w:rPr>
      <w:sz w:val="20"/>
    </w:rPr>
  </w:style>
  <w:style w:type="paragraph" w:customStyle="1" w:styleId="MarginIcons">
    <w:name w:val="Margin Icons"/>
    <w:basedOn w:val="BodyText"/>
    <w:rsid w:val="00EF1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546"/>
    <w:rPr>
      <w:rFonts w:ascii="Courier New" w:hAnsi="Courier New"/>
    </w:rPr>
  </w:style>
  <w:style w:type="paragraph" w:customStyle="1" w:styleId="NoteBullet">
    <w:name w:val="Note Bullet"/>
    <w:basedOn w:val="Note"/>
    <w:rsid w:val="00EF1546"/>
    <w:pPr>
      <w:tabs>
        <w:tab w:val="clear" w:pos="680"/>
      </w:tabs>
      <w:spacing w:before="60" w:after="60"/>
    </w:pPr>
  </w:style>
  <w:style w:type="paragraph" w:customStyle="1" w:styleId="SubHeading2">
    <w:name w:val="SubHeading2"/>
    <w:basedOn w:val="HeadingBase"/>
    <w:rsid w:val="00EF1546"/>
    <w:pPr>
      <w:spacing w:before="240" w:after="60"/>
    </w:pPr>
    <w:rPr>
      <w:sz w:val="20"/>
    </w:rPr>
  </w:style>
  <w:style w:type="paragraph" w:customStyle="1" w:styleId="SubHeading1">
    <w:name w:val="SubHeading1"/>
    <w:basedOn w:val="HeadingBase"/>
    <w:rsid w:val="00EF1546"/>
    <w:pPr>
      <w:spacing w:before="240" w:after="60"/>
    </w:pPr>
    <w:rPr>
      <w:color w:val="918585"/>
      <w:sz w:val="22"/>
    </w:rPr>
  </w:style>
  <w:style w:type="paragraph" w:customStyle="1" w:styleId="SideHeading">
    <w:name w:val="Side Heading"/>
    <w:basedOn w:val="HeadingBase"/>
    <w:rsid w:val="00EF1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546"/>
    <w:pPr>
      <w:tabs>
        <w:tab w:val="num" w:pos="360"/>
      </w:tabs>
    </w:pPr>
  </w:style>
  <w:style w:type="paragraph" w:styleId="PlainText">
    <w:name w:val="Plain Text"/>
    <w:basedOn w:val="Normal"/>
    <w:link w:val="PlainTextChar"/>
    <w:rsid w:val="00EF1546"/>
    <w:rPr>
      <w:sz w:val="20"/>
    </w:rPr>
  </w:style>
  <w:style w:type="character" w:customStyle="1" w:styleId="PlainTextChar">
    <w:name w:val="Plain Text Char"/>
    <w:basedOn w:val="DefaultParagraphFont"/>
    <w:link w:val="PlainText"/>
    <w:rsid w:val="00EF15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546"/>
    <w:rPr>
      <w:b/>
      <w:smallCaps/>
    </w:rPr>
  </w:style>
  <w:style w:type="paragraph" w:customStyle="1" w:styleId="TableListNumber">
    <w:name w:val="Table List Number"/>
    <w:basedOn w:val="ListNumber"/>
    <w:rsid w:val="00EF1546"/>
    <w:pPr>
      <w:numPr>
        <w:numId w:val="0"/>
      </w:numPr>
    </w:pPr>
  </w:style>
  <w:style w:type="paragraph" w:styleId="TOC4">
    <w:name w:val="toc 4"/>
    <w:basedOn w:val="TOCBase"/>
    <w:next w:val="Normal"/>
    <w:semiHidden/>
    <w:rsid w:val="00EF1546"/>
    <w:pPr>
      <w:tabs>
        <w:tab w:val="right" w:leader="dot" w:pos="9071"/>
      </w:tabs>
      <w:ind w:left="1701"/>
    </w:pPr>
  </w:style>
  <w:style w:type="paragraph" w:customStyle="1" w:styleId="ListAlpha">
    <w:name w:val="List Alpha"/>
    <w:basedOn w:val="List"/>
    <w:rsid w:val="00EF1546"/>
    <w:pPr>
      <w:numPr>
        <w:numId w:val="8"/>
      </w:numPr>
    </w:pPr>
  </w:style>
  <w:style w:type="paragraph" w:customStyle="1" w:styleId="ListAlpha2">
    <w:name w:val="List Alpha 2"/>
    <w:basedOn w:val="List2"/>
    <w:rsid w:val="00EF1546"/>
    <w:pPr>
      <w:numPr>
        <w:numId w:val="7"/>
      </w:numPr>
    </w:pPr>
  </w:style>
  <w:style w:type="paragraph" w:styleId="List3">
    <w:name w:val="List 3"/>
    <w:basedOn w:val="BodyText"/>
    <w:rsid w:val="00EF1546"/>
    <w:pPr>
      <w:tabs>
        <w:tab w:val="left" w:pos="1021"/>
      </w:tabs>
      <w:spacing w:before="60" w:after="60"/>
      <w:ind w:left="1020" w:hanging="340"/>
    </w:pPr>
  </w:style>
  <w:style w:type="paragraph" w:styleId="List4">
    <w:name w:val="List 4"/>
    <w:basedOn w:val="BodyText"/>
    <w:rsid w:val="00EF1546"/>
    <w:pPr>
      <w:tabs>
        <w:tab w:val="left" w:pos="1361"/>
      </w:tabs>
      <w:spacing w:before="60" w:after="60"/>
      <w:ind w:left="1361" w:hanging="340"/>
    </w:pPr>
  </w:style>
  <w:style w:type="paragraph" w:styleId="List5">
    <w:name w:val="List 5"/>
    <w:basedOn w:val="BodyText"/>
    <w:rsid w:val="00EF1546"/>
    <w:pPr>
      <w:tabs>
        <w:tab w:val="left" w:pos="1701"/>
      </w:tabs>
      <w:spacing w:before="60" w:after="60"/>
      <w:ind w:left="1701" w:hanging="340"/>
    </w:pPr>
  </w:style>
  <w:style w:type="paragraph" w:styleId="ListBullet3">
    <w:name w:val="List Bullet 3"/>
    <w:basedOn w:val="List3"/>
    <w:rsid w:val="00EF1546"/>
    <w:pPr>
      <w:numPr>
        <w:numId w:val="14"/>
      </w:numPr>
      <w:tabs>
        <w:tab w:val="clear" w:pos="1021"/>
      </w:tabs>
      <w:ind w:left="1037" w:hanging="357"/>
    </w:pPr>
  </w:style>
  <w:style w:type="paragraph" w:styleId="ListBullet4">
    <w:name w:val="List Bullet 4"/>
    <w:basedOn w:val="List4"/>
    <w:rsid w:val="00EF1546"/>
    <w:pPr>
      <w:numPr>
        <w:numId w:val="2"/>
      </w:numPr>
    </w:pPr>
  </w:style>
  <w:style w:type="paragraph" w:styleId="ListBullet5">
    <w:name w:val="List Bullet 5"/>
    <w:basedOn w:val="List5"/>
    <w:rsid w:val="00EF1546"/>
    <w:pPr>
      <w:numPr>
        <w:numId w:val="3"/>
      </w:numPr>
    </w:pPr>
  </w:style>
  <w:style w:type="paragraph" w:styleId="ListContinue2">
    <w:name w:val="List Continue 2"/>
    <w:basedOn w:val="List2"/>
    <w:rsid w:val="00EF1546"/>
    <w:pPr>
      <w:ind w:firstLine="0"/>
    </w:pPr>
  </w:style>
  <w:style w:type="paragraph" w:styleId="ListContinue3">
    <w:name w:val="List Continue 3"/>
    <w:basedOn w:val="List3"/>
    <w:rsid w:val="00EF1546"/>
    <w:pPr>
      <w:ind w:left="1021" w:firstLine="0"/>
    </w:pPr>
  </w:style>
  <w:style w:type="paragraph" w:styleId="ListContinue4">
    <w:name w:val="List Continue 4"/>
    <w:basedOn w:val="List4"/>
    <w:rsid w:val="00EF1546"/>
    <w:pPr>
      <w:ind w:firstLine="0"/>
    </w:pPr>
  </w:style>
  <w:style w:type="paragraph" w:styleId="ListContinue5">
    <w:name w:val="List Continue 5"/>
    <w:basedOn w:val="List5"/>
    <w:rsid w:val="00EF1546"/>
    <w:pPr>
      <w:ind w:firstLine="0"/>
    </w:pPr>
  </w:style>
  <w:style w:type="paragraph" w:styleId="ListNumber3">
    <w:name w:val="List Number 3"/>
    <w:basedOn w:val="List3"/>
    <w:rsid w:val="00EF1546"/>
    <w:pPr>
      <w:numPr>
        <w:numId w:val="4"/>
      </w:numPr>
    </w:pPr>
  </w:style>
  <w:style w:type="paragraph" w:styleId="ListNumber4">
    <w:name w:val="List Number 4"/>
    <w:basedOn w:val="List4"/>
    <w:rsid w:val="00EF1546"/>
    <w:pPr>
      <w:numPr>
        <w:numId w:val="5"/>
      </w:numPr>
    </w:pPr>
  </w:style>
  <w:style w:type="paragraph" w:styleId="ListNumber5">
    <w:name w:val="List Number 5"/>
    <w:basedOn w:val="List5"/>
    <w:rsid w:val="00EF1546"/>
    <w:pPr>
      <w:numPr>
        <w:numId w:val="6"/>
      </w:numPr>
    </w:pPr>
  </w:style>
  <w:style w:type="paragraph" w:styleId="BlockText">
    <w:name w:val="Block Text"/>
    <w:basedOn w:val="Normal"/>
    <w:rsid w:val="00EF1546"/>
    <w:pPr>
      <w:spacing w:after="120"/>
      <w:ind w:left="1440" w:right="1440"/>
    </w:pPr>
  </w:style>
  <w:style w:type="character" w:customStyle="1" w:styleId="Subscript">
    <w:name w:val="Subscript"/>
    <w:basedOn w:val="DefaultParagraphFont"/>
    <w:rsid w:val="00EF1546"/>
    <w:rPr>
      <w:sz w:val="16"/>
      <w:vertAlign w:val="subscript"/>
    </w:rPr>
  </w:style>
  <w:style w:type="character" w:customStyle="1" w:styleId="Superscript">
    <w:name w:val="Superscript"/>
    <w:basedOn w:val="DefaultParagraphFont"/>
    <w:rsid w:val="00EF1546"/>
    <w:rPr>
      <w:sz w:val="16"/>
      <w:vertAlign w:val="superscript"/>
    </w:rPr>
  </w:style>
  <w:style w:type="character" w:customStyle="1" w:styleId="Symbols">
    <w:name w:val="Symbols"/>
    <w:basedOn w:val="DefaultParagraphFont"/>
    <w:rsid w:val="00EF1546"/>
    <w:rPr>
      <w:rFonts w:ascii="Symbol" w:hAnsi="Symbol"/>
    </w:rPr>
  </w:style>
  <w:style w:type="character" w:customStyle="1" w:styleId="MenuOptions">
    <w:name w:val="Menu Options"/>
    <w:basedOn w:val="DefaultParagraphFont"/>
    <w:rsid w:val="00EF1546"/>
    <w:rPr>
      <w:rFonts w:ascii="Arial Narrow" w:hAnsi="Arial Narrow"/>
      <w:smallCaps/>
    </w:rPr>
  </w:style>
  <w:style w:type="character" w:customStyle="1" w:styleId="Buttons">
    <w:name w:val="Buttons"/>
    <w:basedOn w:val="DefaultParagraphFont"/>
    <w:rsid w:val="00EF1546"/>
    <w:rPr>
      <w:b/>
    </w:rPr>
  </w:style>
  <w:style w:type="character" w:customStyle="1" w:styleId="Underlined">
    <w:name w:val="Underlined"/>
    <w:basedOn w:val="DefaultParagraphFont"/>
    <w:rsid w:val="00EF1546"/>
    <w:rPr>
      <w:u w:val="single"/>
    </w:rPr>
  </w:style>
  <w:style w:type="paragraph" w:customStyle="1" w:styleId="TableBodyTextRight">
    <w:name w:val="Table Body Text Right"/>
    <w:basedOn w:val="TableBodyText"/>
    <w:rsid w:val="00EF1546"/>
    <w:pPr>
      <w:widowControl w:val="0"/>
      <w:autoSpaceDE w:val="0"/>
      <w:autoSpaceDN w:val="0"/>
      <w:adjustRightInd w:val="0"/>
      <w:jc w:val="right"/>
    </w:pPr>
    <w:rPr>
      <w:rFonts w:cs="Arial"/>
      <w:szCs w:val="18"/>
    </w:rPr>
  </w:style>
  <w:style w:type="paragraph" w:customStyle="1" w:styleId="CopyrightText">
    <w:name w:val="Copyright Text"/>
    <w:basedOn w:val="BodyText"/>
    <w:rsid w:val="00EF1546"/>
    <w:rPr>
      <w:sz w:val="18"/>
    </w:rPr>
  </w:style>
  <w:style w:type="paragraph" w:customStyle="1" w:styleId="BodySmallRight">
    <w:name w:val="Body Small Right"/>
    <w:basedOn w:val="BodyTextRight"/>
    <w:rsid w:val="00EF1546"/>
    <w:rPr>
      <w:sz w:val="18"/>
      <w:szCs w:val="18"/>
    </w:rPr>
  </w:style>
  <w:style w:type="paragraph" w:customStyle="1" w:styleId="MarginEdition">
    <w:name w:val="Margin Edition"/>
    <w:basedOn w:val="MarginNote"/>
    <w:rsid w:val="00EF1546"/>
    <w:pPr>
      <w:spacing w:before="0" w:after="0"/>
    </w:pPr>
    <w:rPr>
      <w:rFonts w:ascii="Times New Roman" w:hAnsi="Times New Roman"/>
      <w:color w:val="999999"/>
    </w:rPr>
  </w:style>
  <w:style w:type="paragraph" w:customStyle="1" w:styleId="Spacer">
    <w:name w:val="Spacer"/>
    <w:basedOn w:val="Normal"/>
    <w:rsid w:val="00EF1546"/>
    <w:rPr>
      <w:sz w:val="2"/>
      <w:szCs w:val="2"/>
    </w:rPr>
  </w:style>
  <w:style w:type="character" w:customStyle="1" w:styleId="Small">
    <w:name w:val="Small"/>
    <w:basedOn w:val="DefaultParagraphFont"/>
    <w:rsid w:val="00EF1546"/>
    <w:rPr>
      <w:sz w:val="16"/>
    </w:rPr>
  </w:style>
  <w:style w:type="paragraph" w:customStyle="1" w:styleId="WideTable">
    <w:name w:val="Wide Table"/>
    <w:basedOn w:val="Normal"/>
    <w:rsid w:val="00EF1546"/>
    <w:pPr>
      <w:ind w:left="-1418"/>
    </w:pPr>
    <w:rPr>
      <w:sz w:val="2"/>
      <w:szCs w:val="2"/>
    </w:rPr>
  </w:style>
  <w:style w:type="character" w:styleId="PageNumber">
    <w:name w:val="page number"/>
    <w:basedOn w:val="DefaultParagraphFont"/>
    <w:rsid w:val="00EF1546"/>
  </w:style>
  <w:style w:type="paragraph" w:styleId="Quote">
    <w:name w:val="Quote"/>
    <w:basedOn w:val="Heading1"/>
    <w:link w:val="QuoteChar"/>
    <w:qFormat/>
    <w:rsid w:val="00EF1546"/>
    <w:rPr>
      <w:b w:val="0"/>
      <w:sz w:val="72"/>
      <w:szCs w:val="72"/>
      <w:lang w:val="en-NZ"/>
    </w:rPr>
  </w:style>
  <w:style w:type="character" w:customStyle="1" w:styleId="QuoteChar">
    <w:name w:val="Quote Char"/>
    <w:basedOn w:val="DefaultParagraphFont"/>
    <w:link w:val="Quote"/>
    <w:rsid w:val="00EF1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546"/>
    <w:pPr>
      <w:pageBreakBefore/>
    </w:pPr>
  </w:style>
  <w:style w:type="paragraph" w:customStyle="1" w:styleId="Border">
    <w:name w:val="Border"/>
    <w:basedOn w:val="Normal"/>
    <w:qFormat/>
    <w:rsid w:val="00EF1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546"/>
    <w:rPr>
      <w:b/>
      <w:bCs/>
      <w:i/>
      <w:iCs/>
      <w:color w:val="auto"/>
    </w:rPr>
  </w:style>
  <w:style w:type="paragraph" w:styleId="IntenseQuote">
    <w:name w:val="Intense Quote"/>
    <w:basedOn w:val="Normal"/>
    <w:next w:val="Normal"/>
    <w:link w:val="IntenseQuoteChar"/>
    <w:uiPriority w:val="30"/>
    <w:qFormat/>
    <w:rsid w:val="00EF1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5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546"/>
    <w:rPr>
      <w:smallCaps/>
      <w:color w:val="auto"/>
      <w:u w:val="single"/>
    </w:rPr>
  </w:style>
  <w:style w:type="character" w:styleId="IntenseReference">
    <w:name w:val="Intense Reference"/>
    <w:basedOn w:val="DefaultParagraphFont"/>
    <w:uiPriority w:val="32"/>
    <w:qFormat/>
    <w:rsid w:val="00EF1546"/>
    <w:rPr>
      <w:b/>
      <w:bCs/>
      <w:smallCaps/>
      <w:color w:val="auto"/>
      <w:spacing w:val="5"/>
      <w:u w:val="single"/>
    </w:rPr>
  </w:style>
  <w:style w:type="paragraph" w:customStyle="1" w:styleId="2ColumnHeading">
    <w:name w:val="2Column Heading"/>
    <w:basedOn w:val="BodyText"/>
    <w:qFormat/>
    <w:rsid w:val="00EF1546"/>
    <w:pPr>
      <w:spacing w:after="60"/>
      <w:ind w:left="-2268"/>
    </w:pPr>
    <w:rPr>
      <w:b/>
    </w:rPr>
  </w:style>
  <w:style w:type="paragraph" w:customStyle="1" w:styleId="Heading1TOC">
    <w:name w:val="Heading1 TOC"/>
    <w:basedOn w:val="Normal"/>
    <w:qFormat/>
    <w:rsid w:val="00EF1546"/>
    <w:pPr>
      <w:spacing w:before="240" w:after="120"/>
    </w:pPr>
    <w:rPr>
      <w:rFonts w:ascii="Times New Roman" w:hAnsi="Times New Roman"/>
      <w:b/>
      <w:sz w:val="32"/>
    </w:rPr>
  </w:style>
  <w:style w:type="paragraph" w:customStyle="1" w:styleId="Heading2TOC">
    <w:name w:val="Heading2 TOC"/>
    <w:basedOn w:val="Normal"/>
    <w:qFormat/>
    <w:rsid w:val="00EF1546"/>
    <w:pPr>
      <w:spacing w:before="240" w:after="60"/>
    </w:pPr>
    <w:rPr>
      <w:rFonts w:ascii="Times New Roman" w:hAnsi="Times New Roman"/>
      <w:b/>
      <w:sz w:val="28"/>
    </w:rPr>
  </w:style>
  <w:style w:type="character" w:customStyle="1" w:styleId="Underline">
    <w:name w:val="Underline"/>
    <w:basedOn w:val="DefaultParagraphFont"/>
    <w:qFormat/>
    <w:rsid w:val="00EF1546"/>
    <w:rPr>
      <w:u w:val="single"/>
    </w:rPr>
  </w:style>
  <w:style w:type="paragraph" w:styleId="BalloonText">
    <w:name w:val="Balloon Text"/>
    <w:basedOn w:val="Normal"/>
    <w:link w:val="BalloonTextChar"/>
    <w:rsid w:val="00EF1546"/>
    <w:rPr>
      <w:rFonts w:ascii="Tahoma" w:hAnsi="Tahoma" w:cs="Tahoma"/>
      <w:sz w:val="16"/>
      <w:szCs w:val="16"/>
    </w:rPr>
  </w:style>
  <w:style w:type="character" w:customStyle="1" w:styleId="BalloonTextChar">
    <w:name w:val="Balloon Text Char"/>
    <w:basedOn w:val="DefaultParagraphFont"/>
    <w:link w:val="BalloonText"/>
    <w:rsid w:val="00EF15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5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7564</Characters>
  <Application>Microsoft Office Word</Application>
  <DocSecurity>0</DocSecurity>
  <Lines>232</Lines>
  <Paragraphs>124</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MEA412A Pre-treat aluminium alloy surfaces</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2012-05-27T09:15:00Z</dcterms:created>
  <dcterms:modified xsi:type="dcterms:W3CDTF">2012-05-27T09:15:00Z</dcterms:modified>
</cp:coreProperties>
</file>