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35AE" w:rsidP="00B135AE">
      <w:pPr>
        <w:pStyle w:val="Title"/>
      </w:pPr>
      <w:bookmarkStart w:id="0" w:name="_GoBack"/>
      <w:bookmarkEnd w:id="0"/>
      <w:r>
        <w:fldChar w:fldCharType="begin"/>
      </w:r>
      <w:r>
        <w:instrText xml:space="preserve"> TITLE   \* MERGEFORMAT </w:instrText>
      </w:r>
      <w:r>
        <w:fldChar w:fldCharType="separate"/>
      </w:r>
      <w:r>
        <w:t>MEA387A Test gas turbine engines and engine modules after overhaul or repair</w:t>
      </w:r>
      <w:r>
        <w:fldChar w:fldCharType="end"/>
      </w:r>
    </w:p>
    <w:p w:rsidR="00B135AE" w:rsidP="00B135AE">
      <w:pPr>
        <w:pStyle w:val="Version"/>
        <w:sectPr w:rsidSect="00AF0DD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AF0DDC" w:rsidP="00AF0DDC">
      <w:pPr>
        <w:pStyle w:val="SuperHeading"/>
      </w:pPr>
      <w:r w:rsidRPr="00AF0DDC">
        <w:t>MEA387A Test gas turbine engines and engine modules after overhaul or repair</w:t>
      </w:r>
    </w:p>
    <w:p w:rsidR="00000000" w:rsidRPr="00AF0DDC" w:rsidP="00AF0DDC">
      <w:pPr>
        <w:pStyle w:val="SuperHeading"/>
      </w:pPr>
    </w:p>
    <w:p w:rsidR="00000000" w:rsidRPr="00AF0DDC" w:rsidP="00AF0DDC">
      <w:pPr>
        <w:pStyle w:val="Heading1"/>
      </w:pPr>
      <w:bookmarkStart w:id="1" w:name="O_410046"/>
      <w:bookmarkEnd w:id="1"/>
      <w:r w:rsidRPr="00AF0DDC">
        <w:t>Modification History</w:t>
      </w:r>
    </w:p>
    <w:p w:rsidR="00000000" w:rsidRPr="00AF0DDC" w:rsidP="00AF0DDC">
      <w:pPr>
        <w:pStyle w:val="BodyText"/>
      </w:pPr>
      <w:r w:rsidRPr="00AF0DDC">
        <w:t>Minor formatting and editorial changes made.</w:t>
      </w:r>
    </w:p>
    <w:p w:rsidR="00000000" w:rsidRPr="00AF0DDC" w:rsidP="00AF0DDC">
      <w:pPr>
        <w:pStyle w:val="AllowPageBreak"/>
      </w:pPr>
    </w:p>
    <w:p w:rsidR="00000000" w:rsidRPr="00AF0DDC" w:rsidP="00AF0DDC">
      <w:pPr>
        <w:pStyle w:val="Heading1"/>
      </w:pPr>
      <w:bookmarkStart w:id="2" w:name="O_410042"/>
      <w:bookmarkEnd w:id="2"/>
      <w:r w:rsidRPr="00AF0DDC">
        <w:t>Unit Descriptor</w:t>
      </w:r>
    </w:p>
    <w:tbl>
      <w:tblPr>
        <w:tblW w:w="0" w:type="auto"/>
        <w:tblLayout w:type="fixed"/>
        <w:tblCellMar>
          <w:left w:w="62" w:type="dxa"/>
          <w:right w:w="62" w:type="dxa"/>
        </w:tblCellMar>
        <w:tblLook w:val="0000"/>
      </w:tblPr>
      <w:tblGrid>
        <w:gridCol w:w="8820"/>
      </w:tblGrid>
      <w:tr w:rsidTr="00B135AE">
        <w:tblPrEx>
          <w:tblW w:w="0" w:type="auto"/>
          <w:tblLayout w:type="fixed"/>
          <w:tblCellMar>
            <w:left w:w="62" w:type="dxa"/>
            <w:right w:w="62" w:type="dxa"/>
          </w:tblCellMar>
          <w:tblLook w:val="0000"/>
        </w:tblPrEx>
        <w:trPr>
          <w:tblHeader/>
        </w:trPr>
        <w:tc>
          <w:tcPr>
            <w:tcW w:w="8820" w:type="dxa"/>
            <w:tcBorders>
              <w:top w:val="nil"/>
              <w:left w:val="nil"/>
              <w:bottom w:val="nil"/>
              <w:right w:val="nil"/>
            </w:tcBorders>
            <w:tcMar>
              <w:top w:w="0" w:type="dxa"/>
              <w:left w:w="62" w:type="dxa"/>
              <w:bottom w:w="0" w:type="dxa"/>
              <w:right w:w="62" w:type="dxa"/>
            </w:tcMar>
          </w:tcPr>
          <w:p w:rsidR="00000000" w:rsidRPr="00AF0DDC" w:rsidP="00AF0DDC">
            <w:pPr>
              <w:pStyle w:val="BodyText"/>
            </w:pPr>
            <w:r w:rsidRPr="00AF0DDC">
              <w:t>This unit of competency is part of the Mechanical Certificate IV (Component Workshop Maintenance Stream) training pathway. It covers the competencies required to test run gas turbine engines or engine modules after overhaul or re</w:t>
            </w:r>
            <w:r w:rsidRPr="00AF0DDC">
              <w:t>pair. This unit is used in workplaces that operate under the airworthiness regulatory systems of the ADF and CASA.</w:t>
            </w:r>
          </w:p>
        </w:tc>
      </w:tr>
    </w:tbl>
    <w:p w:rsidR="00000000" w:rsidRPr="00AF0DDC" w:rsidP="00AF0DDC">
      <w:pPr>
        <w:pStyle w:val="BodyText"/>
      </w:pPr>
    </w:p>
    <w:p w:rsidR="00000000" w:rsidRPr="00AF0DDC" w:rsidP="00AF0DDC">
      <w:pPr>
        <w:pStyle w:val="AllowPageBreak"/>
      </w:pPr>
    </w:p>
    <w:p w:rsidR="00000000" w:rsidRPr="00AF0DDC" w:rsidP="00AF0DDC">
      <w:pPr>
        <w:pStyle w:val="Heading1"/>
      </w:pPr>
      <w:bookmarkStart w:id="3" w:name="O_410064"/>
      <w:bookmarkEnd w:id="3"/>
      <w:r w:rsidRPr="00AF0DDC">
        <w:t>Application of the Unit</w:t>
      </w:r>
    </w:p>
    <w:tbl>
      <w:tblPr>
        <w:tblW w:w="0" w:type="auto"/>
        <w:tblLayout w:type="fixed"/>
        <w:tblCellMar>
          <w:left w:w="62" w:type="dxa"/>
          <w:right w:w="62" w:type="dxa"/>
        </w:tblCellMar>
        <w:tblLook w:val="0000"/>
      </w:tblPr>
      <w:tblGrid>
        <w:gridCol w:w="8730"/>
      </w:tblGrid>
      <w:tr w:rsidTr="00B135AE">
        <w:tblPrEx>
          <w:tblW w:w="0" w:type="auto"/>
          <w:tblLayout w:type="fixed"/>
          <w:tblCellMar>
            <w:left w:w="62" w:type="dxa"/>
            <w:right w:w="62" w:type="dxa"/>
          </w:tblCellMar>
          <w:tblLook w:val="0000"/>
        </w:tblPrEx>
        <w:tc>
          <w:tcPr>
            <w:tcW w:w="8730" w:type="dxa"/>
            <w:tcBorders>
              <w:top w:val="nil"/>
              <w:left w:val="nil"/>
              <w:bottom w:val="nil"/>
              <w:right w:val="nil"/>
            </w:tcBorders>
            <w:tcMar>
              <w:top w:w="0" w:type="dxa"/>
              <w:left w:w="62" w:type="dxa"/>
              <w:bottom w:w="0" w:type="dxa"/>
              <w:right w:w="62" w:type="dxa"/>
            </w:tcMar>
          </w:tcPr>
          <w:p w:rsidR="00000000" w:rsidRPr="00AF0DDC" w:rsidP="00AF0DDC">
            <w:pPr>
              <w:pStyle w:val="BodyText"/>
            </w:pPr>
            <w:r w:rsidRPr="00AF0DDC">
              <w:t>This unit requires application of hand skills, theory knowledge and maintenance publication procedures to test run aircraft gas turbine engines and engine modules in engine test stands following overhaul or repair in workshops.</w:t>
            </w:r>
          </w:p>
          <w:p w:rsidR="00000000" w:rsidRPr="00AF0DDC" w:rsidP="00AF0DDC">
            <w:pPr>
              <w:pStyle w:val="BodyText"/>
            </w:pPr>
            <w:r w:rsidRPr="00AF0DDC">
              <w:t>Applications include turbo-j</w:t>
            </w:r>
            <w:r w:rsidRPr="00AF0DDC">
              <w:t>et, turbofan, turboshaft, turboprop engines and engine modules, or auxiliary power units.</w:t>
            </w:r>
          </w:p>
        </w:tc>
      </w:tr>
    </w:tbl>
    <w:p w:rsidR="00000000" w:rsidRPr="00AF0DDC" w:rsidP="00AF0DDC">
      <w:pPr>
        <w:pStyle w:val="BodyText"/>
      </w:pPr>
    </w:p>
    <w:p w:rsidR="00000000" w:rsidRPr="00AF0DDC" w:rsidP="00AF0DDC">
      <w:pPr>
        <w:pStyle w:val="AllowPageBreak"/>
      </w:pPr>
    </w:p>
    <w:p w:rsidR="00000000" w:rsidRPr="00AF0DDC" w:rsidP="00AF0DDC">
      <w:pPr>
        <w:pStyle w:val="Heading1"/>
      </w:pPr>
      <w:bookmarkStart w:id="4" w:name="O_410048"/>
      <w:bookmarkEnd w:id="4"/>
      <w:r w:rsidRPr="00AF0DDC">
        <w:t>Licensing/Regulatory Information</w:t>
      </w:r>
    </w:p>
    <w:p w:rsidR="00000000" w:rsidRPr="00AF0DDC" w:rsidP="00AF0DDC">
      <w:pPr>
        <w:pStyle w:val="BodyText"/>
      </w:pPr>
      <w:r w:rsidRPr="00AF0DDC">
        <w:t>Not applicable.</w:t>
      </w:r>
    </w:p>
    <w:p w:rsidR="00000000" w:rsidRPr="00AF0DDC" w:rsidP="00AF0DDC">
      <w:pPr>
        <w:pStyle w:val="AllowPageBreak"/>
      </w:pPr>
    </w:p>
    <w:p w:rsidR="00000000" w:rsidRPr="00AF0DDC" w:rsidP="00AF0DDC">
      <w:pPr>
        <w:pStyle w:val="Heading1"/>
      </w:pPr>
      <w:bookmarkStart w:id="5" w:name="O_410045"/>
      <w:bookmarkEnd w:id="5"/>
      <w:r w:rsidRPr="00AF0DDC">
        <w:t>Pre-Requisites</w:t>
      </w:r>
    </w:p>
    <w:tbl>
      <w:tblPr>
        <w:tblW w:w="0" w:type="auto"/>
        <w:tblLayout w:type="fixed"/>
        <w:tblCellMar>
          <w:left w:w="62" w:type="dxa"/>
          <w:right w:w="62" w:type="dxa"/>
        </w:tblCellMar>
        <w:tblLook w:val="0000"/>
      </w:tblPr>
      <w:tblGrid>
        <w:gridCol w:w="1914"/>
        <w:gridCol w:w="6906"/>
      </w:tblGrid>
      <w:tr w:rsidTr="00B135AE">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AF0DDC">
            <w:pPr>
              <w:pStyle w:val="BodyText"/>
              <w:rPr>
                <w:lang w:val="en-NZ"/>
              </w:rPr>
            </w:pPr>
            <w:r w:rsidRPr="00AF0DDC">
              <w:t xml:space="preserve">MEA383A </w:t>
            </w:r>
          </w:p>
        </w:tc>
        <w:tc>
          <w:tcPr>
            <w:tcW w:w="6906" w:type="dxa"/>
            <w:tcBorders>
              <w:top w:val="nil"/>
              <w:left w:val="nil"/>
              <w:bottom w:val="nil"/>
              <w:right w:val="nil"/>
            </w:tcBorders>
            <w:tcMar>
              <w:top w:w="0" w:type="dxa"/>
              <w:left w:w="62" w:type="dxa"/>
              <w:bottom w:w="0" w:type="dxa"/>
              <w:right w:w="62" w:type="dxa"/>
            </w:tcMar>
          </w:tcPr>
          <w:p w:rsidR="00000000" w:rsidP="00AF0DDC">
            <w:pPr>
              <w:pStyle w:val="BodyText"/>
              <w:rPr>
                <w:lang w:val="en-NZ"/>
              </w:rPr>
            </w:pPr>
            <w:r w:rsidRPr="00AF0DDC">
              <w:t>Repair and/or overhaul gas turbine engine air inlet and c</w:t>
            </w:r>
            <w:r w:rsidRPr="00AF0DDC">
              <w:t>ompressor components and/or modules</w:t>
            </w:r>
          </w:p>
        </w:tc>
      </w:tr>
      <w:tr w:rsidTr="00B135AE">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AF0DDC">
            <w:pPr>
              <w:pStyle w:val="BodyText"/>
              <w:rPr>
                <w:lang w:val="en-NZ"/>
              </w:rPr>
            </w:pPr>
            <w:r w:rsidRPr="00AF0DDC">
              <w:t xml:space="preserve">MEA384A </w:t>
            </w:r>
          </w:p>
        </w:tc>
        <w:tc>
          <w:tcPr>
            <w:tcW w:w="6906" w:type="dxa"/>
            <w:tcBorders>
              <w:top w:val="nil"/>
              <w:left w:val="nil"/>
              <w:bottom w:val="nil"/>
              <w:right w:val="nil"/>
            </w:tcBorders>
            <w:tcMar>
              <w:top w:w="0" w:type="dxa"/>
              <w:left w:w="62" w:type="dxa"/>
              <w:bottom w:w="0" w:type="dxa"/>
              <w:right w:w="62" w:type="dxa"/>
            </w:tcMar>
          </w:tcPr>
          <w:p w:rsidR="00000000" w:rsidP="00AF0DDC">
            <w:pPr>
              <w:pStyle w:val="BodyText"/>
              <w:rPr>
                <w:lang w:val="en-NZ"/>
              </w:rPr>
            </w:pPr>
            <w:r w:rsidRPr="00AF0DDC">
              <w:t>Repair and/or overhaul gas turbine engine combustion section components and/or modules</w:t>
            </w:r>
          </w:p>
        </w:tc>
      </w:tr>
      <w:tr w:rsidTr="00B135AE">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AF0DDC">
            <w:pPr>
              <w:pStyle w:val="BodyText"/>
              <w:rPr>
                <w:lang w:val="en-NZ"/>
              </w:rPr>
            </w:pPr>
            <w:r w:rsidRPr="00AF0DDC">
              <w:t xml:space="preserve">MEA385A </w:t>
            </w:r>
          </w:p>
        </w:tc>
        <w:tc>
          <w:tcPr>
            <w:tcW w:w="6906" w:type="dxa"/>
            <w:tcBorders>
              <w:top w:val="nil"/>
              <w:left w:val="nil"/>
              <w:bottom w:val="nil"/>
              <w:right w:val="nil"/>
            </w:tcBorders>
            <w:tcMar>
              <w:top w:w="0" w:type="dxa"/>
              <w:left w:w="62" w:type="dxa"/>
              <w:bottom w:w="0" w:type="dxa"/>
              <w:right w:w="62" w:type="dxa"/>
            </w:tcMar>
          </w:tcPr>
          <w:p w:rsidR="00000000" w:rsidP="00AF0DDC">
            <w:pPr>
              <w:pStyle w:val="BodyText"/>
              <w:rPr>
                <w:lang w:val="en-NZ"/>
              </w:rPr>
            </w:pPr>
            <w:r w:rsidRPr="00AF0DDC">
              <w:t>Repair and/or overhaul gas turbine engine turbine and exhaust section components</w:t>
            </w:r>
          </w:p>
        </w:tc>
      </w:tr>
      <w:tr w:rsidTr="00B135AE">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AF0DDC">
            <w:pPr>
              <w:pStyle w:val="BodyText"/>
              <w:rPr>
                <w:lang w:val="en-NZ"/>
              </w:rPr>
            </w:pPr>
            <w:r w:rsidRPr="00AF0DDC">
              <w:t xml:space="preserve">MEA386A </w:t>
            </w:r>
          </w:p>
        </w:tc>
        <w:tc>
          <w:tcPr>
            <w:tcW w:w="6906" w:type="dxa"/>
            <w:tcBorders>
              <w:top w:val="nil"/>
              <w:left w:val="nil"/>
              <w:bottom w:val="nil"/>
              <w:right w:val="nil"/>
            </w:tcBorders>
            <w:tcMar>
              <w:top w:w="0" w:type="dxa"/>
              <w:left w:w="62" w:type="dxa"/>
              <w:bottom w:w="0" w:type="dxa"/>
              <w:right w:w="62" w:type="dxa"/>
            </w:tcMar>
          </w:tcPr>
          <w:p w:rsidR="00000000" w:rsidRPr="00AF0DDC" w:rsidP="00AF0DDC">
            <w:pPr>
              <w:pStyle w:val="BodyText"/>
            </w:pPr>
            <w:r w:rsidRPr="00AF0DDC">
              <w:t>Repair and/or overhaul gas turbine engine ancillary section components</w:t>
            </w:r>
          </w:p>
        </w:tc>
      </w:tr>
    </w:tbl>
    <w:p w:rsidR="00000000" w:rsidRPr="00AF0DDC" w:rsidP="00AF0DDC">
      <w:pPr>
        <w:pStyle w:val="BodyText"/>
      </w:pPr>
    </w:p>
    <w:p w:rsidR="00000000" w:rsidRPr="00AF0DDC" w:rsidP="00AF0DDC">
      <w:pPr>
        <w:pStyle w:val="AllowPageBreak"/>
      </w:pPr>
    </w:p>
    <w:p w:rsidR="00000000" w:rsidRPr="00AF0DDC" w:rsidP="00AF0DDC">
      <w:pPr>
        <w:pStyle w:val="Heading1"/>
      </w:pPr>
      <w:bookmarkStart w:id="6" w:name="O_410054"/>
      <w:bookmarkEnd w:id="6"/>
      <w:r w:rsidRPr="00AF0DDC">
        <w:t>Employability Skills Information</w:t>
      </w:r>
    </w:p>
    <w:tbl>
      <w:tblPr>
        <w:tblW w:w="0" w:type="auto"/>
        <w:tblLayout w:type="fixed"/>
        <w:tblCellMar>
          <w:left w:w="62" w:type="dxa"/>
          <w:right w:w="62" w:type="dxa"/>
        </w:tblCellMar>
        <w:tblLook w:val="0000"/>
      </w:tblPr>
      <w:tblGrid>
        <w:gridCol w:w="5720"/>
      </w:tblGrid>
      <w:tr w:rsidTr="00B135AE">
        <w:tblPrEx>
          <w:tblW w:w="0" w:type="auto"/>
          <w:tblLayout w:type="fixed"/>
          <w:tblCellMar>
            <w:left w:w="62" w:type="dxa"/>
            <w:right w:w="62" w:type="dxa"/>
          </w:tblCellMar>
          <w:tblLook w:val="0000"/>
        </w:tblPrEx>
        <w:trPr>
          <w:tblHeader/>
        </w:trPr>
        <w:tc>
          <w:tcPr>
            <w:tcW w:w="5720" w:type="dxa"/>
            <w:tcBorders>
              <w:top w:val="nil"/>
              <w:left w:val="nil"/>
              <w:bottom w:val="nil"/>
              <w:right w:val="nil"/>
            </w:tcBorders>
            <w:tcMar>
              <w:top w:w="0" w:type="dxa"/>
              <w:left w:w="62" w:type="dxa"/>
              <w:bottom w:w="0" w:type="dxa"/>
              <w:right w:w="62" w:type="dxa"/>
            </w:tcMar>
          </w:tcPr>
          <w:p w:rsidR="00000000" w:rsidRPr="00AF0DDC" w:rsidP="00AF0DDC">
            <w:pPr>
              <w:pStyle w:val="BodyText"/>
            </w:pPr>
            <w:r w:rsidRPr="00AF0DDC">
              <w:t>This unit contains employability skills.</w:t>
            </w:r>
          </w:p>
        </w:tc>
      </w:tr>
    </w:tbl>
    <w:p w:rsidR="00000000" w:rsidRPr="00AF0DDC" w:rsidP="00AF0DDC">
      <w:pPr>
        <w:pStyle w:val="BodyText"/>
      </w:pPr>
    </w:p>
    <w:p w:rsidR="00000000" w:rsidRPr="00AF0DDC" w:rsidP="00AF0DDC">
      <w:pPr>
        <w:pStyle w:val="AllowPageBreak"/>
      </w:pPr>
    </w:p>
    <w:p w:rsidR="00000000" w:rsidRPr="00AF0DDC" w:rsidP="00AF0DDC">
      <w:pPr>
        <w:pStyle w:val="Heading1"/>
      </w:pPr>
      <w:bookmarkStart w:id="7" w:name="O_410056"/>
      <w:bookmarkEnd w:id="7"/>
      <w:r w:rsidRPr="00AF0DDC">
        <w:t>Elements and Performance Criteria Pre-Content</w:t>
      </w:r>
    </w:p>
    <w:tbl>
      <w:tblPr>
        <w:tblW w:w="9450" w:type="dxa"/>
        <w:tblLayout w:type="fixed"/>
        <w:tblCellMar>
          <w:left w:w="62" w:type="dxa"/>
          <w:right w:w="62" w:type="dxa"/>
        </w:tblCellMar>
        <w:tblLook w:val="0000"/>
      </w:tblPr>
      <w:tblGrid>
        <w:gridCol w:w="2543"/>
        <w:gridCol w:w="6907"/>
      </w:tblGrid>
      <w:tr w:rsidTr="00B135AE">
        <w:tblPrEx>
          <w:tblW w:w="9450" w:type="dxa"/>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DDC">
            <w:pPr>
              <w:pStyle w:val="BodyText"/>
              <w:rPr>
                <w:lang w:val="en-NZ"/>
              </w:rPr>
            </w:pPr>
            <w:r w:rsidRPr="00AF0DDC">
              <w:t>Elements describe the essen</w:t>
            </w:r>
            <w:r w:rsidRPr="00AF0DDC">
              <w:t>tial outcomes of a unit of competency.</w:t>
            </w:r>
          </w:p>
        </w:tc>
        <w:tc>
          <w:tcPr>
            <w:tcW w:w="6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0DDC" w:rsidP="00AF0DDC">
            <w:pPr>
              <w:pStyle w:val="BodyText"/>
            </w:pPr>
            <w:r w:rsidRPr="00AF0DDC">
              <w:t xml:space="preserve">Performance criteria describe the performance needed to demonstrate achievement of the element. Where bold italicised text is used, further </w:t>
            </w:r>
            <w:r w:rsidRPr="00AF0DDC">
              <w:t>information is detailed in the required skills and knowledge section and the range statement. Assessment of performance is to be consistent with the evidence guide.</w:t>
            </w:r>
          </w:p>
        </w:tc>
      </w:tr>
    </w:tbl>
    <w:p w:rsidR="00000000" w:rsidRPr="00AF0DDC" w:rsidP="00AF0DDC">
      <w:pPr>
        <w:pStyle w:val="BodyText"/>
      </w:pPr>
    </w:p>
    <w:p w:rsidR="00000000" w:rsidRPr="00AF0DDC" w:rsidP="00AF0DDC">
      <w:pPr>
        <w:pStyle w:val="AllowPageBreak"/>
      </w:pPr>
    </w:p>
    <w:p w:rsidR="00000000" w:rsidRPr="00AF0DDC" w:rsidP="00AF0DDC">
      <w:pPr>
        <w:pStyle w:val="Heading1"/>
      </w:pPr>
      <w:bookmarkStart w:id="8" w:name="O_410057"/>
      <w:bookmarkEnd w:id="8"/>
      <w:r w:rsidRPr="00AF0DDC">
        <w:t>Elements and Performance Criteria</w:t>
      </w:r>
    </w:p>
    <w:tbl>
      <w:tblPr>
        <w:tblW w:w="0" w:type="auto"/>
        <w:tblCellMar>
          <w:left w:w="62" w:type="dxa"/>
          <w:right w:w="62" w:type="dxa"/>
        </w:tblCellMar>
        <w:tblLook w:val="0000"/>
      </w:tblPr>
      <w:tblGrid>
        <w:gridCol w:w="1856"/>
        <w:gridCol w:w="7340"/>
      </w:tblGrid>
      <w:tr w:rsidTr="00B135A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0DDC">
            <w:pPr>
              <w:pStyle w:val="List"/>
              <w:rPr>
                <w:lang w:val="en-NZ"/>
              </w:rPr>
            </w:pPr>
            <w:r w:rsidRPr="00AF0DDC">
              <w:t>1.</w:t>
            </w:r>
            <w:r w:rsidRPr="00AF0DDC">
              <w:tab/>
              <w:t>Prepare engine or module for testin</w:t>
            </w:r>
            <w:r w:rsidRPr="00AF0DDC">
              <w:t>g</w:t>
            </w:r>
          </w:p>
        </w:tc>
        <w:tc>
          <w:tcPr>
            <w:tcW w:w="0" w:type="auto"/>
            <w:tcBorders>
              <w:top w:val="nil"/>
              <w:left w:val="nil"/>
              <w:bottom w:val="nil"/>
              <w:right w:val="nil"/>
            </w:tcBorders>
            <w:tcMar>
              <w:top w:w="0" w:type="dxa"/>
              <w:left w:w="62" w:type="dxa"/>
              <w:bottom w:w="0" w:type="dxa"/>
              <w:right w:w="62" w:type="dxa"/>
            </w:tcMar>
          </w:tcPr>
          <w:p w:rsidR="00000000" w:rsidRPr="00AF0DDC" w:rsidP="00AF0DDC">
            <w:pPr>
              <w:pStyle w:val="List2"/>
            </w:pPr>
            <w:r w:rsidRPr="00AF0DDC">
              <w:t>1.1.</w:t>
            </w:r>
            <w:r w:rsidRPr="00AF0DDC">
              <w:tab/>
              <w:t xml:space="preserve">Maintenance documentation is checked to confirm that </w:t>
            </w:r>
            <w:r w:rsidRPr="00AF0DDC">
              <w:rPr>
                <w:rStyle w:val="BoldandItalics"/>
              </w:rPr>
              <w:t>engine</w:t>
            </w:r>
            <w:r w:rsidRPr="00AF0DDC">
              <w:t xml:space="preserve"> or </w:t>
            </w:r>
            <w:r w:rsidRPr="00AF0DDC">
              <w:rPr>
                <w:rStyle w:val="BoldandItalics"/>
              </w:rPr>
              <w:t>module</w:t>
            </w:r>
            <w:r w:rsidRPr="00AF0DDC">
              <w:t xml:space="preserve"> is ready for testing</w:t>
            </w:r>
          </w:p>
          <w:p w:rsidR="00000000" w:rsidRPr="00AF0DDC" w:rsidP="00AF0DDC">
            <w:pPr>
              <w:pStyle w:val="List2"/>
            </w:pPr>
            <w:r w:rsidRPr="00AF0DDC">
              <w:t>1.2.</w:t>
            </w:r>
            <w:r w:rsidRPr="00AF0DDC">
              <w:tab/>
              <w:t>Where required, engine modules are assembled into a test engine</w:t>
            </w:r>
          </w:p>
          <w:p w:rsidR="00000000" w:rsidP="00AF0DDC">
            <w:pPr>
              <w:pStyle w:val="List2"/>
              <w:rPr>
                <w:lang w:val="en-NZ"/>
              </w:rPr>
            </w:pPr>
            <w:r w:rsidRPr="00AF0DDC">
              <w:t>1.3.</w:t>
            </w:r>
            <w:r w:rsidRPr="00AF0DDC">
              <w:tab/>
            </w:r>
            <w:r w:rsidRPr="00AF0DDC">
              <w:t>Engine is configured for testing in accordance with maintenance manual requirements and standard enterprise procedures</w:t>
            </w:r>
          </w:p>
        </w:tc>
      </w:tr>
      <w:tr w:rsidTr="00B135A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0DDC">
            <w:pPr>
              <w:pStyle w:val="List"/>
              <w:rPr>
                <w:lang w:val="en-NZ"/>
              </w:rPr>
            </w:pPr>
            <w:r w:rsidRPr="00AF0DDC">
              <w:t>2.</w:t>
            </w:r>
            <w:r w:rsidRPr="00AF0DDC">
              <w:tab/>
              <w:t>Install engine in test stand</w:t>
            </w:r>
          </w:p>
        </w:tc>
        <w:tc>
          <w:tcPr>
            <w:tcW w:w="0" w:type="auto"/>
            <w:tcBorders>
              <w:top w:val="nil"/>
              <w:left w:val="nil"/>
              <w:bottom w:val="nil"/>
              <w:right w:val="nil"/>
            </w:tcBorders>
            <w:tcMar>
              <w:top w:w="0" w:type="dxa"/>
              <w:left w:w="62" w:type="dxa"/>
              <w:bottom w:w="0" w:type="dxa"/>
              <w:right w:w="62" w:type="dxa"/>
            </w:tcMar>
          </w:tcPr>
          <w:p w:rsidR="00000000" w:rsidRPr="00AF0DDC" w:rsidP="00AF0DDC">
            <w:pPr>
              <w:pStyle w:val="List2"/>
            </w:pPr>
            <w:r w:rsidRPr="00AF0DDC">
              <w:t>2.1.</w:t>
            </w:r>
            <w:r w:rsidRPr="00AF0DDC">
              <w:tab/>
            </w:r>
            <w:r w:rsidRPr="00AF0DDC">
              <w:t>Engine is installed in test stand in accordance with maintenance manual requirements and standard enterprise procedures</w:t>
            </w:r>
          </w:p>
          <w:p w:rsidR="00000000" w:rsidRPr="00AF0DDC" w:rsidP="00AF0DDC">
            <w:pPr>
              <w:pStyle w:val="List2"/>
            </w:pPr>
            <w:r w:rsidRPr="00AF0DDC">
              <w:t>2.2.</w:t>
            </w:r>
            <w:r w:rsidRPr="00AF0DDC">
              <w:tab/>
              <w:t>Fuel, oil and fluid levels are checked</w:t>
            </w:r>
          </w:p>
          <w:p w:rsidR="00000000" w:rsidP="00AF0DDC">
            <w:pPr>
              <w:pStyle w:val="List2"/>
              <w:rPr>
                <w:lang w:val="en-NZ"/>
              </w:rPr>
            </w:pPr>
            <w:r w:rsidRPr="00AF0DDC">
              <w:t>2.3.</w:t>
            </w:r>
            <w:r w:rsidRPr="00AF0DDC">
              <w:tab/>
              <w:t>Engine test stand is prepared for operation</w:t>
            </w:r>
          </w:p>
        </w:tc>
      </w:tr>
      <w:tr w:rsidTr="00B135A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0DDC">
            <w:pPr>
              <w:pStyle w:val="List"/>
              <w:rPr>
                <w:lang w:val="en-NZ"/>
              </w:rPr>
            </w:pPr>
            <w:r w:rsidRPr="00AF0DDC">
              <w:t>3.</w:t>
            </w:r>
            <w:r w:rsidRPr="00AF0DDC">
              <w:tab/>
              <w:t>Run and test engine or module performan</w:t>
            </w:r>
            <w:r w:rsidRPr="00AF0DDC">
              <w:t>ce</w:t>
            </w:r>
          </w:p>
        </w:tc>
        <w:tc>
          <w:tcPr>
            <w:tcW w:w="0" w:type="auto"/>
            <w:tcBorders>
              <w:top w:val="nil"/>
              <w:left w:val="nil"/>
              <w:bottom w:val="nil"/>
              <w:right w:val="nil"/>
            </w:tcBorders>
            <w:tcMar>
              <w:top w:w="0" w:type="dxa"/>
              <w:left w:w="62" w:type="dxa"/>
              <w:bottom w:w="0" w:type="dxa"/>
              <w:right w:w="62" w:type="dxa"/>
            </w:tcMar>
          </w:tcPr>
          <w:p w:rsidR="00000000" w:rsidRPr="00AF0DDC" w:rsidP="00AF0DDC">
            <w:pPr>
              <w:pStyle w:val="List2"/>
            </w:pPr>
            <w:r w:rsidRPr="00AF0DDC">
              <w:t>3.1.</w:t>
            </w:r>
            <w:r w:rsidRPr="00AF0DDC">
              <w:tab/>
              <w:t>Engine is started and operating parameters are checked</w:t>
            </w:r>
          </w:p>
          <w:p w:rsidR="00000000" w:rsidRPr="00AF0DDC" w:rsidP="00AF0DDC">
            <w:pPr>
              <w:pStyle w:val="List2"/>
            </w:pPr>
            <w:r w:rsidRPr="00AF0DDC">
              <w:t>3.2.</w:t>
            </w:r>
            <w:r w:rsidRPr="00AF0DDC">
              <w:tab/>
              <w:t>Engine performance is tested and trimmed, where applicable, in accordance with maintenance manual requirements and standard enterprise procedures</w:t>
            </w:r>
          </w:p>
          <w:p w:rsidR="00000000" w:rsidP="00AF0DDC">
            <w:pPr>
              <w:pStyle w:val="List2"/>
              <w:rPr>
                <w:lang w:val="en-NZ"/>
              </w:rPr>
            </w:pPr>
            <w:r w:rsidRPr="00AF0DDC">
              <w:t>3.3.</w:t>
            </w:r>
            <w:r w:rsidRPr="00AF0DDC">
              <w:tab/>
              <w:t xml:space="preserve">Engine operating parameters and test </w:t>
            </w:r>
            <w:r w:rsidRPr="00AF0DDC">
              <w:t>results are recorded in accordance with standard enterprise procedures</w:t>
            </w:r>
          </w:p>
        </w:tc>
      </w:tr>
      <w:tr w:rsidTr="00B135A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0DDC">
            <w:pPr>
              <w:pStyle w:val="List"/>
              <w:rPr>
                <w:lang w:val="en-NZ"/>
              </w:rPr>
            </w:pPr>
            <w:r w:rsidRPr="00AF0DDC">
              <w:t>4.</w:t>
            </w:r>
            <w:r w:rsidRPr="00AF0DDC">
              <w:tab/>
              <w:t>Remove engine from test stand</w:t>
            </w:r>
          </w:p>
        </w:tc>
        <w:tc>
          <w:tcPr>
            <w:tcW w:w="0" w:type="auto"/>
            <w:tcBorders>
              <w:top w:val="nil"/>
              <w:left w:val="nil"/>
              <w:bottom w:val="nil"/>
              <w:right w:val="nil"/>
            </w:tcBorders>
            <w:tcMar>
              <w:top w:w="0" w:type="dxa"/>
              <w:left w:w="62" w:type="dxa"/>
              <w:bottom w:w="0" w:type="dxa"/>
              <w:right w:w="62" w:type="dxa"/>
            </w:tcMar>
          </w:tcPr>
          <w:p w:rsidR="00000000" w:rsidRPr="00AF0DDC" w:rsidP="00AF0DDC">
            <w:pPr>
              <w:pStyle w:val="List2"/>
            </w:pPr>
            <w:r w:rsidRPr="00AF0DDC">
              <w:t>4.1.</w:t>
            </w:r>
            <w:r w:rsidRPr="00AF0DDC">
              <w:tab/>
              <w:t>Engine is removed from test stand in accordance with maintenance manual requirements and standard enterprise procedures</w:t>
            </w:r>
          </w:p>
          <w:p w:rsidR="00000000" w:rsidRPr="00AF0DDC" w:rsidP="00AF0DDC">
            <w:pPr>
              <w:pStyle w:val="List2"/>
            </w:pPr>
            <w:r w:rsidRPr="00AF0DDC">
              <w:t>4.2.</w:t>
            </w:r>
            <w:r w:rsidRPr="00AF0DDC">
              <w:tab/>
              <w:t>Serviceable engines o</w:t>
            </w:r>
            <w:r w:rsidRPr="00AF0DDC">
              <w:t>r modules are configured, inhibited and prepared in accordance with maintenance manual requirements and standard enterprise procedures for transport or storage</w:t>
            </w:r>
          </w:p>
          <w:p w:rsidR="00000000" w:rsidRPr="00AF0DDC" w:rsidP="00AF0DDC">
            <w:pPr>
              <w:pStyle w:val="List2"/>
            </w:pPr>
            <w:r w:rsidRPr="00AF0DDC">
              <w:t>4.3.</w:t>
            </w:r>
            <w:r w:rsidRPr="00AF0DDC">
              <w:tab/>
              <w:t>Unserviceable engines or modules are returned to workshop in accordance with standard enter</w:t>
            </w:r>
            <w:r w:rsidRPr="00AF0DDC">
              <w:t>prise procedures for rectification or rework</w:t>
            </w:r>
          </w:p>
        </w:tc>
      </w:tr>
    </w:tbl>
    <w:p w:rsidR="00000000" w:rsidRPr="00AF0DDC" w:rsidP="00AF0DDC">
      <w:pPr>
        <w:pStyle w:val="BodyText"/>
      </w:pPr>
    </w:p>
    <w:p w:rsidR="00000000" w:rsidRPr="00AF0DDC" w:rsidP="00AF0DDC">
      <w:pPr>
        <w:pStyle w:val="AllowPageBreak"/>
      </w:pPr>
    </w:p>
    <w:p w:rsidR="00000000" w:rsidRPr="00AF0DDC" w:rsidP="00AF0DDC">
      <w:pPr>
        <w:pStyle w:val="Heading1"/>
      </w:pPr>
      <w:bookmarkStart w:id="9" w:name="O_410043"/>
      <w:bookmarkEnd w:id="9"/>
      <w:r w:rsidRPr="00AF0DDC">
        <w:t>Required Skills and Knowledge</w:t>
      </w:r>
    </w:p>
    <w:tbl>
      <w:tblPr>
        <w:tblW w:w="9450" w:type="dxa"/>
        <w:tblLayout w:type="fixed"/>
        <w:tblCellMar>
          <w:left w:w="62" w:type="dxa"/>
          <w:right w:w="62" w:type="dxa"/>
        </w:tblCellMar>
        <w:tblLook w:val="0000"/>
      </w:tblPr>
      <w:tblGrid>
        <w:gridCol w:w="9450"/>
      </w:tblGrid>
      <w:tr w:rsidTr="00B135AE">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AF0DDC">
            <w:pPr>
              <w:pStyle w:val="BodyText"/>
              <w:rPr>
                <w:lang w:val="en-NZ"/>
              </w:rPr>
            </w:pPr>
            <w:r w:rsidRPr="00AF0DDC">
              <w:rPr>
                <w:rStyle w:val="SpecialBold"/>
              </w:rPr>
              <w:t>Required skills</w:t>
            </w:r>
          </w:p>
        </w:tc>
      </w:tr>
      <w:tr w:rsidTr="00B135AE">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AF0DDC" w:rsidP="00AF0DDC">
            <w:pPr>
              <w:pStyle w:val="BodyText"/>
            </w:pPr>
            <w:r w:rsidRPr="00AF0DDC">
              <w:t>Look for evidence that confirms skills in:</w:t>
            </w:r>
          </w:p>
          <w:p w:rsidR="00000000" w:rsidRPr="00AF0DDC" w:rsidP="00AF0DDC">
            <w:pPr>
              <w:pStyle w:val="ListBullet"/>
            </w:pPr>
            <w:r w:rsidRPr="00AF0DDC">
              <w:t>applying relevant OHS procedures</w:t>
            </w:r>
          </w:p>
          <w:p w:rsidR="00000000" w:rsidRPr="00AF0DDC" w:rsidP="00AF0DDC">
            <w:pPr>
              <w:pStyle w:val="ListBullet"/>
            </w:pPr>
            <w:r w:rsidRPr="00AF0DDC">
              <w:t>using relevant MSDS and items of PPE</w:t>
            </w:r>
          </w:p>
          <w:p w:rsidR="00000000" w:rsidRPr="00AF0DDC" w:rsidP="00AF0DDC">
            <w:pPr>
              <w:pStyle w:val="ListBullet"/>
            </w:pPr>
            <w:r w:rsidRPr="00AF0DDC">
              <w:t>using relevant maintenance manuals and standard enterprise procedures to:</w:t>
            </w:r>
          </w:p>
          <w:p w:rsidR="00000000" w:rsidRPr="00AF0DDC" w:rsidP="00AF0DDC">
            <w:pPr>
              <w:pStyle w:val="ListBullet2"/>
            </w:pPr>
            <w:r w:rsidRPr="00AF0DDC">
              <w:t>prepare engines or modules for test running</w:t>
            </w:r>
          </w:p>
          <w:p w:rsidR="00000000" w:rsidRPr="00AF0DDC" w:rsidP="00AF0DDC">
            <w:pPr>
              <w:pStyle w:val="ListBullet2"/>
            </w:pPr>
            <w:r w:rsidRPr="00AF0DDC">
              <w:t>install engines in test stands</w:t>
            </w:r>
          </w:p>
          <w:p w:rsidR="00000000" w:rsidRPr="00AF0DDC" w:rsidP="00AF0DDC">
            <w:pPr>
              <w:pStyle w:val="ListBullet2"/>
            </w:pPr>
            <w:r w:rsidRPr="00AF0DDC">
              <w:t>test run and trim engines where applicable</w:t>
            </w:r>
          </w:p>
          <w:p w:rsidR="00000000" w:rsidRPr="00AF0DDC" w:rsidP="00AF0DDC">
            <w:pPr>
              <w:pStyle w:val="ListBullet2"/>
            </w:pPr>
            <w:r w:rsidRPr="00AF0DDC">
              <w:t>record engine operating parameters</w:t>
            </w:r>
          </w:p>
          <w:p w:rsidR="00000000" w:rsidRPr="00AF0DDC" w:rsidP="00AF0DDC">
            <w:pPr>
              <w:pStyle w:val="ListBullet2"/>
            </w:pPr>
            <w:r w:rsidRPr="00AF0DDC">
              <w:t>remove engines from the test</w:t>
            </w:r>
            <w:r w:rsidRPr="00AF0DDC">
              <w:t xml:space="preserve"> stand</w:t>
            </w:r>
          </w:p>
          <w:p w:rsidR="00000000" w:rsidRPr="00AF0DDC" w:rsidP="00AF0DDC">
            <w:pPr>
              <w:pStyle w:val="ListBullet2"/>
            </w:pPr>
            <w:r w:rsidRPr="00AF0DDC">
              <w:t>complete documentation</w:t>
            </w:r>
          </w:p>
          <w:p w:rsidR="00000000" w:rsidP="00AF0DDC">
            <w:pPr>
              <w:pStyle w:val="ListBullet"/>
              <w:rPr>
                <w:lang w:val="en-NZ"/>
              </w:rPr>
            </w:pPr>
            <w:r w:rsidRPr="00AF0DDC">
              <w:t>configure and inhibit serviceable engines and modules for transport or storage</w:t>
            </w:r>
          </w:p>
        </w:tc>
      </w:tr>
      <w:tr w:rsidTr="00B135AE">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AF0DDC">
            <w:pPr>
              <w:pStyle w:val="BodyText"/>
              <w:rPr>
                <w:lang w:val="en-NZ"/>
              </w:rPr>
            </w:pPr>
            <w:r w:rsidRPr="00AF0DDC">
              <w:rPr>
                <w:rStyle w:val="SpecialBold"/>
              </w:rPr>
              <w:t>Required knowledge</w:t>
            </w:r>
          </w:p>
        </w:tc>
      </w:tr>
      <w:tr w:rsidTr="00B135AE">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AF0DDC" w:rsidP="00AF0DDC">
            <w:pPr>
              <w:pStyle w:val="BodyText"/>
            </w:pPr>
            <w:r w:rsidRPr="00AF0DDC">
              <w:t>Look for evidence that confirms knowledge of:</w:t>
            </w:r>
          </w:p>
          <w:p w:rsidR="00000000" w:rsidRPr="00AF0DDC" w:rsidP="00AF0DDC">
            <w:pPr>
              <w:pStyle w:val="ListBullet"/>
            </w:pPr>
            <w:r w:rsidRPr="00AF0DDC">
              <w:t>how to obtain relevant MSDS</w:t>
            </w:r>
          </w:p>
          <w:p w:rsidR="00000000" w:rsidRPr="00AF0DDC" w:rsidP="00AF0DDC">
            <w:pPr>
              <w:pStyle w:val="ListBullet"/>
            </w:pPr>
            <w:r w:rsidRPr="00AF0DDC">
              <w:t>the use of applicable items of PPE</w:t>
            </w:r>
          </w:p>
          <w:p w:rsidR="00000000" w:rsidRPr="00AF0DDC" w:rsidP="00AF0DDC">
            <w:pPr>
              <w:pStyle w:val="ListBullet"/>
            </w:pPr>
            <w:r w:rsidRPr="00AF0DDC">
              <w:t>test stand operation</w:t>
            </w:r>
          </w:p>
          <w:p w:rsidR="00000000" w:rsidRPr="00AF0DDC" w:rsidP="00AF0DDC">
            <w:pPr>
              <w:pStyle w:val="ListBullet"/>
            </w:pPr>
            <w:r w:rsidRPr="00AF0DDC">
              <w:t>engine and module test requirements</w:t>
            </w:r>
          </w:p>
          <w:p w:rsidR="00000000" w:rsidRPr="00AF0DDC" w:rsidP="00AF0DDC">
            <w:pPr>
              <w:pStyle w:val="ListBullet"/>
            </w:pPr>
            <w:r w:rsidRPr="00AF0DDC">
              <w:t>engine operating parameters and adjustment methods</w:t>
            </w:r>
          </w:p>
        </w:tc>
      </w:tr>
    </w:tbl>
    <w:p w:rsidR="00000000" w:rsidRPr="00AF0DDC" w:rsidP="00AF0DDC">
      <w:pPr>
        <w:pStyle w:val="BodyText"/>
      </w:pPr>
    </w:p>
    <w:p w:rsidR="00000000" w:rsidRPr="00AF0DDC" w:rsidP="00AF0DDC">
      <w:pPr>
        <w:pStyle w:val="AllowPageBreak"/>
      </w:pPr>
    </w:p>
    <w:p w:rsidR="00000000" w:rsidRPr="00AF0DDC" w:rsidP="00AF0DDC">
      <w:pPr>
        <w:pStyle w:val="Heading1"/>
      </w:pPr>
      <w:bookmarkStart w:id="10" w:name="O_410051"/>
      <w:bookmarkEnd w:id="10"/>
      <w:r w:rsidRPr="00AF0DDC">
        <w:t>Evidence Guide</w:t>
      </w:r>
    </w:p>
    <w:tbl>
      <w:tblPr>
        <w:tblW w:w="9570" w:type="dxa"/>
        <w:tblLayout w:type="fixed"/>
        <w:tblCellMar>
          <w:left w:w="62" w:type="dxa"/>
          <w:right w:w="62" w:type="dxa"/>
        </w:tblCellMar>
        <w:tblLook w:val="0000"/>
      </w:tblPr>
      <w:tblGrid>
        <w:gridCol w:w="3908"/>
        <w:gridCol w:w="5662"/>
      </w:tblGrid>
      <w:tr w:rsidTr="00B135A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DDC">
            <w:pPr>
              <w:pStyle w:val="BodyText"/>
              <w:rPr>
                <w:lang w:val="en-NZ"/>
              </w:rPr>
            </w:pPr>
            <w:r w:rsidRPr="00AF0DDC">
              <w:t>The Evidence Guide provides advice on assessment and must be read in conjunction with the performance criteria, required skills and knowledge, range statement and the Assessment Guidelines for the Training Package.</w:t>
            </w:r>
          </w:p>
        </w:tc>
      </w:tr>
      <w:tr w:rsidTr="00B135A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DDC">
            <w:pPr>
              <w:pStyle w:val="BodyText"/>
              <w:rPr>
                <w:lang w:val="en-NZ"/>
              </w:rPr>
            </w:pPr>
            <w:r w:rsidRPr="00AF0DD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DDC">
            <w:pPr>
              <w:pStyle w:val="BodyText"/>
              <w:rPr>
                <w:lang w:val="en-NZ"/>
              </w:rPr>
            </w:pPr>
            <w:r w:rsidRPr="00AF0DDC">
              <w:t>A person who dem</w:t>
            </w:r>
            <w:r w:rsidRPr="00AF0DDC">
              <w:t>onstrates competency in this unit must be able to apply hand skills and gas turbine engine theory knowledge and use maintenance publications to test and adjust the operation of overhauled engines or modules while applying all relevant safety precautions.</w:t>
            </w:r>
          </w:p>
        </w:tc>
      </w:tr>
      <w:tr w:rsidTr="00B135A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DDC">
            <w:pPr>
              <w:pStyle w:val="BodyText"/>
              <w:rPr>
                <w:lang w:val="en-NZ"/>
              </w:rPr>
            </w:pPr>
            <w:r w:rsidRPr="00AF0DD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0DDC" w:rsidP="00AF0DDC">
            <w:pPr>
              <w:pStyle w:val="BodyText"/>
            </w:pPr>
            <w:r w:rsidRPr="00AF0DDC">
              <w:t xml:space="preserve">The underlying skills inherent in this unit should be transferable across a range of repair and/or overhaul applications associated with gas </w:t>
            </w:r>
            <w:r w:rsidRPr="00AF0DDC">
              <w:t>turbine engines and/or modules. It is essential that the maintenance procedures (including the use of correct fuels and lubricants) are interpreted and applied to ensure quality and safety standards are achieved.</w:t>
            </w:r>
          </w:p>
          <w:p w:rsidR="00000000" w:rsidRPr="00AF0DDC" w:rsidP="00AF0DDC">
            <w:pPr>
              <w:pStyle w:val="BodyText"/>
            </w:pPr>
            <w:r w:rsidRPr="00AF0DDC">
              <w:t>Evidence of transferability of skills and k</w:t>
            </w:r>
            <w:r w:rsidRPr="00AF0DDC">
              <w:t>nowledge related to repair is essential. This may be demonstrated through application across a number of gas turbine engine and/or module test runs. Capability to interpret test procedures and specifications (allowable limits) and apply them in practice is</w:t>
            </w:r>
            <w:r w:rsidRPr="00AF0DDC">
              <w:t xml:space="preserve"> critical. The application of testing procedures should also clearly indicate knowledge of system operation. Knowledge of system operation and the relationship of individual components will be necessary to supplement evidence of ability to troubleshoot eng</w:t>
            </w:r>
            <w:r w:rsidRPr="00AF0DDC">
              <w:t>ine or module faults before undertaking any action. The work plan should take account of applicable safety and quality requirements in accordance with the industry and regulatory standards.</w:t>
            </w:r>
          </w:p>
          <w:p w:rsidR="00000000" w:rsidP="00AF0DDC">
            <w:pPr>
              <w:pStyle w:val="BodyText"/>
              <w:rPr>
                <w:lang w:val="en-NZ"/>
              </w:rPr>
            </w:pPr>
            <w:r w:rsidRPr="00AF0DDC">
              <w:t>A person cannot be assessed as competent until it can be demonstra</w:t>
            </w:r>
            <w:r w:rsidRPr="00AF0DDC">
              <w:t>ted to the satisfaction of the workplace assessor that the relevant elements of the unit of competency are being achieved under routine supervision on a representative range of engine/module test runs. This shall be established via the records in the Log o</w:t>
            </w:r>
            <w:r w:rsidRPr="00AF0DDC">
              <w:t>f Industrial Experience and Achievement or, where appropriate, an equivalent Industry Evidence Guide.</w:t>
            </w:r>
          </w:p>
        </w:tc>
      </w:tr>
      <w:tr w:rsidTr="00B135A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DDC">
            <w:pPr>
              <w:pStyle w:val="BodyText"/>
              <w:rPr>
                <w:lang w:val="en-NZ"/>
              </w:rPr>
            </w:pPr>
            <w:r w:rsidRPr="00AF0DD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DDC">
            <w:pPr>
              <w:pStyle w:val="BodyText"/>
              <w:rPr>
                <w:lang w:val="en-NZ"/>
              </w:rPr>
            </w:pPr>
            <w:r w:rsidRPr="00AF0DDC">
              <w:t>Competency should be assessed in the work environment in an applicable engine test stand. It is also exp</w:t>
            </w:r>
            <w:r w:rsidRPr="00AF0DDC">
              <w:t>ected that general purpose tools and test equipment found in most routine situations would be used where appropriate.</w:t>
            </w:r>
          </w:p>
        </w:tc>
      </w:tr>
      <w:tr w:rsidTr="00B135A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DDC">
            <w:pPr>
              <w:pStyle w:val="BodyText"/>
              <w:rPr>
                <w:lang w:val="en-NZ"/>
              </w:rPr>
            </w:pPr>
            <w:r w:rsidRPr="00AF0DD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DDC">
            <w:pPr>
              <w:pStyle w:val="BodyText"/>
              <w:rPr>
                <w:lang w:val="en-NZ"/>
              </w:rPr>
            </w:pPr>
          </w:p>
        </w:tc>
      </w:tr>
      <w:tr w:rsidTr="00B135A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DDC">
            <w:pPr>
              <w:pStyle w:val="BodyText"/>
              <w:rPr>
                <w:lang w:val="en-NZ"/>
              </w:rPr>
            </w:pPr>
            <w:r w:rsidRPr="00AF0DD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0DDC" w:rsidP="00AF0DDC">
            <w:pPr>
              <w:pStyle w:val="BodyText"/>
            </w:pPr>
          </w:p>
        </w:tc>
      </w:tr>
    </w:tbl>
    <w:p w:rsidR="00000000" w:rsidRPr="00AF0DDC" w:rsidP="00AF0DDC">
      <w:pPr>
        <w:pStyle w:val="BodyText"/>
      </w:pPr>
    </w:p>
    <w:p w:rsidR="00000000" w:rsidRPr="00AF0DDC" w:rsidP="00AF0DDC">
      <w:pPr>
        <w:pStyle w:val="AllowPageBreak"/>
      </w:pPr>
    </w:p>
    <w:p w:rsidR="00000000" w:rsidRPr="00AF0DDC" w:rsidP="00AF0DDC">
      <w:pPr>
        <w:pStyle w:val="Heading1"/>
      </w:pPr>
      <w:bookmarkStart w:id="11" w:name="O_410044"/>
      <w:bookmarkEnd w:id="11"/>
      <w:r w:rsidRPr="00AF0DDC">
        <w:t>Range Statement</w:t>
      </w:r>
    </w:p>
    <w:tbl>
      <w:tblPr>
        <w:tblW w:w="9450" w:type="dxa"/>
        <w:tblLayout w:type="fixed"/>
        <w:tblCellMar>
          <w:left w:w="62" w:type="dxa"/>
          <w:right w:w="62" w:type="dxa"/>
        </w:tblCellMar>
        <w:tblLook w:val="0000"/>
      </w:tblPr>
      <w:tblGrid>
        <w:gridCol w:w="3524"/>
        <w:gridCol w:w="5926"/>
      </w:tblGrid>
      <w:tr w:rsidTr="00B135AE">
        <w:tblPrEx>
          <w:tblW w:w="9450" w:type="dxa"/>
          <w:tblLayout w:type="fixed"/>
          <w:tblCellMar>
            <w:left w:w="62" w:type="dxa"/>
            <w:right w:w="62" w:type="dxa"/>
          </w:tblCellMar>
          <w:tblLook w:val="0000"/>
        </w:tblPrEx>
        <w:tc>
          <w:tcPr>
            <w:tcW w:w="945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DDC">
            <w:pPr>
              <w:pStyle w:val="BodyText"/>
              <w:rPr>
                <w:lang w:val="en-NZ"/>
              </w:rPr>
            </w:pPr>
            <w:r w:rsidRPr="00AF0DDC">
              <w:t>The range statement relates to the unit of</w:t>
            </w:r>
            <w:r w:rsidRPr="00AF0DDC">
              <w:t xml:space="preserve"> competency as a whole. It allows for different work environments and situations that may affect performance. Bold italicised wording, if used in the performance criteria, is detailed below. Essential operating conditions that may be present with training </w:t>
            </w:r>
            <w:r w:rsidRPr="00AF0DDC">
              <w:t>and assessment (depending on the work situation, needs of the candidate, accessibility of the item, and local industry and regional contexts) may also be included.</w:t>
            </w:r>
          </w:p>
        </w:tc>
      </w:tr>
      <w:tr w:rsidTr="00B135AE">
        <w:tblPrEx>
          <w:tblW w:w="9450" w:type="dxa"/>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DDC">
            <w:pPr>
              <w:pStyle w:val="BodyText"/>
              <w:rPr>
                <w:lang w:val="en-NZ"/>
              </w:rPr>
            </w:pPr>
            <w:r w:rsidRPr="00AF0DDC">
              <w:rPr>
                <w:rStyle w:val="SpecialBold"/>
              </w:rPr>
              <w:t>Engines</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0DDC" w:rsidP="00AF0DDC">
            <w:pPr>
              <w:pStyle w:val="BodyText"/>
            </w:pPr>
            <w:r w:rsidRPr="00AF0DDC">
              <w:t>Engines include:</w:t>
            </w:r>
          </w:p>
          <w:p w:rsidR="00000000" w:rsidP="00AF0DDC">
            <w:pPr>
              <w:pStyle w:val="ListBullet"/>
              <w:rPr>
                <w:lang w:val="en-NZ"/>
              </w:rPr>
            </w:pPr>
            <w:r w:rsidRPr="00AF0DDC">
              <w:t>fixed or rotary wing gas turbine engine (turbo-jet, turbofan, turboshaft, turboprop), or auxiliary power unit</w:t>
            </w:r>
          </w:p>
        </w:tc>
      </w:tr>
      <w:tr w:rsidTr="00B135AE">
        <w:tblPrEx>
          <w:tblW w:w="9450" w:type="dxa"/>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DDC">
            <w:pPr>
              <w:pStyle w:val="BodyText"/>
              <w:rPr>
                <w:lang w:val="en-NZ"/>
              </w:rPr>
            </w:pPr>
            <w:r w:rsidRPr="00AF0DDC">
              <w:rPr>
                <w:rStyle w:val="SpecialBold"/>
              </w:rPr>
              <w:t>Modules</w:t>
            </w:r>
            <w:r w:rsidRPr="00AF0DDC">
              <w:t xml:space="preserve"> </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0DDC" w:rsidP="00AF0DDC">
            <w:pPr>
              <w:pStyle w:val="BodyText"/>
            </w:pPr>
            <w:r w:rsidRPr="00AF0DDC">
              <w:t>Modules may include:</w:t>
            </w:r>
          </w:p>
          <w:p w:rsidR="00000000" w:rsidP="00AF0DDC">
            <w:pPr>
              <w:pStyle w:val="ListBullet"/>
              <w:rPr>
                <w:lang w:val="en-NZ"/>
              </w:rPr>
            </w:pPr>
            <w:r w:rsidRPr="00AF0DDC">
              <w:t>various combinations of gas turbine engine sections as determined by the manufacturer</w:t>
            </w:r>
          </w:p>
        </w:tc>
      </w:tr>
      <w:tr w:rsidTr="00B135AE">
        <w:tblPrEx>
          <w:tblW w:w="9450" w:type="dxa"/>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DDC">
            <w:pPr>
              <w:pStyle w:val="BodyText"/>
              <w:rPr>
                <w:lang w:val="en-NZ"/>
              </w:rPr>
            </w:pPr>
            <w:r w:rsidRPr="00AF0DDC">
              <w:rPr>
                <w:rStyle w:val="SpecialBold"/>
              </w:rPr>
              <w:t>Application</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0DDC" w:rsidP="00AF0DDC">
            <w:pPr>
              <w:pStyle w:val="BodyText"/>
            </w:pPr>
            <w:r w:rsidRPr="00AF0DDC">
              <w:t>Application of t</w:t>
            </w:r>
            <w:r w:rsidRPr="00AF0DDC">
              <w:t>his unit may relate to:</w:t>
            </w:r>
          </w:p>
          <w:p w:rsidR="00000000" w:rsidRPr="00AF0DDC" w:rsidP="00AF0DDC">
            <w:pPr>
              <w:pStyle w:val="ListBullet"/>
            </w:pPr>
            <w:r w:rsidRPr="00AF0DDC">
              <w:t>scheduled or unscheduled maintenance</w:t>
            </w:r>
          </w:p>
          <w:p w:rsidR="00000000" w:rsidRPr="00AF0DDC" w:rsidP="00AF0DDC">
            <w:pPr>
              <w:pStyle w:val="ListBullet"/>
            </w:pPr>
            <w:r w:rsidRPr="00AF0DDC">
              <w:t>individual or team-related activities</w:t>
            </w:r>
          </w:p>
          <w:p w:rsidR="00000000" w:rsidP="00AF0DDC">
            <w:pPr>
              <w:pStyle w:val="ListBullet"/>
              <w:rPr>
                <w:lang w:val="en-NZ"/>
              </w:rPr>
            </w:pPr>
            <w:r w:rsidRPr="00AF0DDC">
              <w:t>complex adjusting and testing of engine performance to be carried out under supervision</w:t>
            </w:r>
          </w:p>
        </w:tc>
      </w:tr>
      <w:tr w:rsidTr="00B135AE">
        <w:tblPrEx>
          <w:tblW w:w="9450" w:type="dxa"/>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DDC">
            <w:pPr>
              <w:pStyle w:val="BodyText"/>
              <w:rPr>
                <w:lang w:val="en-NZ"/>
              </w:rPr>
            </w:pPr>
            <w:r w:rsidRPr="00AF0DDC">
              <w:rPr>
                <w:rStyle w:val="SpecialBold"/>
              </w:rPr>
              <w:t>Procedures and requirements</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0DDC" w:rsidP="00AF0DDC">
            <w:pPr>
              <w:pStyle w:val="BodyText"/>
            </w:pPr>
            <w:r w:rsidRPr="00AF0DDC">
              <w:t>Procedures and requirements refer to industry standard procedures specified by manufacturers, regulatory authorities or the enterprise</w:t>
            </w:r>
          </w:p>
        </w:tc>
      </w:tr>
    </w:tbl>
    <w:p w:rsidR="00000000" w:rsidRPr="00AF0DDC" w:rsidP="00AF0DDC">
      <w:pPr>
        <w:pStyle w:val="BodyText"/>
      </w:pPr>
    </w:p>
    <w:p w:rsidR="00000000" w:rsidRPr="00AF0DDC" w:rsidP="00AF0DDC">
      <w:pPr>
        <w:pStyle w:val="AllowPageBreak"/>
      </w:pPr>
    </w:p>
    <w:p w:rsidR="00000000" w:rsidRPr="00AF0DDC" w:rsidP="00AF0DDC">
      <w:pPr>
        <w:pStyle w:val="Heading1"/>
      </w:pPr>
      <w:bookmarkStart w:id="12" w:name="O_410041"/>
      <w:bookmarkEnd w:id="12"/>
      <w:r w:rsidRPr="00AF0DDC">
        <w:t>Unit Sector(s)</w:t>
      </w:r>
    </w:p>
    <w:p w:rsidR="00000000" w:rsidRPr="00AF0DDC" w:rsidP="00AF0DDC">
      <w:pPr>
        <w:pStyle w:val="BodyText"/>
      </w:pPr>
      <w:r w:rsidRPr="00AF0DDC">
        <w:t>Aviation maintenance</w:t>
      </w:r>
    </w:p>
    <w:p w:rsidR="00000000" w:rsidRPr="00AF0DDC" w:rsidP="00AF0DDC">
      <w:pPr>
        <w:pStyle w:val="AllowPageBreak"/>
      </w:pPr>
    </w:p>
    <w:p w:rsidR="00000000" w:rsidRPr="00AF0DDC" w:rsidP="00AF0DDC">
      <w:pPr>
        <w:pStyle w:val="Heading1"/>
      </w:pPr>
      <w:bookmarkStart w:id="13" w:name="O_410062"/>
      <w:bookmarkEnd w:id="13"/>
      <w:r w:rsidRPr="00AF0DDC">
        <w:t>Competency field</w:t>
      </w:r>
    </w:p>
    <w:p w:rsidR="00000000" w:rsidRPr="00AF0DDC" w:rsidP="00AF0DDC">
      <w:pPr>
        <w:pStyle w:val="Heading1"/>
      </w:pPr>
      <w:bookmarkStart w:id="14" w:name="O_410058"/>
      <w:bookmarkEnd w:id="14"/>
      <w:r w:rsidRPr="00AF0DDC">
        <w:t>Co-requisite uni</w:t>
      </w:r>
      <w:r w:rsidRPr="00AF0DDC">
        <w:t>ts</w:t>
      </w:r>
    </w:p>
    <w:p w:rsidR="00000000" w:rsidRPr="00AF0DDC" w:rsidP="00AF0DDC">
      <w:pPr>
        <w:pStyle w:val="BodyText"/>
      </w:pPr>
      <w:r w:rsidRPr="00AF0DDC">
        <w:t>Not applicable</w:t>
      </w:r>
    </w:p>
    <w:p w:rsidR="00000000" w:rsidRPr="00AF0DDC" w:rsidP="00AF0DDC"/>
    <w:sectPr w:rsidSect="00AF0DD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D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135AE" w:rsidP="00B135A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D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5AE" w:rsidP="00AF0DD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B135AE" w:rsidP="00AF0DD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135AE" w:rsidP="00AF0DD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D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DDC" w:rsidRPr="00B135AE" w:rsidP="00B135A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D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5AE" w:rsidRPr="002D2AF8" w:rsidP="00AF0DDC">
    <w:pPr>
      <w:pStyle w:val="Header"/>
      <w:framePr w:wrap="around"/>
    </w:pPr>
    <w:r>
      <w:fldChar w:fldCharType="begin"/>
    </w:r>
    <w:r>
      <w:instrText xml:space="preserve"> TITLE   \* MERGEFORMAT </w:instrText>
    </w:r>
    <w:r>
      <w:fldChar w:fldCharType="separate"/>
    </w:r>
    <w:r>
      <w:t>MEA387A Test gas turbine engines and engine modules after overhaul or repair</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B135AE" w:rsidP="00AF0DD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13600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53894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EDAEB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0DD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0DDC"/>
    <w:pPr>
      <w:spacing w:before="360" w:after="60"/>
      <w:outlineLvl w:val="0"/>
    </w:pPr>
    <w:rPr>
      <w:sz w:val="32"/>
    </w:rPr>
  </w:style>
  <w:style w:type="paragraph" w:styleId="Heading2">
    <w:name w:val="heading 2"/>
    <w:basedOn w:val="HeadingBase"/>
    <w:next w:val="BodyText"/>
    <w:link w:val="Heading2Char"/>
    <w:qFormat/>
    <w:rsid w:val="00AF0DDC"/>
    <w:pPr>
      <w:keepLines/>
      <w:spacing w:before="240" w:after="120"/>
      <w:outlineLvl w:val="1"/>
    </w:pPr>
    <w:rPr>
      <w:sz w:val="28"/>
      <w:szCs w:val="40"/>
    </w:rPr>
  </w:style>
  <w:style w:type="paragraph" w:styleId="Heading3">
    <w:name w:val="heading 3"/>
    <w:basedOn w:val="HeadingBase"/>
    <w:next w:val="BodyText"/>
    <w:link w:val="Heading3Char"/>
    <w:qFormat/>
    <w:rsid w:val="00AF0DDC"/>
    <w:pPr>
      <w:spacing w:before="180" w:after="120"/>
      <w:outlineLvl w:val="2"/>
    </w:pPr>
    <w:rPr>
      <w:spacing w:val="-10"/>
      <w:kern w:val="32"/>
    </w:rPr>
  </w:style>
  <w:style w:type="paragraph" w:styleId="Heading4">
    <w:name w:val="heading 4"/>
    <w:basedOn w:val="HeadingBase"/>
    <w:next w:val="BodyText"/>
    <w:link w:val="Heading4Char"/>
    <w:qFormat/>
    <w:rsid w:val="00AF0DDC"/>
    <w:pPr>
      <w:spacing w:before="160" w:after="120"/>
      <w:outlineLvl w:val="3"/>
    </w:pPr>
    <w:rPr>
      <w:sz w:val="22"/>
    </w:rPr>
  </w:style>
  <w:style w:type="paragraph" w:styleId="Heading5">
    <w:name w:val="heading 5"/>
    <w:basedOn w:val="HeadingBase"/>
    <w:next w:val="Normal"/>
    <w:link w:val="Heading5Char"/>
    <w:qFormat/>
    <w:rsid w:val="00AF0DDC"/>
    <w:pPr>
      <w:spacing w:before="80"/>
      <w:outlineLvl w:val="4"/>
    </w:pPr>
    <w:rPr>
      <w:color w:val="918585"/>
      <w:sz w:val="20"/>
    </w:rPr>
  </w:style>
  <w:style w:type="paragraph" w:styleId="Heading6">
    <w:name w:val="heading 6"/>
    <w:basedOn w:val="HeadingBase"/>
    <w:next w:val="Normal"/>
    <w:link w:val="Heading6Char"/>
    <w:qFormat/>
    <w:rsid w:val="00AF0DDC"/>
    <w:pPr>
      <w:spacing w:before="60"/>
      <w:outlineLvl w:val="5"/>
    </w:pPr>
    <w:rPr>
      <w:color w:val="918585"/>
      <w:sz w:val="20"/>
    </w:rPr>
  </w:style>
  <w:style w:type="paragraph" w:styleId="Heading7">
    <w:name w:val="heading 7"/>
    <w:basedOn w:val="Normal"/>
    <w:next w:val="Normal"/>
    <w:link w:val="Heading7Char"/>
    <w:qFormat/>
    <w:rsid w:val="00AF0DDC"/>
    <w:pPr>
      <w:ind w:left="720"/>
      <w:outlineLvl w:val="6"/>
    </w:pPr>
    <w:rPr>
      <w:i/>
    </w:rPr>
  </w:style>
  <w:style w:type="paragraph" w:styleId="Heading8">
    <w:name w:val="heading 8"/>
    <w:basedOn w:val="Normal"/>
    <w:next w:val="Normal"/>
    <w:link w:val="Heading8Char"/>
    <w:qFormat/>
    <w:rsid w:val="00AF0DDC"/>
    <w:pPr>
      <w:ind w:left="720"/>
      <w:outlineLvl w:val="7"/>
    </w:pPr>
    <w:rPr>
      <w:i/>
    </w:rPr>
  </w:style>
  <w:style w:type="paragraph" w:styleId="Heading9">
    <w:name w:val="heading 9"/>
    <w:basedOn w:val="Normal"/>
    <w:next w:val="Normal"/>
    <w:link w:val="Heading9Char"/>
    <w:qFormat/>
    <w:rsid w:val="00AF0DDC"/>
    <w:pPr>
      <w:ind w:left="720"/>
      <w:outlineLvl w:val="8"/>
    </w:pPr>
    <w:rPr>
      <w:i/>
    </w:rPr>
  </w:style>
  <w:style w:type="character" w:default="1" w:styleId="DefaultParagraphFont">
    <w:name w:val="Default Paragraph Font"/>
    <w:uiPriority w:val="1"/>
    <w:unhideWhenUsed/>
    <w:rsid w:val="00AF0D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0DDC"/>
  </w:style>
  <w:style w:type="character" w:customStyle="1" w:styleId="Heading1Char">
    <w:name w:val="Heading 1 Char"/>
    <w:basedOn w:val="DefaultParagraphFont"/>
    <w:link w:val="Heading1"/>
    <w:rsid w:val="00AF0DDC"/>
    <w:rPr>
      <w:rFonts w:ascii="Times New Roman" w:eastAsia="Times New Roman" w:hAnsi="Times New Roman" w:cs="Times New Roman"/>
      <w:b/>
      <w:sz w:val="32"/>
      <w:szCs w:val="20"/>
      <w:lang w:eastAsia="en-US"/>
    </w:rPr>
  </w:style>
  <w:style w:type="paragraph" w:styleId="BodyText">
    <w:name w:val="Body Text"/>
    <w:basedOn w:val="Normal"/>
    <w:link w:val="BodyTextChar"/>
    <w:rsid w:val="00AF0DD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F0DDC"/>
    <w:rPr>
      <w:rFonts w:ascii="Times New Roman" w:eastAsia="Times New Roman" w:hAnsi="Times New Roman" w:cs="Times New Roman"/>
      <w:sz w:val="24"/>
      <w:lang w:eastAsia="en-US"/>
    </w:rPr>
  </w:style>
  <w:style w:type="paragraph" w:styleId="Footer">
    <w:name w:val="footer"/>
    <w:basedOn w:val="Normal"/>
    <w:link w:val="FooterChar"/>
    <w:rsid w:val="00AF0D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0DDC"/>
    <w:rPr>
      <w:rFonts w:ascii="Times New Roman" w:eastAsia="Times New Roman" w:hAnsi="Times New Roman" w:cs="Times New Roman"/>
      <w:sz w:val="16"/>
      <w:lang w:eastAsia="en-US"/>
    </w:rPr>
  </w:style>
  <w:style w:type="paragraph" w:styleId="List">
    <w:name w:val="List"/>
    <w:basedOn w:val="BodyText"/>
    <w:next w:val="BodyText"/>
    <w:rsid w:val="00AF0DDC"/>
    <w:pPr>
      <w:tabs>
        <w:tab w:val="left" w:pos="340"/>
      </w:tabs>
      <w:spacing w:before="60" w:after="60"/>
      <w:ind w:left="340" w:hanging="340"/>
    </w:pPr>
  </w:style>
  <w:style w:type="paragraph" w:styleId="ListBullet">
    <w:name w:val="List Bullet"/>
    <w:basedOn w:val="List"/>
    <w:rsid w:val="00AF0DDC"/>
    <w:pPr>
      <w:numPr>
        <w:numId w:val="13"/>
      </w:numPr>
      <w:tabs>
        <w:tab w:val="clear" w:pos="340"/>
      </w:tabs>
      <w:spacing w:before="40" w:after="40"/>
    </w:pPr>
  </w:style>
  <w:style w:type="character" w:customStyle="1" w:styleId="SpecialBold">
    <w:name w:val="Special Bold"/>
    <w:basedOn w:val="DefaultParagraphFont"/>
    <w:rsid w:val="00AF0DDC"/>
    <w:rPr>
      <w:b/>
      <w:spacing w:val="0"/>
    </w:rPr>
  </w:style>
  <w:style w:type="paragraph" w:styleId="ListBullet2">
    <w:name w:val="List Bullet 2"/>
    <w:basedOn w:val="List2"/>
    <w:rsid w:val="00AF0DDC"/>
    <w:pPr>
      <w:numPr>
        <w:numId w:val="14"/>
      </w:numPr>
      <w:tabs>
        <w:tab w:val="clear" w:pos="680"/>
      </w:tabs>
    </w:pPr>
  </w:style>
  <w:style w:type="paragraph" w:customStyle="1" w:styleId="SuperHeading">
    <w:name w:val="SuperHeading"/>
    <w:basedOn w:val="Normal"/>
    <w:rsid w:val="00AF0DDC"/>
    <w:pPr>
      <w:spacing w:before="240" w:after="120"/>
      <w:outlineLvl w:val="0"/>
    </w:pPr>
    <w:rPr>
      <w:rFonts w:ascii="Times New Roman" w:hAnsi="Times New Roman"/>
      <w:b/>
      <w:sz w:val="28"/>
    </w:rPr>
  </w:style>
  <w:style w:type="paragraph" w:customStyle="1" w:styleId="AllowPageBreak">
    <w:name w:val="AllowPageBreak"/>
    <w:rsid w:val="00AF0DD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F0DDC"/>
    <w:pPr>
      <w:tabs>
        <w:tab w:val="left" w:pos="680"/>
      </w:tabs>
      <w:spacing w:before="60" w:after="60"/>
      <w:ind w:left="680" w:hanging="340"/>
    </w:pPr>
  </w:style>
  <w:style w:type="character" w:customStyle="1" w:styleId="BoldandItalics">
    <w:name w:val="Bold and Italics"/>
    <w:qFormat/>
    <w:rsid w:val="00AF0DDC"/>
    <w:rPr>
      <w:b/>
      <w:i/>
      <w:u w:val="none"/>
    </w:rPr>
  </w:style>
  <w:style w:type="character" w:customStyle="1" w:styleId="Heading2Char">
    <w:name w:val="Heading 2 Char"/>
    <w:basedOn w:val="DefaultParagraphFont"/>
    <w:link w:val="Heading2"/>
    <w:rsid w:val="00AF0D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0D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0D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0D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0D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0DD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0DD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0DDC"/>
    <w:rPr>
      <w:rFonts w:ascii="Courier New" w:eastAsia="Times New Roman" w:hAnsi="Courier New" w:cs="Times New Roman"/>
      <w:i/>
      <w:szCs w:val="20"/>
      <w:lang w:eastAsia="en-US"/>
    </w:rPr>
  </w:style>
  <w:style w:type="paragraph" w:customStyle="1" w:styleId="HeadingBase">
    <w:name w:val="Heading Base"/>
    <w:rsid w:val="00AF0D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0DDC"/>
    <w:pPr>
      <w:tabs>
        <w:tab w:val="right" w:leader="dot" w:pos="9072"/>
      </w:tabs>
      <w:ind w:left="567"/>
    </w:pPr>
    <w:rPr>
      <w:szCs w:val="22"/>
    </w:rPr>
  </w:style>
  <w:style w:type="paragraph" w:customStyle="1" w:styleId="TOCBase">
    <w:name w:val="TOC Base"/>
    <w:rsid w:val="00AF0D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0DDC"/>
    <w:pPr>
      <w:tabs>
        <w:tab w:val="right" w:leader="dot" w:pos="9072"/>
      </w:tabs>
      <w:spacing w:before="40" w:after="40"/>
      <w:ind w:left="284"/>
    </w:pPr>
    <w:rPr>
      <w:rFonts w:ascii="Times New Roman" w:hAnsi="Times New Roman"/>
    </w:rPr>
  </w:style>
  <w:style w:type="paragraph" w:styleId="TOC1">
    <w:name w:val="toc 1"/>
    <w:basedOn w:val="TOCBase"/>
    <w:next w:val="Normal"/>
    <w:rsid w:val="00AF0DD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F0DDC"/>
    <w:pPr>
      <w:spacing w:before="5040"/>
      <w:jc w:val="center"/>
    </w:pPr>
    <w:rPr>
      <w:sz w:val="48"/>
      <w:szCs w:val="72"/>
      <w:lang w:val="en-US"/>
    </w:rPr>
  </w:style>
  <w:style w:type="character" w:customStyle="1" w:styleId="TitleChar">
    <w:name w:val="Title Char"/>
    <w:basedOn w:val="DefaultParagraphFont"/>
    <w:link w:val="Title"/>
    <w:rsid w:val="00AF0D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0DDC"/>
    <w:pPr>
      <w:tabs>
        <w:tab w:val="left" w:pos="3600"/>
        <w:tab w:val="left" w:pos="3958"/>
      </w:tabs>
    </w:pPr>
  </w:style>
  <w:style w:type="paragraph" w:customStyle="1" w:styleId="Note">
    <w:name w:val="Note"/>
    <w:basedOn w:val="BodyText"/>
    <w:rsid w:val="00AF0DD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0DDC"/>
    <w:pPr>
      <w:framePr w:wrap="auto" w:hAnchor="text" w:y="6049"/>
    </w:pPr>
    <w:rPr>
      <w:color w:val="000000"/>
      <w:sz w:val="40"/>
    </w:rPr>
  </w:style>
  <w:style w:type="paragraph" w:customStyle="1" w:styleId="TOCTitle">
    <w:name w:val="TOCTitle"/>
    <w:basedOn w:val="Heading1"/>
    <w:rsid w:val="00AF0DDC"/>
    <w:pPr>
      <w:spacing w:after="240"/>
      <w:jc w:val="center"/>
      <w:outlineLvl w:val="9"/>
    </w:pPr>
    <w:rPr>
      <w:caps/>
    </w:rPr>
  </w:style>
  <w:style w:type="paragraph" w:customStyle="1" w:styleId="Version">
    <w:name w:val="Version"/>
    <w:rsid w:val="00AF0DD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F0DDC"/>
    <w:pPr>
      <w:keepNext w:val="0"/>
      <w:tabs>
        <w:tab w:val="right" w:pos="4176"/>
      </w:tabs>
      <w:ind w:left="198" w:hanging="198"/>
    </w:pPr>
    <w:rPr>
      <w:rFonts w:ascii="Garamond" w:hAnsi="Garamond"/>
    </w:rPr>
  </w:style>
  <w:style w:type="paragraph" w:styleId="IndexHeading">
    <w:name w:val="index heading"/>
    <w:basedOn w:val="Normal"/>
    <w:next w:val="Index1"/>
    <w:semiHidden/>
    <w:rsid w:val="00AF0DDC"/>
    <w:pPr>
      <w:spacing w:before="120" w:after="120"/>
    </w:pPr>
    <w:rPr>
      <w:rFonts w:ascii="Arial" w:hAnsi="Arial"/>
      <w:b/>
      <w:color w:val="918585"/>
      <w:sz w:val="24"/>
    </w:rPr>
  </w:style>
  <w:style w:type="paragraph" w:styleId="Header">
    <w:name w:val="header"/>
    <w:basedOn w:val="Normal"/>
    <w:link w:val="HeaderChar"/>
    <w:rsid w:val="00AF0D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0DDC"/>
    <w:rPr>
      <w:rFonts w:ascii="Times New Roman" w:eastAsia="Times New Roman" w:hAnsi="Times New Roman" w:cs="Times New Roman"/>
      <w:sz w:val="16"/>
      <w:szCs w:val="20"/>
      <w:lang w:val="en-GB" w:eastAsia="en-US"/>
    </w:rPr>
  </w:style>
  <w:style w:type="paragraph" w:customStyle="1" w:styleId="Chapter">
    <w:name w:val="Chapter"/>
    <w:basedOn w:val="Normal"/>
    <w:rsid w:val="00AF0DDC"/>
    <w:pPr>
      <w:spacing w:before="240"/>
    </w:pPr>
    <w:rPr>
      <w:rFonts w:ascii="Times New Roman" w:hAnsi="Times New Roman"/>
      <w:smallCaps/>
      <w:spacing w:val="80"/>
      <w:sz w:val="28"/>
    </w:rPr>
  </w:style>
  <w:style w:type="paragraph" w:customStyle="1" w:styleId="InChapter">
    <w:name w:val="InChapter"/>
    <w:basedOn w:val="Heading3"/>
    <w:rsid w:val="00AF0DDC"/>
    <w:pPr>
      <w:spacing w:after="240"/>
      <w:outlineLvl w:val="9"/>
    </w:pPr>
    <w:rPr>
      <w:noProof/>
    </w:rPr>
  </w:style>
  <w:style w:type="paragraph" w:styleId="Index2">
    <w:name w:val="index 2"/>
    <w:basedOn w:val="Normal"/>
    <w:next w:val="Normal"/>
    <w:semiHidden/>
    <w:rsid w:val="00AF0DDC"/>
    <w:pPr>
      <w:tabs>
        <w:tab w:val="right" w:pos="4176"/>
      </w:tabs>
      <w:ind w:left="568" w:hanging="284"/>
    </w:pPr>
    <w:rPr>
      <w:rFonts w:ascii="Garamond" w:hAnsi="Garamond"/>
    </w:rPr>
  </w:style>
  <w:style w:type="paragraph" w:customStyle="1" w:styleId="Byline">
    <w:name w:val="Byline"/>
    <w:rsid w:val="00AF0D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0DDC"/>
    <w:pPr>
      <w:tabs>
        <w:tab w:val="clear" w:pos="3600"/>
        <w:tab w:val="clear" w:pos="3958"/>
      </w:tabs>
      <w:jc w:val="right"/>
    </w:pPr>
  </w:style>
  <w:style w:type="character" w:styleId="Emphasis">
    <w:name w:val="Emphasis"/>
    <w:basedOn w:val="DefaultParagraphFont"/>
    <w:qFormat/>
    <w:rsid w:val="00AF0DDC"/>
    <w:rPr>
      <w:i/>
    </w:rPr>
  </w:style>
  <w:style w:type="paragraph" w:styleId="Caption">
    <w:name w:val="caption"/>
    <w:basedOn w:val="BodyText"/>
    <w:next w:val="Normal"/>
    <w:qFormat/>
    <w:rsid w:val="00AF0DDC"/>
    <w:pPr>
      <w:framePr w:w="2268" w:hSpace="181" w:vSpace="181" w:wrap="around" w:vAnchor="text" w:hAnchor="page" w:x="1135" w:y="285" w:anchorLock="1"/>
    </w:pPr>
    <w:rPr>
      <w:i/>
    </w:rPr>
  </w:style>
  <w:style w:type="paragraph" w:customStyle="1" w:styleId="MiniTOCTitle">
    <w:name w:val="MiniTOCTitle"/>
    <w:basedOn w:val="Heading4"/>
    <w:rsid w:val="00AF0DDC"/>
    <w:pPr>
      <w:spacing w:before="240"/>
      <w:outlineLvl w:val="9"/>
    </w:pPr>
    <w:rPr>
      <w:noProof/>
      <w:sz w:val="24"/>
    </w:rPr>
  </w:style>
  <w:style w:type="paragraph" w:customStyle="1" w:styleId="MiniTOCItem">
    <w:name w:val="MiniTOCItem"/>
    <w:basedOn w:val="ListBullet"/>
    <w:rsid w:val="00AF0DDC"/>
    <w:pPr>
      <w:numPr>
        <w:numId w:val="0"/>
      </w:numPr>
      <w:tabs>
        <w:tab w:val="right" w:leader="dot" w:pos="6521"/>
      </w:tabs>
      <w:spacing w:before="0" w:after="0"/>
    </w:pPr>
  </w:style>
  <w:style w:type="paragraph" w:customStyle="1" w:styleId="TOFTitle">
    <w:name w:val="TOFTitle"/>
    <w:basedOn w:val="TOCTitle"/>
    <w:rsid w:val="00AF0DDC"/>
  </w:style>
  <w:style w:type="paragraph" w:styleId="TableofFigures">
    <w:name w:val="table of figures"/>
    <w:basedOn w:val="Normal"/>
    <w:next w:val="Normal"/>
    <w:semiHidden/>
    <w:rsid w:val="00AF0DDC"/>
    <w:pPr>
      <w:tabs>
        <w:tab w:val="right" w:leader="dot" w:pos="9072"/>
      </w:tabs>
      <w:ind w:left="970" w:hanging="403"/>
    </w:pPr>
    <w:rPr>
      <w:rFonts w:ascii="Times New Roman" w:hAnsi="Times New Roman"/>
      <w:b/>
    </w:rPr>
  </w:style>
  <w:style w:type="paragraph" w:styleId="ListNumber">
    <w:name w:val="List Number"/>
    <w:basedOn w:val="List"/>
    <w:rsid w:val="00AF0DDC"/>
    <w:pPr>
      <w:numPr>
        <w:numId w:val="11"/>
      </w:numPr>
    </w:pPr>
  </w:style>
  <w:style w:type="character" w:customStyle="1" w:styleId="WingdingSymbols">
    <w:name w:val="Wingding Symbols"/>
    <w:rsid w:val="00AF0DDC"/>
    <w:rPr>
      <w:rFonts w:ascii="Wingdings" w:hAnsi="Wingdings"/>
    </w:rPr>
  </w:style>
  <w:style w:type="paragraph" w:customStyle="1" w:styleId="TableHeading">
    <w:name w:val="Table Heading"/>
    <w:basedOn w:val="HeadingBase"/>
    <w:rsid w:val="00AF0DDC"/>
    <w:pPr>
      <w:keepLines/>
      <w:pBdr>
        <w:bottom w:val="single" w:sz="6" w:space="1" w:color="918585"/>
      </w:pBdr>
      <w:spacing w:before="240"/>
    </w:pPr>
  </w:style>
  <w:style w:type="character" w:customStyle="1" w:styleId="HotSpot">
    <w:name w:val="HotSpot"/>
    <w:rsid w:val="00AF0DDC"/>
    <w:rPr>
      <w:color w:val="0033CC"/>
      <w:u w:val="none"/>
    </w:rPr>
  </w:style>
  <w:style w:type="paragraph" w:customStyle="1" w:styleId="BodyTextRight">
    <w:name w:val="Body Text Right"/>
    <w:basedOn w:val="BodyText"/>
    <w:rsid w:val="00AF0DDC"/>
    <w:pPr>
      <w:spacing w:before="0" w:after="0"/>
      <w:jc w:val="right"/>
    </w:pPr>
  </w:style>
  <w:style w:type="paragraph" w:styleId="Index3">
    <w:name w:val="index 3"/>
    <w:basedOn w:val="ListNumber2"/>
    <w:next w:val="Normal"/>
    <w:semiHidden/>
    <w:rsid w:val="00AF0DDC"/>
    <w:pPr>
      <w:numPr>
        <w:numId w:val="0"/>
      </w:numPr>
      <w:tabs>
        <w:tab w:val="right" w:leader="dot" w:pos="4176"/>
      </w:tabs>
    </w:pPr>
  </w:style>
  <w:style w:type="paragraph" w:styleId="ListNumber2">
    <w:name w:val="List Number 2"/>
    <w:basedOn w:val="List2"/>
    <w:rsid w:val="00AF0DDC"/>
    <w:pPr>
      <w:numPr>
        <w:numId w:val="10"/>
      </w:numPr>
      <w:tabs>
        <w:tab w:val="clear" w:pos="1060"/>
      </w:tabs>
    </w:pPr>
  </w:style>
  <w:style w:type="paragraph" w:customStyle="1" w:styleId="MarginNote">
    <w:name w:val="Margin Note"/>
    <w:basedOn w:val="BodyText"/>
    <w:rsid w:val="00AF0D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0D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0DD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0DDC"/>
    <w:rPr>
      <w:sz w:val="32"/>
    </w:rPr>
  </w:style>
  <w:style w:type="paragraph" w:customStyle="1" w:styleId="HeadingProcedure">
    <w:name w:val="Heading Procedure"/>
    <w:basedOn w:val="HeadingBase"/>
    <w:next w:val="Normal"/>
    <w:rsid w:val="00AF0DDC"/>
    <w:pPr>
      <w:tabs>
        <w:tab w:val="left" w:pos="0"/>
      </w:tabs>
      <w:spacing w:before="120" w:after="60"/>
    </w:pPr>
    <w:rPr>
      <w:i/>
      <w:color w:val="918585"/>
      <w:sz w:val="22"/>
    </w:rPr>
  </w:style>
  <w:style w:type="paragraph" w:customStyle="1" w:styleId="TableBodyText">
    <w:name w:val="Table Body Text"/>
    <w:basedOn w:val="BodyText"/>
    <w:rsid w:val="00AF0DDC"/>
    <w:pPr>
      <w:spacing w:before="60" w:after="60"/>
    </w:pPr>
  </w:style>
  <w:style w:type="paragraph" w:styleId="ListContinue">
    <w:name w:val="List Continue"/>
    <w:basedOn w:val="List"/>
    <w:rsid w:val="00AF0DDC"/>
    <w:pPr>
      <w:ind w:firstLine="0"/>
    </w:pPr>
  </w:style>
  <w:style w:type="paragraph" w:customStyle="1" w:styleId="ListNote">
    <w:name w:val="List Note"/>
    <w:basedOn w:val="List"/>
    <w:rsid w:val="00AF0DDC"/>
    <w:pPr>
      <w:pBdr>
        <w:top w:val="single" w:sz="6" w:space="2" w:color="918585"/>
        <w:bottom w:val="single" w:sz="6" w:space="2" w:color="918585"/>
      </w:pBdr>
      <w:tabs>
        <w:tab w:val="left" w:pos="1021"/>
      </w:tabs>
      <w:ind w:firstLine="0"/>
    </w:pPr>
  </w:style>
  <w:style w:type="paragraph" w:customStyle="1" w:styleId="Warning">
    <w:name w:val="Warning"/>
    <w:basedOn w:val="BodyText"/>
    <w:rsid w:val="00AF0DDC"/>
    <w:pPr>
      <w:shd w:val="clear" w:color="auto" w:fill="D9D9D9"/>
      <w:tabs>
        <w:tab w:val="left" w:pos="992"/>
      </w:tabs>
      <w:ind w:left="119" w:right="119"/>
    </w:pPr>
    <w:rPr>
      <w:sz w:val="20"/>
    </w:rPr>
  </w:style>
  <w:style w:type="paragraph" w:customStyle="1" w:styleId="MarginIcons">
    <w:name w:val="Margin Icons"/>
    <w:basedOn w:val="BodyText"/>
    <w:rsid w:val="00AF0D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0DDC"/>
    <w:rPr>
      <w:rFonts w:ascii="Courier New" w:hAnsi="Courier New"/>
    </w:rPr>
  </w:style>
  <w:style w:type="paragraph" w:customStyle="1" w:styleId="NoteBullet">
    <w:name w:val="Note Bullet"/>
    <w:basedOn w:val="Note"/>
    <w:rsid w:val="00AF0DDC"/>
    <w:pPr>
      <w:tabs>
        <w:tab w:val="clear" w:pos="680"/>
      </w:tabs>
      <w:spacing w:before="60" w:after="60"/>
    </w:pPr>
  </w:style>
  <w:style w:type="paragraph" w:customStyle="1" w:styleId="SubHeading2">
    <w:name w:val="SubHeading2"/>
    <w:basedOn w:val="HeadingBase"/>
    <w:rsid w:val="00AF0DDC"/>
    <w:pPr>
      <w:spacing w:before="240" w:after="60"/>
    </w:pPr>
    <w:rPr>
      <w:sz w:val="20"/>
    </w:rPr>
  </w:style>
  <w:style w:type="paragraph" w:customStyle="1" w:styleId="SubHeading1">
    <w:name w:val="SubHeading1"/>
    <w:basedOn w:val="HeadingBase"/>
    <w:rsid w:val="00AF0DDC"/>
    <w:pPr>
      <w:spacing w:before="240" w:after="60"/>
    </w:pPr>
    <w:rPr>
      <w:color w:val="918585"/>
      <w:sz w:val="22"/>
    </w:rPr>
  </w:style>
  <w:style w:type="paragraph" w:customStyle="1" w:styleId="SideHeading">
    <w:name w:val="Side Heading"/>
    <w:basedOn w:val="HeadingBase"/>
    <w:rsid w:val="00AF0D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0DDC"/>
    <w:pPr>
      <w:numPr>
        <w:numId w:val="12"/>
      </w:numPr>
    </w:pPr>
  </w:style>
  <w:style w:type="paragraph" w:styleId="PlainText">
    <w:name w:val="Plain Text"/>
    <w:basedOn w:val="Normal"/>
    <w:link w:val="PlainTextChar"/>
    <w:rsid w:val="00AF0DDC"/>
    <w:rPr>
      <w:sz w:val="20"/>
    </w:rPr>
  </w:style>
  <w:style w:type="character" w:customStyle="1" w:styleId="PlainTextChar">
    <w:name w:val="Plain Text Char"/>
    <w:basedOn w:val="DefaultParagraphFont"/>
    <w:link w:val="PlainText"/>
    <w:rsid w:val="00AF0DDC"/>
    <w:rPr>
      <w:rFonts w:ascii="Courier New" w:eastAsia="Times New Roman" w:hAnsi="Courier New" w:cs="Times New Roman"/>
      <w:sz w:val="20"/>
      <w:szCs w:val="20"/>
      <w:lang w:eastAsia="en-US"/>
    </w:rPr>
  </w:style>
  <w:style w:type="character" w:customStyle="1" w:styleId="MenuOption">
    <w:name w:val="Menu Option"/>
    <w:basedOn w:val="DefaultParagraphFont"/>
    <w:rsid w:val="00AF0DDC"/>
    <w:rPr>
      <w:b/>
      <w:smallCaps/>
    </w:rPr>
  </w:style>
  <w:style w:type="paragraph" w:customStyle="1" w:styleId="TableListNumber">
    <w:name w:val="Table List Number"/>
    <w:basedOn w:val="ListNumber"/>
    <w:rsid w:val="00AF0DDC"/>
    <w:pPr>
      <w:numPr>
        <w:numId w:val="0"/>
      </w:numPr>
    </w:pPr>
  </w:style>
  <w:style w:type="paragraph" w:styleId="TOC4">
    <w:name w:val="toc 4"/>
    <w:basedOn w:val="TOCBase"/>
    <w:next w:val="Normal"/>
    <w:semiHidden/>
    <w:rsid w:val="00AF0DDC"/>
    <w:pPr>
      <w:tabs>
        <w:tab w:val="right" w:leader="dot" w:pos="9071"/>
      </w:tabs>
      <w:ind w:left="1701"/>
    </w:pPr>
  </w:style>
  <w:style w:type="paragraph" w:customStyle="1" w:styleId="ListAlpha">
    <w:name w:val="List Alpha"/>
    <w:basedOn w:val="List"/>
    <w:rsid w:val="00AF0DDC"/>
    <w:pPr>
      <w:numPr>
        <w:numId w:val="9"/>
      </w:numPr>
    </w:pPr>
  </w:style>
  <w:style w:type="paragraph" w:customStyle="1" w:styleId="ListAlpha2">
    <w:name w:val="List Alpha 2"/>
    <w:basedOn w:val="List2"/>
    <w:rsid w:val="00AF0DDC"/>
    <w:pPr>
      <w:numPr>
        <w:numId w:val="8"/>
      </w:numPr>
    </w:pPr>
  </w:style>
  <w:style w:type="paragraph" w:styleId="List3">
    <w:name w:val="List 3"/>
    <w:basedOn w:val="BodyText"/>
    <w:rsid w:val="00AF0DDC"/>
    <w:pPr>
      <w:tabs>
        <w:tab w:val="left" w:pos="1021"/>
      </w:tabs>
      <w:spacing w:before="60" w:after="60"/>
      <w:ind w:left="1020" w:hanging="340"/>
    </w:pPr>
  </w:style>
  <w:style w:type="paragraph" w:styleId="List4">
    <w:name w:val="List 4"/>
    <w:basedOn w:val="BodyText"/>
    <w:rsid w:val="00AF0DDC"/>
    <w:pPr>
      <w:tabs>
        <w:tab w:val="left" w:pos="1361"/>
      </w:tabs>
      <w:spacing w:before="60" w:after="60"/>
      <w:ind w:left="1361" w:hanging="340"/>
    </w:pPr>
  </w:style>
  <w:style w:type="paragraph" w:styleId="List5">
    <w:name w:val="List 5"/>
    <w:basedOn w:val="BodyText"/>
    <w:rsid w:val="00AF0DDC"/>
    <w:pPr>
      <w:tabs>
        <w:tab w:val="left" w:pos="1701"/>
      </w:tabs>
      <w:spacing w:before="60" w:after="60"/>
      <w:ind w:left="1701" w:hanging="340"/>
    </w:pPr>
  </w:style>
  <w:style w:type="paragraph" w:styleId="ListBullet3">
    <w:name w:val="List Bullet 3"/>
    <w:basedOn w:val="List3"/>
    <w:rsid w:val="00AF0DDC"/>
    <w:pPr>
      <w:numPr>
        <w:numId w:val="15"/>
      </w:numPr>
      <w:tabs>
        <w:tab w:val="clear" w:pos="1021"/>
      </w:tabs>
      <w:ind w:left="1037" w:hanging="357"/>
    </w:pPr>
  </w:style>
  <w:style w:type="paragraph" w:styleId="ListBullet4">
    <w:name w:val="List Bullet 4"/>
    <w:basedOn w:val="List4"/>
    <w:rsid w:val="00AF0DDC"/>
    <w:pPr>
      <w:numPr>
        <w:numId w:val="3"/>
      </w:numPr>
    </w:pPr>
  </w:style>
  <w:style w:type="paragraph" w:styleId="ListBullet5">
    <w:name w:val="List Bullet 5"/>
    <w:basedOn w:val="List5"/>
    <w:rsid w:val="00AF0DDC"/>
    <w:pPr>
      <w:numPr>
        <w:numId w:val="4"/>
      </w:numPr>
    </w:pPr>
  </w:style>
  <w:style w:type="paragraph" w:styleId="ListContinue2">
    <w:name w:val="List Continue 2"/>
    <w:basedOn w:val="List2"/>
    <w:rsid w:val="00AF0DDC"/>
    <w:pPr>
      <w:ind w:firstLine="0"/>
    </w:pPr>
  </w:style>
  <w:style w:type="paragraph" w:styleId="ListContinue3">
    <w:name w:val="List Continue 3"/>
    <w:basedOn w:val="List3"/>
    <w:rsid w:val="00AF0DDC"/>
    <w:pPr>
      <w:ind w:left="1021" w:firstLine="0"/>
    </w:pPr>
  </w:style>
  <w:style w:type="paragraph" w:styleId="ListContinue4">
    <w:name w:val="List Continue 4"/>
    <w:basedOn w:val="List4"/>
    <w:rsid w:val="00AF0DDC"/>
    <w:pPr>
      <w:ind w:firstLine="0"/>
    </w:pPr>
  </w:style>
  <w:style w:type="paragraph" w:styleId="ListContinue5">
    <w:name w:val="List Continue 5"/>
    <w:basedOn w:val="List5"/>
    <w:rsid w:val="00AF0DDC"/>
    <w:pPr>
      <w:ind w:firstLine="0"/>
    </w:pPr>
  </w:style>
  <w:style w:type="paragraph" w:styleId="ListNumber3">
    <w:name w:val="List Number 3"/>
    <w:basedOn w:val="List3"/>
    <w:rsid w:val="00AF0DDC"/>
    <w:pPr>
      <w:numPr>
        <w:numId w:val="5"/>
      </w:numPr>
    </w:pPr>
  </w:style>
  <w:style w:type="paragraph" w:styleId="ListNumber4">
    <w:name w:val="List Number 4"/>
    <w:basedOn w:val="List4"/>
    <w:rsid w:val="00AF0DDC"/>
    <w:pPr>
      <w:numPr>
        <w:numId w:val="6"/>
      </w:numPr>
    </w:pPr>
  </w:style>
  <w:style w:type="paragraph" w:styleId="ListNumber5">
    <w:name w:val="List Number 5"/>
    <w:basedOn w:val="List5"/>
    <w:rsid w:val="00AF0DDC"/>
    <w:pPr>
      <w:numPr>
        <w:numId w:val="7"/>
      </w:numPr>
    </w:pPr>
  </w:style>
  <w:style w:type="paragraph" w:styleId="BlockText">
    <w:name w:val="Block Text"/>
    <w:basedOn w:val="Normal"/>
    <w:rsid w:val="00AF0DDC"/>
    <w:pPr>
      <w:spacing w:after="120"/>
      <w:ind w:left="1440" w:right="1440"/>
    </w:pPr>
  </w:style>
  <w:style w:type="character" w:customStyle="1" w:styleId="Subscript">
    <w:name w:val="Subscript"/>
    <w:basedOn w:val="DefaultParagraphFont"/>
    <w:rsid w:val="00AF0DDC"/>
    <w:rPr>
      <w:sz w:val="16"/>
      <w:vertAlign w:val="subscript"/>
    </w:rPr>
  </w:style>
  <w:style w:type="character" w:customStyle="1" w:styleId="Superscript">
    <w:name w:val="Superscript"/>
    <w:basedOn w:val="DefaultParagraphFont"/>
    <w:rsid w:val="00AF0DDC"/>
    <w:rPr>
      <w:sz w:val="16"/>
      <w:vertAlign w:val="superscript"/>
    </w:rPr>
  </w:style>
  <w:style w:type="character" w:customStyle="1" w:styleId="Symbols">
    <w:name w:val="Symbols"/>
    <w:basedOn w:val="DefaultParagraphFont"/>
    <w:rsid w:val="00AF0DDC"/>
    <w:rPr>
      <w:rFonts w:ascii="Symbol" w:hAnsi="Symbol"/>
    </w:rPr>
  </w:style>
  <w:style w:type="character" w:customStyle="1" w:styleId="MenuOptions">
    <w:name w:val="Menu Options"/>
    <w:basedOn w:val="DefaultParagraphFont"/>
    <w:rsid w:val="00AF0DDC"/>
    <w:rPr>
      <w:rFonts w:ascii="Arial Narrow" w:hAnsi="Arial Narrow"/>
      <w:smallCaps/>
    </w:rPr>
  </w:style>
  <w:style w:type="character" w:customStyle="1" w:styleId="Buttons">
    <w:name w:val="Buttons"/>
    <w:basedOn w:val="DefaultParagraphFont"/>
    <w:rsid w:val="00AF0DDC"/>
    <w:rPr>
      <w:b/>
    </w:rPr>
  </w:style>
  <w:style w:type="character" w:customStyle="1" w:styleId="Underlined">
    <w:name w:val="Underlined"/>
    <w:basedOn w:val="DefaultParagraphFont"/>
    <w:rsid w:val="00AF0DDC"/>
    <w:rPr>
      <w:u w:val="single"/>
    </w:rPr>
  </w:style>
  <w:style w:type="paragraph" w:customStyle="1" w:styleId="TableBodyTextRight">
    <w:name w:val="Table Body Text Right"/>
    <w:basedOn w:val="TableBodyText"/>
    <w:rsid w:val="00AF0DDC"/>
    <w:pPr>
      <w:widowControl w:val="0"/>
      <w:autoSpaceDE w:val="0"/>
      <w:autoSpaceDN w:val="0"/>
      <w:adjustRightInd w:val="0"/>
      <w:jc w:val="right"/>
    </w:pPr>
    <w:rPr>
      <w:rFonts w:cs="Arial"/>
      <w:szCs w:val="18"/>
    </w:rPr>
  </w:style>
  <w:style w:type="paragraph" w:customStyle="1" w:styleId="CopyrightText">
    <w:name w:val="Copyright Text"/>
    <w:basedOn w:val="BodyText"/>
    <w:rsid w:val="00AF0DDC"/>
    <w:rPr>
      <w:sz w:val="18"/>
    </w:rPr>
  </w:style>
  <w:style w:type="paragraph" w:customStyle="1" w:styleId="BodySmallRight">
    <w:name w:val="Body Small Right"/>
    <w:basedOn w:val="BodyTextRight"/>
    <w:rsid w:val="00AF0DDC"/>
    <w:rPr>
      <w:sz w:val="18"/>
      <w:szCs w:val="18"/>
    </w:rPr>
  </w:style>
  <w:style w:type="paragraph" w:customStyle="1" w:styleId="MarginEdition">
    <w:name w:val="Margin Edition"/>
    <w:basedOn w:val="MarginNote"/>
    <w:rsid w:val="00AF0DDC"/>
    <w:pPr>
      <w:spacing w:before="0" w:after="0"/>
    </w:pPr>
    <w:rPr>
      <w:rFonts w:ascii="Times New Roman" w:hAnsi="Times New Roman"/>
      <w:color w:val="999999"/>
    </w:rPr>
  </w:style>
  <w:style w:type="paragraph" w:customStyle="1" w:styleId="Spacer">
    <w:name w:val="Spacer"/>
    <w:basedOn w:val="Normal"/>
    <w:rsid w:val="00AF0DDC"/>
    <w:rPr>
      <w:sz w:val="2"/>
      <w:szCs w:val="2"/>
    </w:rPr>
  </w:style>
  <w:style w:type="character" w:customStyle="1" w:styleId="Small">
    <w:name w:val="Small"/>
    <w:basedOn w:val="DefaultParagraphFont"/>
    <w:rsid w:val="00AF0DDC"/>
    <w:rPr>
      <w:sz w:val="16"/>
    </w:rPr>
  </w:style>
  <w:style w:type="paragraph" w:customStyle="1" w:styleId="WideTable">
    <w:name w:val="Wide Table"/>
    <w:basedOn w:val="Normal"/>
    <w:rsid w:val="00AF0DDC"/>
    <w:pPr>
      <w:ind w:left="-1418"/>
    </w:pPr>
    <w:rPr>
      <w:sz w:val="2"/>
      <w:szCs w:val="2"/>
    </w:rPr>
  </w:style>
  <w:style w:type="character" w:styleId="PageNumber">
    <w:name w:val="page number"/>
    <w:basedOn w:val="DefaultParagraphFont"/>
    <w:rsid w:val="00AF0DDC"/>
  </w:style>
  <w:style w:type="paragraph" w:styleId="Quote">
    <w:name w:val="Quote"/>
    <w:basedOn w:val="Heading1"/>
    <w:link w:val="QuoteChar"/>
    <w:qFormat/>
    <w:rsid w:val="00AF0DDC"/>
    <w:rPr>
      <w:b w:val="0"/>
      <w:sz w:val="72"/>
      <w:szCs w:val="72"/>
      <w:lang w:val="en-NZ"/>
    </w:rPr>
  </w:style>
  <w:style w:type="character" w:customStyle="1" w:styleId="QuoteChar">
    <w:name w:val="Quote Char"/>
    <w:basedOn w:val="DefaultParagraphFont"/>
    <w:link w:val="Quote"/>
    <w:rsid w:val="00AF0D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0DDC"/>
    <w:pPr>
      <w:pageBreakBefore/>
    </w:pPr>
  </w:style>
  <w:style w:type="paragraph" w:customStyle="1" w:styleId="Border">
    <w:name w:val="Border"/>
    <w:basedOn w:val="Normal"/>
    <w:qFormat/>
    <w:rsid w:val="00AF0D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0DDC"/>
    <w:rPr>
      <w:b/>
      <w:bCs/>
      <w:i/>
      <w:iCs/>
      <w:color w:val="auto"/>
    </w:rPr>
  </w:style>
  <w:style w:type="paragraph" w:styleId="IntenseQuote">
    <w:name w:val="Intense Quote"/>
    <w:basedOn w:val="Normal"/>
    <w:next w:val="Normal"/>
    <w:link w:val="IntenseQuoteChar"/>
    <w:uiPriority w:val="30"/>
    <w:qFormat/>
    <w:rsid w:val="00AF0D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0DD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0DDC"/>
    <w:rPr>
      <w:smallCaps/>
      <w:color w:val="auto"/>
      <w:u w:val="single"/>
    </w:rPr>
  </w:style>
  <w:style w:type="character" w:styleId="IntenseReference">
    <w:name w:val="Intense Reference"/>
    <w:basedOn w:val="DefaultParagraphFont"/>
    <w:uiPriority w:val="32"/>
    <w:qFormat/>
    <w:rsid w:val="00AF0DDC"/>
    <w:rPr>
      <w:b/>
      <w:bCs/>
      <w:smallCaps/>
      <w:color w:val="auto"/>
      <w:spacing w:val="5"/>
      <w:u w:val="single"/>
    </w:rPr>
  </w:style>
  <w:style w:type="paragraph" w:customStyle="1" w:styleId="2ColumnHeading">
    <w:name w:val="2Column Heading"/>
    <w:basedOn w:val="BodyText"/>
    <w:qFormat/>
    <w:rsid w:val="00AF0DDC"/>
    <w:pPr>
      <w:spacing w:after="60"/>
      <w:ind w:left="-2268"/>
    </w:pPr>
    <w:rPr>
      <w:b/>
    </w:rPr>
  </w:style>
  <w:style w:type="paragraph" w:customStyle="1" w:styleId="Heading1TOC">
    <w:name w:val="Heading1 TOC"/>
    <w:basedOn w:val="Normal"/>
    <w:qFormat/>
    <w:rsid w:val="00AF0DDC"/>
    <w:pPr>
      <w:spacing w:before="240" w:after="120"/>
    </w:pPr>
    <w:rPr>
      <w:rFonts w:ascii="Times New Roman" w:hAnsi="Times New Roman"/>
      <w:b/>
      <w:sz w:val="32"/>
    </w:rPr>
  </w:style>
  <w:style w:type="paragraph" w:customStyle="1" w:styleId="Heading2TOC">
    <w:name w:val="Heading2 TOC"/>
    <w:basedOn w:val="Normal"/>
    <w:qFormat/>
    <w:rsid w:val="00AF0DDC"/>
    <w:pPr>
      <w:spacing w:before="240" w:after="60"/>
    </w:pPr>
    <w:rPr>
      <w:rFonts w:ascii="Times New Roman" w:hAnsi="Times New Roman"/>
      <w:b/>
      <w:sz w:val="28"/>
    </w:rPr>
  </w:style>
  <w:style w:type="character" w:customStyle="1" w:styleId="Underline">
    <w:name w:val="Underline"/>
    <w:basedOn w:val="DefaultParagraphFont"/>
    <w:qFormat/>
    <w:rsid w:val="00AF0DDC"/>
    <w:rPr>
      <w:u w:val="single"/>
    </w:rPr>
  </w:style>
  <w:style w:type="paragraph" w:styleId="BalloonText">
    <w:name w:val="Balloon Text"/>
    <w:basedOn w:val="Normal"/>
    <w:link w:val="BalloonTextChar"/>
    <w:rsid w:val="00AF0DDC"/>
    <w:rPr>
      <w:rFonts w:ascii="Tahoma" w:hAnsi="Tahoma" w:cs="Tahoma"/>
      <w:sz w:val="16"/>
      <w:szCs w:val="16"/>
    </w:rPr>
  </w:style>
  <w:style w:type="character" w:customStyle="1" w:styleId="BalloonTextChar">
    <w:name w:val="Balloon Text Char"/>
    <w:basedOn w:val="DefaultParagraphFont"/>
    <w:link w:val="BalloonText"/>
    <w:rsid w:val="00AF0DD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0DD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F0DD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0DDC"/>
    <w:rPr>
      <w:b/>
      <w:color w:val="660033"/>
      <w:spacing w:val="0"/>
    </w:rPr>
  </w:style>
  <w:style w:type="paragraph" w:customStyle="1" w:styleId="Nameditemlist">
    <w:name w:val="Named item list"/>
    <w:basedOn w:val="BodyText"/>
    <w:qFormat/>
    <w:rsid w:val="00AF0DD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1107</Words>
  <Characters>6688</Characters>
  <Application>Microsoft Office Word</Application>
  <DocSecurity>0</DocSecurity>
  <Lines>198</Lines>
  <Paragraphs>95</Paragraphs>
  <ScaleCrop>false</ScaleCrop>
  <Company>Author-it Software Corporation Ltd.</Company>
  <LinksUpToDate>false</LinksUpToDate>
  <CharactersWithSpaces>7724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MEA387A Test gas turbine engines and engine modules after overhaul or repair</dc:title>
  <dc:subject>Approved</dc:subject>
  <dc:creator>Manufacturing Skills Australia</dc:creator>
  <cp:keywords>Revision Number: 2</cp:keywords>
  <dc:description>Copyright © 1996-2007 Author-it Software Corporation Ltd., all rights reserved.</dc:description>
  <cp:lastModifiedBy>TPCMS</cp:lastModifiedBy>
  <cp:revision>3</cp:revision>
  <dcterms:created xsi:type="dcterms:W3CDTF">2012-10-05T15:13:00Z</dcterms:created>
  <dcterms:modified xsi:type="dcterms:W3CDTF">2012-10-05T15:13:00Z</dcterms:modified>
</cp:coreProperties>
</file>