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0E8" w:rsidP="005E20E8">
      <w:pPr>
        <w:pStyle w:val="Title"/>
      </w:pPr>
      <w:bookmarkStart w:id="0" w:name="_GoBack"/>
      <w:bookmarkEnd w:id="0"/>
      <w:r>
        <w:fldChar w:fldCharType="begin"/>
      </w:r>
      <w:r>
        <w:instrText xml:space="preserve"> TITLE   \* MERGEFORMAT </w:instrText>
      </w:r>
      <w:r>
        <w:fldChar w:fldCharType="separate"/>
      </w:r>
      <w:r>
        <w:t>MEA322B Test and troubleshoot gas turbine engine systems and components</w:t>
      </w:r>
      <w:r>
        <w:fldChar w:fldCharType="end"/>
      </w:r>
    </w:p>
    <w:p w:rsidR="005E20E8" w:rsidP="005E20E8">
      <w:pPr>
        <w:pStyle w:val="Version"/>
        <w:sectPr w:rsidSect="002C6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6C0C" w:rsidP="002C6C0C">
      <w:pPr>
        <w:pStyle w:val="SuperHeading"/>
      </w:pPr>
      <w:r w:rsidRPr="002C6C0C">
        <w:t>MEA322B Test and troubleshoot gas turbine engine systems and components</w:t>
      </w:r>
    </w:p>
    <w:p w:rsidR="00000000" w:rsidRPr="002C6C0C" w:rsidP="002C6C0C">
      <w:pPr>
        <w:pStyle w:val="SuperHeading"/>
      </w:pPr>
    </w:p>
    <w:p w:rsidR="00000000" w:rsidRPr="002C6C0C" w:rsidP="002C6C0C">
      <w:pPr>
        <w:pStyle w:val="Heading1"/>
      </w:pPr>
      <w:bookmarkStart w:id="1" w:name="O_98907"/>
      <w:bookmarkEnd w:id="1"/>
      <w:r w:rsidRPr="002C6C0C">
        <w:t>Modification History</w:t>
      </w:r>
    </w:p>
    <w:p w:rsidR="00000000" w:rsidRPr="002C6C0C" w:rsidP="002C6C0C">
      <w:pPr>
        <w:pStyle w:val="BodyText"/>
      </w:pPr>
      <w:r w:rsidRPr="002C6C0C">
        <w:t>Not applicable.</w:t>
      </w:r>
    </w:p>
    <w:p w:rsidR="00000000" w:rsidRPr="002C6C0C" w:rsidP="002C6C0C">
      <w:pPr>
        <w:pStyle w:val="AllowPageBreak"/>
      </w:pPr>
    </w:p>
    <w:p w:rsidR="00000000" w:rsidRPr="002C6C0C" w:rsidP="002C6C0C">
      <w:pPr>
        <w:pStyle w:val="Heading1"/>
      </w:pPr>
      <w:bookmarkStart w:id="2" w:name="O_98908"/>
      <w:bookmarkEnd w:id="2"/>
      <w:r w:rsidRPr="002C6C0C">
        <w:t>Unit Descriptor</w:t>
      </w:r>
    </w:p>
    <w:tbl>
      <w:tblPr>
        <w:tblW w:w="0" w:type="auto"/>
        <w:tblLayout w:type="fixed"/>
        <w:tblCellMar>
          <w:left w:w="62" w:type="dxa"/>
          <w:right w:w="62" w:type="dxa"/>
        </w:tblCellMar>
        <w:tblLook w:val="0000"/>
      </w:tblPr>
      <w:tblGrid>
        <w:gridCol w:w="2667"/>
        <w:gridCol w:w="5855"/>
      </w:tblGrid>
      <w:tr w:rsidTr="005E20E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Unit descri</w:t>
            </w:r>
            <w:r w:rsidRPr="002C6C0C">
              <w:rPr>
                <w:rStyle w:val="SpecialBold"/>
              </w:rPr>
              <w:t>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t>This unit is part of the Mechanical AME Certificate IV training pathways and must be taken with MEA319B. This unit covers the competencies required to test and troubleshoot the systems and components of gas turbine engines. Where a CASA licensing outc</w:t>
            </w:r>
            <w:r w:rsidRPr="002C6C0C">
              <w:t>ome is sought this unit forms part of the CASA requirement for the granting of the chosen B1 Aircraft Maintenance Engineer Licence under CASR Part 66, in accordance with the licensing provisions in Section 3, Assessment Guidelines</w:t>
            </w:r>
          </w:p>
        </w:tc>
      </w:tr>
    </w:tbl>
    <w:p w:rsidR="00000000" w:rsidRPr="002C6C0C" w:rsidP="002C6C0C">
      <w:pPr>
        <w:pStyle w:val="BodyText"/>
      </w:pPr>
    </w:p>
    <w:p w:rsidR="00000000" w:rsidRPr="002C6C0C" w:rsidP="002C6C0C">
      <w:pPr>
        <w:pStyle w:val="AllowPageBreak"/>
      </w:pPr>
    </w:p>
    <w:p w:rsidR="00000000" w:rsidRPr="002C6C0C" w:rsidP="002C6C0C">
      <w:pPr>
        <w:pStyle w:val="Heading1"/>
      </w:pPr>
      <w:bookmarkStart w:id="3" w:name="O_98909"/>
      <w:bookmarkEnd w:id="3"/>
      <w:r w:rsidRPr="002C6C0C">
        <w:t>Application of the Unit</w:t>
      </w:r>
    </w:p>
    <w:tbl>
      <w:tblPr>
        <w:tblW w:w="0" w:type="auto"/>
        <w:tblLayout w:type="fixed"/>
        <w:tblCellMar>
          <w:left w:w="62" w:type="dxa"/>
          <w:right w:w="62" w:type="dxa"/>
        </w:tblCellMar>
        <w:tblLook w:val="0000"/>
      </w:tblPr>
      <w:tblGrid>
        <w:gridCol w:w="2748"/>
        <w:gridCol w:w="5774"/>
      </w:tblGrid>
      <w:tr w:rsidTr="005E20E8">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t>This unit requires application of hand skills, the use of maintenance publications and knowledge of gas turbine engine and system theory to test and troubleshoot gas turbine engines and engine system componen</w:t>
            </w:r>
            <w:r w:rsidRPr="002C6C0C">
              <w:t>ts.</w:t>
            </w:r>
          </w:p>
          <w:p w:rsidR="00000000" w:rsidRPr="002C6C0C" w:rsidP="002C6C0C">
            <w:pPr>
              <w:pStyle w:val="BodyText"/>
            </w:pPr>
            <w:r w:rsidRPr="002C6C0C">
              <w:t>Applications include fixed and rotary wing aircraft.</w:t>
            </w:r>
          </w:p>
        </w:tc>
      </w:tr>
    </w:tbl>
    <w:p w:rsidR="00000000" w:rsidRPr="002C6C0C" w:rsidP="002C6C0C">
      <w:pPr>
        <w:pStyle w:val="BodyText"/>
      </w:pPr>
    </w:p>
    <w:p w:rsidR="00000000" w:rsidRPr="002C6C0C" w:rsidP="002C6C0C">
      <w:pPr>
        <w:pStyle w:val="AllowPageBreak"/>
      </w:pPr>
    </w:p>
    <w:p w:rsidR="00000000" w:rsidRPr="002C6C0C" w:rsidP="002C6C0C">
      <w:pPr>
        <w:pStyle w:val="Heading1"/>
      </w:pPr>
      <w:bookmarkStart w:id="4" w:name="O_98910"/>
      <w:bookmarkEnd w:id="4"/>
      <w:r w:rsidRPr="002C6C0C">
        <w:t>Licensing/Regulatory Information</w:t>
      </w:r>
    </w:p>
    <w:p w:rsidR="00000000" w:rsidRPr="002C6C0C" w:rsidP="002C6C0C">
      <w:pPr>
        <w:pStyle w:val="BodyText"/>
      </w:pPr>
      <w:r w:rsidRPr="002C6C0C">
        <w:t>Not applicable.</w:t>
      </w:r>
    </w:p>
    <w:p w:rsidR="00000000" w:rsidRPr="002C6C0C" w:rsidP="002C6C0C">
      <w:pPr>
        <w:pStyle w:val="AllowPageBreak"/>
      </w:pPr>
    </w:p>
    <w:p w:rsidR="00000000" w:rsidRPr="002C6C0C" w:rsidP="002C6C0C">
      <w:pPr>
        <w:pStyle w:val="Heading1"/>
      </w:pPr>
      <w:bookmarkStart w:id="5" w:name="O_98912"/>
      <w:bookmarkEnd w:id="5"/>
      <w:r w:rsidRPr="002C6C0C">
        <w:t>Pre-Requisites</w:t>
      </w:r>
    </w:p>
    <w:tbl>
      <w:tblPr>
        <w:tblW w:w="0" w:type="auto"/>
        <w:tblLayout w:type="fixed"/>
        <w:tblCellMar>
          <w:left w:w="62" w:type="dxa"/>
          <w:right w:w="62" w:type="dxa"/>
        </w:tblCellMar>
        <w:tblLook w:val="0000"/>
      </w:tblPr>
      <w:tblGrid>
        <w:gridCol w:w="2730"/>
        <w:gridCol w:w="1914"/>
        <w:gridCol w:w="3878"/>
      </w:tblGrid>
      <w:tr w:rsidTr="005E20E8">
        <w:tblPrEx>
          <w:tblW w:w="0" w:type="auto"/>
          <w:tblLayout w:type="fixed"/>
          <w:tblCellMar>
            <w:left w:w="62" w:type="dxa"/>
            <w:right w:w="62" w:type="dxa"/>
          </w:tblCellMar>
          <w:tblLook w:val="0000"/>
        </w:tblPrEx>
        <w:trPr>
          <w:tblHeader/>
        </w:trPr>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Prerequisite units</w:t>
            </w:r>
          </w:p>
        </w:tc>
        <w:tc>
          <w:tcPr>
            <w:tcW w:w="57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p>
        </w:tc>
      </w:tr>
      <w:tr w:rsidTr="005E20E8">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t>MEA319B</w:t>
            </w:r>
          </w:p>
        </w:tc>
        <w:tc>
          <w:tcPr>
            <w:tcW w:w="3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t>Inspect gas turbine engine systems and components</w:t>
            </w:r>
          </w:p>
        </w:tc>
      </w:tr>
      <w:tr w:rsidTr="005E20E8">
        <w:tblPrEx>
          <w:tblW w:w="0" w:type="auto"/>
          <w:tblLayout w:type="fixed"/>
          <w:tblCellMar>
            <w:left w:w="62" w:type="dxa"/>
            <w:right w:w="62" w:type="dxa"/>
          </w:tblCellMar>
          <w:tblLook w:val="0000"/>
        </w:tblPrEx>
        <w:tc>
          <w:tcPr>
            <w:tcW w:w="27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p>
        </w:tc>
      </w:tr>
    </w:tbl>
    <w:p w:rsidR="00000000" w:rsidRPr="002C6C0C" w:rsidP="002C6C0C">
      <w:pPr>
        <w:pStyle w:val="BodyText"/>
      </w:pPr>
    </w:p>
    <w:p w:rsidR="00000000" w:rsidRPr="002C6C0C" w:rsidP="002C6C0C">
      <w:pPr>
        <w:pStyle w:val="AllowPageBreak"/>
      </w:pPr>
    </w:p>
    <w:p w:rsidR="00000000" w:rsidRPr="002C6C0C" w:rsidP="002C6C0C">
      <w:pPr>
        <w:pStyle w:val="Heading1"/>
      </w:pPr>
      <w:bookmarkStart w:id="6" w:name="O_98911"/>
      <w:bookmarkEnd w:id="6"/>
      <w:r w:rsidRPr="002C6C0C">
        <w:t>Employability Skills Information</w:t>
      </w:r>
    </w:p>
    <w:tbl>
      <w:tblPr>
        <w:tblW w:w="0" w:type="auto"/>
        <w:tblLayout w:type="fixed"/>
        <w:tblCellMar>
          <w:left w:w="62" w:type="dxa"/>
          <w:right w:w="62" w:type="dxa"/>
        </w:tblCellMar>
        <w:tblLook w:val="0000"/>
      </w:tblPr>
      <w:tblGrid>
        <w:gridCol w:w="2802"/>
        <w:gridCol w:w="5720"/>
      </w:tblGrid>
      <w:tr w:rsidTr="005E20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t>This unit contains employability skills.</w:t>
            </w:r>
          </w:p>
        </w:tc>
      </w:tr>
    </w:tbl>
    <w:p w:rsidR="00000000" w:rsidRPr="002C6C0C" w:rsidP="002C6C0C">
      <w:pPr>
        <w:pStyle w:val="BodyText"/>
      </w:pPr>
    </w:p>
    <w:p w:rsidR="00000000" w:rsidRPr="002C6C0C" w:rsidP="002C6C0C">
      <w:pPr>
        <w:pStyle w:val="AllowPageBreak"/>
      </w:pPr>
    </w:p>
    <w:p w:rsidR="00000000" w:rsidRPr="002C6C0C" w:rsidP="002C6C0C">
      <w:pPr>
        <w:pStyle w:val="Heading1"/>
      </w:pPr>
      <w:bookmarkStart w:id="7" w:name="O_98913"/>
      <w:bookmarkEnd w:id="7"/>
      <w:r w:rsidRPr="002C6C0C">
        <w:t>Elements and Performance Criteria Pre-Content</w:t>
      </w:r>
    </w:p>
    <w:tbl>
      <w:tblPr>
        <w:tblW w:w="0" w:type="auto"/>
        <w:tblLayout w:type="fixed"/>
        <w:tblCellMar>
          <w:left w:w="62" w:type="dxa"/>
          <w:right w:w="62" w:type="dxa"/>
        </w:tblCellMar>
        <w:tblLook w:val="0000"/>
      </w:tblPr>
      <w:tblGrid>
        <w:gridCol w:w="2617"/>
        <w:gridCol w:w="5905"/>
      </w:tblGrid>
      <w:tr w:rsidTr="005E20E8">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t>Performance criteria describe the performance needed to demonstrate achievement of the element. Where bold italicised text is used, further information is detailed in the required skills and knowledge section and the range statement. Assessment of performa</w:t>
            </w:r>
            <w:r w:rsidRPr="002C6C0C">
              <w:t>nce is to be consistent with the evidence guide.</w:t>
            </w:r>
          </w:p>
        </w:tc>
      </w:tr>
    </w:tbl>
    <w:p w:rsidR="00000000" w:rsidRPr="002C6C0C" w:rsidP="002C6C0C">
      <w:pPr>
        <w:pStyle w:val="BodyText"/>
      </w:pPr>
    </w:p>
    <w:p w:rsidR="00000000" w:rsidRPr="002C6C0C" w:rsidP="002C6C0C">
      <w:pPr>
        <w:pStyle w:val="AllowPageBreak"/>
      </w:pPr>
    </w:p>
    <w:p w:rsidR="00000000" w:rsidRPr="002C6C0C" w:rsidP="002C6C0C">
      <w:pPr>
        <w:pStyle w:val="Heading1"/>
      </w:pPr>
      <w:bookmarkStart w:id="8" w:name="O_98914"/>
      <w:bookmarkEnd w:id="8"/>
      <w:r w:rsidRPr="002C6C0C">
        <w:t>Elements and Performance Criteria</w:t>
      </w:r>
    </w:p>
    <w:tbl>
      <w:tblPr>
        <w:tblW w:w="0" w:type="auto"/>
        <w:tblLayout w:type="fixed"/>
        <w:tblCellMar>
          <w:left w:w="62" w:type="dxa"/>
          <w:right w:w="62" w:type="dxa"/>
        </w:tblCellMar>
        <w:tblLook w:val="0000"/>
      </w:tblPr>
      <w:tblGrid>
        <w:gridCol w:w="2617"/>
        <w:gridCol w:w="5905"/>
      </w:tblGrid>
      <w:tr w:rsidTr="005E20E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PERFORMANCE CRITERIA</w:t>
            </w:r>
          </w:p>
        </w:tc>
      </w:tr>
      <w:tr w:rsidTr="005E20E8">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List"/>
              <w:rPr>
                <w:lang w:val="en-NZ"/>
              </w:rPr>
            </w:pPr>
            <w:r w:rsidRPr="002C6C0C">
              <w:t>1.</w:t>
            </w:r>
            <w:r w:rsidRPr="002C6C0C">
              <w:tab/>
              <w:t>Prepare for troubleshooting</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List2"/>
              <w:rPr>
                <w:lang w:val="en-NZ"/>
              </w:rPr>
            </w:pPr>
            <w:r w:rsidRPr="002C6C0C">
              <w:t>1.1.</w:t>
            </w:r>
            <w:r w:rsidRPr="002C6C0C">
              <w:tab/>
            </w:r>
            <w:r w:rsidRPr="002C6C0C">
              <w:t>Relevant maintenance documentation and modification status, including system defect reports where relevant, are interpreted to identify an unserviceability.</w:t>
            </w:r>
          </w:p>
        </w:tc>
      </w:tr>
      <w:tr w:rsidTr="005E20E8">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List"/>
              <w:rPr>
                <w:lang w:val="en-NZ"/>
              </w:rPr>
            </w:pPr>
            <w:r w:rsidRPr="002C6C0C">
              <w:t>2.</w:t>
            </w:r>
            <w:r w:rsidRPr="002C6C0C">
              <w:tab/>
              <w:t>Test gas turbine engine system.</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List2"/>
            </w:pPr>
            <w:r w:rsidRPr="002C6C0C">
              <w:t>2.1.</w:t>
            </w:r>
            <w:r w:rsidRPr="002C6C0C">
              <w:tab/>
              <w:t xml:space="preserve">Aircraft and </w:t>
            </w:r>
            <w:r w:rsidRPr="002C6C0C">
              <w:rPr>
                <w:rStyle w:val="BoldandItalics"/>
              </w:rPr>
              <w:t>gas turbine engine system</w:t>
            </w:r>
            <w:r w:rsidRPr="002C6C0C">
              <w:t xml:space="preserve"> are correctly prepa</w:t>
            </w:r>
            <w:r w:rsidRPr="002C6C0C">
              <w:t>red in accordance with applicable maintenance manual and connected to appropriate test equipment.</w:t>
            </w:r>
          </w:p>
          <w:p w:rsidR="00000000" w:rsidRPr="002C6C0C" w:rsidP="002C6C0C">
            <w:pPr>
              <w:pStyle w:val="List2"/>
            </w:pPr>
            <w:r w:rsidRPr="002C6C0C">
              <w:t>2.2.</w:t>
            </w:r>
            <w:r w:rsidRPr="002C6C0C">
              <w:tab/>
              <w:t>Built-in system test functions and status displays are activated, where applicable, outputs recorded and interpreted.</w:t>
            </w:r>
          </w:p>
          <w:p w:rsidR="00000000" w:rsidP="002C6C0C">
            <w:pPr>
              <w:pStyle w:val="List2"/>
              <w:rPr>
                <w:lang w:val="en-NZ"/>
              </w:rPr>
            </w:pPr>
            <w:r w:rsidRPr="002C6C0C">
              <w:t>2.3.</w:t>
            </w:r>
            <w:r w:rsidRPr="002C6C0C">
              <w:tab/>
              <w:t>Assistance is provided with ga</w:t>
            </w:r>
            <w:r w:rsidRPr="002C6C0C">
              <w:t>s turbine engine and/or system operation during prescribed test procedures to establish serviceability and correct function in accordance with applicable maintenance manual.</w:t>
            </w:r>
          </w:p>
        </w:tc>
      </w:tr>
      <w:tr w:rsidTr="005E20E8">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List"/>
              <w:rPr>
                <w:lang w:val="en-NZ"/>
              </w:rPr>
            </w:pPr>
            <w:r w:rsidRPr="002C6C0C">
              <w:t>3.</w:t>
            </w:r>
            <w:r w:rsidRPr="002C6C0C">
              <w:tab/>
              <w:t>Troubleshoot gas turbine engine system</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List2"/>
            </w:pPr>
            <w:r w:rsidRPr="002C6C0C">
              <w:t>3.1.</w:t>
            </w:r>
            <w:r w:rsidRPr="002C6C0C">
              <w:tab/>
              <w:t>Available information from mainten</w:t>
            </w:r>
            <w:r w:rsidRPr="002C6C0C">
              <w:t>ance documentation and inspection and test results is used, where necessary, to assist in fault determination.</w:t>
            </w:r>
          </w:p>
          <w:p w:rsidR="00000000" w:rsidRPr="002C6C0C" w:rsidP="002C6C0C">
            <w:pPr>
              <w:pStyle w:val="List2"/>
            </w:pPr>
            <w:r w:rsidRPr="002C6C0C">
              <w:t>3.2.</w:t>
            </w:r>
            <w:r w:rsidRPr="002C6C0C">
              <w:tab/>
              <w:t>Maintenance manual fault diagnosis guide and logical processes are used to ensure efficient and accurate troubleshooting.</w:t>
            </w:r>
          </w:p>
          <w:p w:rsidR="00000000" w:rsidRPr="002C6C0C" w:rsidP="002C6C0C">
            <w:pPr>
              <w:pStyle w:val="List2"/>
            </w:pPr>
            <w:r w:rsidRPr="002C6C0C">
              <w:t>3.3.</w:t>
            </w:r>
            <w:r w:rsidRPr="002C6C0C">
              <w:tab/>
              <w:t>Specialist ad</w:t>
            </w:r>
            <w:r w:rsidRPr="002C6C0C">
              <w:t>vice is obtained, where required, to assist with the troubleshooting process.</w:t>
            </w:r>
          </w:p>
          <w:p w:rsidR="00000000" w:rsidRPr="002C6C0C" w:rsidP="002C6C0C">
            <w:pPr>
              <w:pStyle w:val="List2"/>
            </w:pPr>
            <w:r w:rsidRPr="002C6C0C">
              <w:t>3.4.</w:t>
            </w:r>
            <w:r w:rsidRPr="002C6C0C">
              <w:tab/>
              <w:t>Gas turbine engine system faults are located and causes of the faults are clearly identified and correctly recorded in maintenance documentation, where required.</w:t>
            </w:r>
          </w:p>
          <w:p w:rsidR="00000000" w:rsidRPr="002C6C0C" w:rsidP="002C6C0C">
            <w:pPr>
              <w:pStyle w:val="List2"/>
            </w:pPr>
            <w:r w:rsidRPr="002C6C0C">
              <w:t>3.5.</w:t>
            </w:r>
            <w:r w:rsidRPr="002C6C0C">
              <w:tab/>
              <w:t xml:space="preserve">Fault </w:t>
            </w:r>
            <w:r w:rsidRPr="002C6C0C">
              <w:t>rectification requirements are determined to assist in planning the repair or adjustment.</w:t>
            </w:r>
          </w:p>
        </w:tc>
      </w:tr>
    </w:tbl>
    <w:p w:rsidR="00000000" w:rsidRPr="002C6C0C" w:rsidP="002C6C0C">
      <w:pPr>
        <w:pStyle w:val="BodyText"/>
      </w:pPr>
    </w:p>
    <w:p w:rsidR="00000000" w:rsidRPr="002C6C0C" w:rsidP="002C6C0C">
      <w:pPr>
        <w:pStyle w:val="AllowPageBreak"/>
      </w:pPr>
    </w:p>
    <w:p w:rsidR="00000000" w:rsidRPr="002C6C0C" w:rsidP="002C6C0C">
      <w:pPr>
        <w:pStyle w:val="Heading1"/>
      </w:pPr>
      <w:bookmarkStart w:id="9" w:name="O_98915"/>
      <w:bookmarkEnd w:id="9"/>
      <w:r w:rsidRPr="002C6C0C">
        <w:t>Required Skills and Knowledge</w:t>
      </w:r>
    </w:p>
    <w:tbl>
      <w:tblPr>
        <w:tblW w:w="0" w:type="auto"/>
        <w:tblLayout w:type="fixed"/>
        <w:tblCellMar>
          <w:left w:w="62" w:type="dxa"/>
          <w:right w:w="62" w:type="dxa"/>
        </w:tblCellMar>
        <w:tblLook w:val="0000"/>
      </w:tblPr>
      <w:tblGrid>
        <w:gridCol w:w="8522"/>
      </w:tblGrid>
      <w:tr w:rsidTr="005E20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REQUIRED SKILLS AND KNOWLEDGE</w:t>
            </w:r>
          </w:p>
        </w:tc>
      </w:tr>
      <w:tr w:rsidTr="005E20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t>This section describes the skills and knowledge required for this unit.</w:t>
            </w:r>
          </w:p>
        </w:tc>
      </w:tr>
      <w:tr w:rsidTr="005E20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Required skills</w:t>
            </w:r>
          </w:p>
        </w:tc>
      </w:tr>
      <w:tr w:rsidTr="005E20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t>Look for evidence that confirms skills in:</w:t>
            </w:r>
          </w:p>
          <w:p w:rsidR="00000000" w:rsidRPr="002C6C0C" w:rsidP="002C6C0C">
            <w:pPr>
              <w:pStyle w:val="ListBullet"/>
            </w:pPr>
            <w:r w:rsidRPr="002C6C0C">
              <w:t>Application of relevant OH&amp;S procedures</w:t>
            </w:r>
          </w:p>
          <w:p w:rsidR="00000000" w:rsidRPr="002C6C0C" w:rsidP="002C6C0C">
            <w:pPr>
              <w:pStyle w:val="ListBullet"/>
            </w:pPr>
            <w:r w:rsidRPr="002C6C0C">
              <w:t>The use of relevant maintenance documentation and aircraft manuals to:</w:t>
            </w:r>
          </w:p>
          <w:p w:rsidR="00000000" w:rsidRPr="002C6C0C" w:rsidP="002C6C0C">
            <w:pPr>
              <w:pStyle w:val="ListBullet2"/>
            </w:pPr>
            <w:r w:rsidRPr="002C6C0C">
              <w:t xml:space="preserve">recognise through visual/physical inspection external and internal signs of defects in gas turbine </w:t>
            </w:r>
            <w:r w:rsidRPr="002C6C0C">
              <w:t>engines, components and system components</w:t>
            </w:r>
          </w:p>
          <w:p w:rsidR="00000000" w:rsidRPr="002C6C0C" w:rsidP="002C6C0C">
            <w:pPr>
              <w:pStyle w:val="ListBullet2"/>
            </w:pPr>
            <w:r w:rsidRPr="002C6C0C">
              <w:t>assist with testing of gas turbine engine and engine system operation, be able to operate systems, monitor indications, record parameters and recognise correct function</w:t>
            </w:r>
          </w:p>
          <w:p w:rsidR="00000000" w:rsidRPr="002C6C0C" w:rsidP="002C6C0C">
            <w:pPr>
              <w:pStyle w:val="ListBullet2"/>
            </w:pPr>
            <w:r w:rsidRPr="002C6C0C">
              <w:t>compile engine condition monitoring records</w:t>
            </w:r>
          </w:p>
          <w:p w:rsidR="00000000" w:rsidRPr="002C6C0C" w:rsidP="002C6C0C">
            <w:pPr>
              <w:pStyle w:val="ListBullet2"/>
            </w:pPr>
            <w:r w:rsidRPr="002C6C0C">
              <w:t>rig and adjust engine controls and systems</w:t>
            </w:r>
          </w:p>
          <w:p w:rsidR="00000000" w:rsidP="002C6C0C">
            <w:pPr>
              <w:pStyle w:val="ListBullet"/>
              <w:rPr>
                <w:lang w:val="en-NZ"/>
              </w:rPr>
            </w:pPr>
            <w:r w:rsidRPr="002C6C0C">
              <w:t>Using fault diagnosis guides and equivalent data, to accurately and efficiently troubleshoot the causes of unserviceabilities in gas turbine engines and engine systems, clearly record details and identify the requ</w:t>
            </w:r>
            <w:r w:rsidRPr="002C6C0C">
              <w:t>ired rectification actions</w:t>
            </w:r>
          </w:p>
        </w:tc>
      </w:tr>
      <w:tr w:rsidTr="005E20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Required knowledge</w:t>
            </w:r>
          </w:p>
        </w:tc>
      </w:tr>
      <w:tr w:rsidTr="005E20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t>Look for evidence that confirms knowledge of:</w:t>
            </w:r>
          </w:p>
          <w:p w:rsidR="00000000" w:rsidRPr="002C6C0C" w:rsidP="002C6C0C">
            <w:pPr>
              <w:pStyle w:val="ListBullet"/>
            </w:pPr>
            <w:r w:rsidRPr="002C6C0C">
              <w:t>Fault diagnosis techniques</w:t>
            </w:r>
          </w:p>
          <w:p w:rsidR="00000000" w:rsidRPr="002C6C0C" w:rsidP="002C6C0C">
            <w:pPr>
              <w:pStyle w:val="ListBullet"/>
            </w:pPr>
            <w:r w:rsidRPr="002C6C0C">
              <w:t>Gas turbine engine and engine system layout and operation</w:t>
            </w:r>
          </w:p>
          <w:p w:rsidR="00000000" w:rsidRPr="002C6C0C" w:rsidP="002C6C0C">
            <w:pPr>
              <w:pStyle w:val="ListBullet"/>
            </w:pPr>
            <w:r w:rsidRPr="002C6C0C">
              <w:t>System component operation including electrical and instrument system interfa</w:t>
            </w:r>
            <w:r w:rsidRPr="002C6C0C">
              <w:t>ces</w:t>
            </w:r>
          </w:p>
        </w:tc>
      </w:tr>
    </w:tbl>
    <w:p w:rsidR="00000000" w:rsidRPr="002C6C0C" w:rsidP="002C6C0C">
      <w:pPr>
        <w:pStyle w:val="BodyText"/>
      </w:pPr>
    </w:p>
    <w:p w:rsidR="00000000" w:rsidRPr="002C6C0C" w:rsidP="002C6C0C">
      <w:pPr>
        <w:pStyle w:val="AllowPageBreak"/>
      </w:pPr>
    </w:p>
    <w:p w:rsidR="00000000" w:rsidRPr="002C6C0C" w:rsidP="002C6C0C">
      <w:pPr>
        <w:pStyle w:val="Heading1"/>
      </w:pPr>
      <w:bookmarkStart w:id="10" w:name="O_98916"/>
      <w:bookmarkEnd w:id="10"/>
      <w:r w:rsidRPr="002C6C0C">
        <w:t>Evidence Guide</w:t>
      </w:r>
    </w:p>
    <w:tbl>
      <w:tblPr>
        <w:tblW w:w="9570" w:type="dxa"/>
        <w:tblLayout w:type="fixed"/>
        <w:tblCellMar>
          <w:left w:w="62" w:type="dxa"/>
          <w:right w:w="62" w:type="dxa"/>
        </w:tblCellMar>
        <w:tblLook w:val="0000"/>
      </w:tblPr>
      <w:tblGrid>
        <w:gridCol w:w="3908"/>
        <w:gridCol w:w="5662"/>
      </w:tblGrid>
      <w:tr w:rsidTr="005E20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EVIDENCE GUIDE</w:t>
            </w:r>
          </w:p>
        </w:tc>
      </w:tr>
      <w:tr w:rsidTr="005E20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t xml:space="preserve">The Evidence Guide provides advice on assessment and must be read in conjunction with the performance criteria, required skills and knowledge, </w:t>
            </w:r>
            <w:r w:rsidRPr="002C6C0C">
              <w:t>range statement and the Assessment Guidelines for the Training Package.</w:t>
            </w:r>
          </w:p>
        </w:tc>
      </w:tr>
      <w:tr w:rsidTr="005E20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t xml:space="preserve">A person who demonstrates competency in this unit must be able to apply hand skills, use maintenance publications and engine and system theory </w:t>
            </w:r>
            <w:r w:rsidRPr="002C6C0C">
              <w:t>knowledge to test and troubleshoot gas turbine engines and engine system components on fixed or rotary wing aircraft while applying all relevant safety precautions.</w:t>
            </w:r>
          </w:p>
        </w:tc>
      </w:tr>
      <w:tr w:rsidTr="005E20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Critical aspects for assessment and evidence required to demonstrate competency in this un</w:t>
            </w:r>
            <w:r w:rsidRPr="002C6C0C">
              <w:rPr>
                <w:rStyle w:val="SpecialBold"/>
              </w:rPr>
              <w:t>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t>The underlying skills inherent in this unit should be transferable across a range of inspection, testing and troubleshooting applications (including the timely involvement of supervisor or other trades) associated with engine systems. It is essential th</w:t>
            </w:r>
            <w:r w:rsidRPr="002C6C0C">
              <w:t>at system test procedures take into account all safety precautions associated with gas turbine engine system operation, especially with regard to high-energy ignition units, and that awareness be demonstrated of dual inspection requirements associated with</w:t>
            </w:r>
            <w:r w:rsidRPr="002C6C0C">
              <w:t xml:space="preserve"> work on engine control systems.</w:t>
            </w:r>
          </w:p>
          <w:p w:rsidR="00000000" w:rsidRPr="002C6C0C" w:rsidP="002C6C0C">
            <w:pPr>
              <w:pStyle w:val="BodyText"/>
            </w:pPr>
            <w:r w:rsidRPr="002C6C0C">
              <w:t>Evidence of transferability of skills and knowledge related to testing and troubleshooting is essential. This may be demonstrated through application across a number of engine systems or engine types. The application of tes</w:t>
            </w:r>
            <w:r w:rsidRPr="002C6C0C">
              <w:t>ting procedures and functional rigging checks should also indicate knowledge of system operation. Engine system operation knowledge, the relationship of individual components and the links with other systems will be necessary to supplement evidence of abil</w:t>
            </w:r>
            <w:r w:rsidRPr="002C6C0C">
              <w:t>ity to carry out rigging checks and troubleshoot the system within the limits of the aircraft/system fault finding guide before undertaking any action. The work plan should take account of applicable safety and quality requirements in accordance with the i</w:t>
            </w:r>
            <w:r w:rsidRPr="002C6C0C">
              <w:t>ndustry and regulatory standards.</w:t>
            </w:r>
          </w:p>
          <w:p w:rsidR="00000000" w:rsidP="002C6C0C">
            <w:pPr>
              <w:pStyle w:val="BodyText"/>
              <w:rPr>
                <w:lang w:val="en-NZ"/>
              </w:rPr>
            </w:pPr>
            <w:r w:rsidRPr="002C6C0C">
              <w:t>A person cannot be assessed as competent until it can be demonstrated to the satisfaction of the workplace assessor that the relevant elements of the Unit of Competency are being achieved under routine supervision on at le</w:t>
            </w:r>
            <w:r w:rsidRPr="002C6C0C">
              <w:t>ast one item from each of Groups 1 to 6 in the Range Statement. This shall be established via the records in the Log of Industrial Experience and Achievement or, where appropriate, an equivalent Industry .</w:t>
            </w:r>
          </w:p>
        </w:tc>
      </w:tr>
      <w:tr w:rsidTr="005E20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t>Competency should be assessed in the work environment or simulated work environment using tools and equipment specified in aircraft maintenance manuals. It is also expected that general purpose tools, test and ground support equipment found in most routine</w:t>
            </w:r>
            <w:r w:rsidRPr="002C6C0C">
              <w:t xml:space="preserve"> situations would be used where appropriate. The level of troubleshooting is limited in its application to the use of fault diagnosis guides or other similar information</w:t>
            </w:r>
          </w:p>
        </w:tc>
      </w:tr>
      <w:tr w:rsidTr="005E20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p>
        </w:tc>
      </w:tr>
      <w:tr w:rsidTr="005E20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p>
        </w:tc>
      </w:tr>
    </w:tbl>
    <w:p w:rsidR="00000000" w:rsidRPr="002C6C0C" w:rsidP="002C6C0C">
      <w:pPr>
        <w:pStyle w:val="BodyText"/>
      </w:pPr>
    </w:p>
    <w:p w:rsidR="00000000" w:rsidRPr="002C6C0C" w:rsidP="002C6C0C">
      <w:pPr>
        <w:pStyle w:val="AllowPageBreak"/>
      </w:pPr>
    </w:p>
    <w:p w:rsidR="00000000" w:rsidRPr="002C6C0C" w:rsidP="002C6C0C">
      <w:pPr>
        <w:pStyle w:val="Heading1"/>
      </w:pPr>
      <w:bookmarkStart w:id="11" w:name="O_98917"/>
      <w:bookmarkEnd w:id="11"/>
      <w:r w:rsidRPr="002C6C0C">
        <w:t>Range Statement</w:t>
      </w:r>
    </w:p>
    <w:tbl>
      <w:tblPr>
        <w:tblW w:w="0" w:type="auto"/>
        <w:tblLayout w:type="fixed"/>
        <w:tblCellMar>
          <w:left w:w="62" w:type="dxa"/>
          <w:right w:w="62" w:type="dxa"/>
        </w:tblCellMar>
        <w:tblLook w:val="0000"/>
      </w:tblPr>
      <w:tblGrid>
        <w:gridCol w:w="3541"/>
        <w:gridCol w:w="4981"/>
      </w:tblGrid>
      <w:tr w:rsidTr="005E20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RANGE STATEMENT</w:t>
            </w:r>
          </w:p>
        </w:tc>
      </w:tr>
      <w:tr w:rsidTr="005E20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t>The range statement relates to the unit of competency as a whole. It allows for different work environments and situations that may affect performance. Bold italicised wording, if used in the performance criteria, is detai</w:t>
            </w:r>
            <w:r w:rsidRPr="002C6C0C">
              <w:t>led below. Essential operating conditions that may be present with training and assessment (depending on the work situation, needs of the candidate, accessibility of the item, and local industry and regional contexts) may also be included.</w:t>
            </w:r>
          </w:p>
        </w:tc>
      </w:tr>
      <w:tr w:rsidTr="005E20E8">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Note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t>Range statements listed below are numbered to facilitate specification of the assessment requirements included in the Evidence Guide.</w:t>
            </w:r>
          </w:p>
        </w:tc>
      </w:tr>
      <w:tr w:rsidTr="005E20E8">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rPr>
                <w:rStyle w:val="SpecialBold"/>
              </w:rPr>
              <w:t>Gas turbine engine systems</w:t>
            </w:r>
            <w:r w:rsidRPr="002C6C0C">
              <w:t xml:space="preserve"> </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rPr>
                <w:rStyle w:val="Emphasis"/>
              </w:rPr>
              <w:t>Gas turbine engine systems may include</w:t>
            </w:r>
            <w:r w:rsidRPr="002C6C0C">
              <w:t>:</w:t>
            </w:r>
          </w:p>
          <w:p w:rsidR="00000000" w:rsidRPr="002C6C0C" w:rsidP="002C6C0C">
            <w:pPr>
              <w:pStyle w:val="BodyText"/>
            </w:pPr>
            <w:r w:rsidRPr="002C6C0C">
              <w:t>1.  Engine change unit, main components, accessories/</w:t>
            </w:r>
            <w:r w:rsidRPr="002C6C0C">
              <w:t>drives</w:t>
            </w:r>
          </w:p>
          <w:p w:rsidR="00000000" w:rsidRPr="002C6C0C" w:rsidP="002C6C0C">
            <w:pPr>
              <w:pStyle w:val="BodyText"/>
            </w:pPr>
            <w:r w:rsidRPr="002C6C0C">
              <w:t>2.  Control system</w:t>
            </w:r>
          </w:p>
          <w:p w:rsidR="00000000" w:rsidRPr="002C6C0C" w:rsidP="002C6C0C">
            <w:pPr>
              <w:pStyle w:val="BodyText"/>
            </w:pPr>
            <w:r w:rsidRPr="002C6C0C">
              <w:t>3.  Ignition, starter systems.</w:t>
            </w:r>
          </w:p>
          <w:p w:rsidR="00000000" w:rsidRPr="002C6C0C" w:rsidP="002C6C0C">
            <w:pPr>
              <w:pStyle w:val="BodyText"/>
            </w:pPr>
            <w:r w:rsidRPr="002C6C0C">
              <w:t>4.  Fuel system</w:t>
            </w:r>
          </w:p>
          <w:p w:rsidR="00000000" w:rsidRPr="002C6C0C" w:rsidP="002C6C0C">
            <w:pPr>
              <w:pStyle w:val="BodyText"/>
            </w:pPr>
            <w:r w:rsidRPr="002C6C0C">
              <w:t>5.  Oil system</w:t>
            </w:r>
          </w:p>
          <w:p w:rsidR="00000000" w:rsidP="002C6C0C">
            <w:pPr>
              <w:pStyle w:val="BodyText"/>
              <w:rPr>
                <w:lang w:val="en-NZ"/>
              </w:rPr>
            </w:pPr>
            <w:r w:rsidRPr="002C6C0C">
              <w:t>6.  Air system</w:t>
            </w:r>
          </w:p>
        </w:tc>
      </w:tr>
      <w:tr w:rsidTr="005E20E8">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rPr>
                <w:rStyle w:val="SpecialBold"/>
              </w:rPr>
              <w:t>Troubleshooting</w:t>
            </w:r>
            <w:r w:rsidRPr="002C6C0C">
              <w:t xml:space="preserve"> </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Emphasis"/>
              </w:rPr>
              <w:t>Troubleshooting</w:t>
            </w:r>
            <w:r w:rsidRPr="002C6C0C">
              <w:t xml:space="preserve"> involves the use of fault finding charts or similar, to line replacement level.</w:t>
            </w:r>
          </w:p>
        </w:tc>
      </w:tr>
      <w:tr w:rsidTr="005E20E8">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Application</w:t>
            </w:r>
            <w:r w:rsidRPr="002C6C0C">
              <w:t xml:space="preserve"> </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t xml:space="preserve">Application of this unit </w:t>
            </w:r>
            <w:r w:rsidRPr="002C6C0C">
              <w:t>may relate to:</w:t>
            </w:r>
          </w:p>
          <w:p w:rsidR="00000000" w:rsidRPr="002C6C0C" w:rsidP="002C6C0C">
            <w:pPr>
              <w:pStyle w:val="ListBullet"/>
            </w:pPr>
            <w:r w:rsidRPr="002C6C0C">
              <w:t>Scheduled or unscheduled maintenance activities</w:t>
            </w:r>
          </w:p>
          <w:p w:rsidR="00000000" w:rsidP="002C6C0C">
            <w:pPr>
              <w:pStyle w:val="ListBullet"/>
              <w:rPr>
                <w:lang w:val="en-NZ"/>
              </w:rPr>
            </w:pPr>
            <w:r w:rsidRPr="002C6C0C">
              <w:t>Individual or team related activities</w:t>
            </w:r>
          </w:p>
        </w:tc>
      </w:tr>
      <w:tr w:rsidTr="005E20E8">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Procedures and requirements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t>Refer to industry standard procedures specified by manufacturers, regulatory authorities or the enterprise</w:t>
            </w:r>
          </w:p>
        </w:tc>
      </w:tr>
    </w:tbl>
    <w:p w:rsidR="005E20E8" w:rsidP="002C6C0C">
      <w:pPr>
        <w:pStyle w:val="BodyText"/>
      </w:pPr>
    </w:p>
    <w:p w:rsidR="005E20E8" w:rsidP="002C6C0C">
      <w:pPr>
        <w:pStyle w:val="BodyText"/>
      </w:pPr>
    </w:p>
    <w:p w:rsidR="00000000" w:rsidRPr="002C6C0C" w:rsidP="002C6C0C">
      <w:pPr>
        <w:pStyle w:val="Heading1"/>
      </w:pPr>
      <w:bookmarkStart w:id="12" w:name="O_98918"/>
      <w:bookmarkEnd w:id="12"/>
      <w:r w:rsidRPr="002C6C0C">
        <w:t>Unit Sector(s)</w:t>
      </w:r>
    </w:p>
    <w:tbl>
      <w:tblPr>
        <w:tblW w:w="0" w:type="auto"/>
        <w:tblLayout w:type="fixed"/>
        <w:tblCellMar>
          <w:left w:w="62" w:type="dxa"/>
          <w:right w:w="62" w:type="dxa"/>
        </w:tblCellMar>
        <w:tblLook w:val="0000"/>
      </w:tblPr>
      <w:tblGrid>
        <w:gridCol w:w="2654"/>
        <w:gridCol w:w="5868"/>
      </w:tblGrid>
      <w:tr w:rsidTr="005E20E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p>
        </w:tc>
      </w:tr>
    </w:tbl>
    <w:p w:rsidR="00000000" w:rsidRPr="002C6C0C" w:rsidP="002C6C0C">
      <w:pPr>
        <w:pStyle w:val="BodyText"/>
      </w:pPr>
    </w:p>
    <w:p w:rsidR="00000000" w:rsidRPr="002C6C0C" w:rsidP="002C6C0C">
      <w:pPr>
        <w:pStyle w:val="AllowPageBreak"/>
      </w:pPr>
    </w:p>
    <w:p w:rsidR="00000000" w:rsidRPr="002C6C0C" w:rsidP="002C6C0C">
      <w:pPr>
        <w:pStyle w:val="Heading1"/>
      </w:pPr>
      <w:bookmarkStart w:id="13" w:name="O_158914"/>
      <w:bookmarkEnd w:id="13"/>
      <w:r w:rsidRPr="002C6C0C">
        <w:t>Competency field</w:t>
      </w:r>
    </w:p>
    <w:tbl>
      <w:tblPr>
        <w:tblW w:w="0" w:type="auto"/>
        <w:tblLayout w:type="fixed"/>
        <w:tblCellMar>
          <w:left w:w="62" w:type="dxa"/>
          <w:right w:w="62" w:type="dxa"/>
        </w:tblCellMar>
        <w:tblLook w:val="0000"/>
      </w:tblPr>
      <w:tblGrid>
        <w:gridCol w:w="2778"/>
        <w:gridCol w:w="5744"/>
      </w:tblGrid>
      <w:tr w:rsidTr="005E20E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r w:rsidRPr="002C6C0C">
              <w:t>Aviation maintenance</w:t>
            </w:r>
          </w:p>
        </w:tc>
      </w:tr>
    </w:tbl>
    <w:p w:rsidR="00000000" w:rsidRPr="002C6C0C" w:rsidP="002C6C0C">
      <w:pPr>
        <w:pStyle w:val="BodyText"/>
      </w:pPr>
    </w:p>
    <w:p w:rsidR="00000000" w:rsidRPr="002C6C0C" w:rsidP="002C6C0C">
      <w:pPr>
        <w:pStyle w:val="AllowPageBreak"/>
      </w:pPr>
    </w:p>
    <w:p w:rsidR="00000000" w:rsidRPr="002C6C0C" w:rsidP="002C6C0C">
      <w:pPr>
        <w:pStyle w:val="Heading1"/>
      </w:pPr>
      <w:bookmarkStart w:id="14" w:name="O_158913"/>
      <w:bookmarkEnd w:id="14"/>
      <w:r w:rsidRPr="002C6C0C">
        <w:t>Co-requisite units</w:t>
      </w:r>
    </w:p>
    <w:tbl>
      <w:tblPr>
        <w:tblW w:w="0" w:type="auto"/>
        <w:tblLayout w:type="fixed"/>
        <w:tblCellMar>
          <w:left w:w="62" w:type="dxa"/>
          <w:right w:w="62" w:type="dxa"/>
        </w:tblCellMar>
        <w:tblLook w:val="0000"/>
      </w:tblPr>
      <w:tblGrid>
        <w:gridCol w:w="2641"/>
        <w:gridCol w:w="1322"/>
        <w:gridCol w:w="4559"/>
      </w:tblGrid>
      <w:tr w:rsidTr="005E20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r w:rsidRPr="002C6C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p>
        </w:tc>
      </w:tr>
      <w:tr w:rsidTr="005E20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C0C">
            <w:pPr>
              <w:pStyle w:val="BodyText"/>
              <w:rPr>
                <w:lang w:val="en-NZ"/>
              </w:rPr>
            </w:pPr>
          </w:p>
        </w:tc>
      </w:tr>
      <w:tr w:rsidTr="005E20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C0C" w:rsidP="002C6C0C">
            <w:pPr>
              <w:pStyle w:val="BodyText"/>
            </w:pPr>
          </w:p>
        </w:tc>
      </w:tr>
    </w:tbl>
    <w:p w:rsidR="00000000" w:rsidRPr="002C6C0C" w:rsidP="002C6C0C">
      <w:pPr>
        <w:pStyle w:val="BodyText"/>
      </w:pPr>
    </w:p>
    <w:p w:rsidR="00000000" w:rsidRPr="002C6C0C" w:rsidP="002C6C0C"/>
    <w:sectPr w:rsidSect="002C6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0E8" w:rsidP="005E20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E8" w:rsidP="002C6C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E20E8" w:rsidP="002C6C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20E8" w:rsidP="002C6C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0C" w:rsidRPr="005E20E8" w:rsidP="005E20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E8" w:rsidRPr="002D2AF8" w:rsidP="002C6C0C">
    <w:pPr>
      <w:pStyle w:val="Header"/>
      <w:framePr w:wrap="around"/>
    </w:pPr>
    <w:r>
      <w:fldChar w:fldCharType="begin"/>
    </w:r>
    <w:r>
      <w:instrText xml:space="preserve"> TITLE   \* MERGEFORMAT </w:instrText>
    </w:r>
    <w:r>
      <w:fldChar w:fldCharType="separate"/>
    </w:r>
    <w:r>
      <w:t>MEA322B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E20E8" w:rsidP="002C6C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3A5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B0C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78B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C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C0C"/>
    <w:pPr>
      <w:spacing w:before="360" w:after="60"/>
      <w:outlineLvl w:val="0"/>
    </w:pPr>
    <w:rPr>
      <w:sz w:val="32"/>
    </w:rPr>
  </w:style>
  <w:style w:type="paragraph" w:styleId="Heading2">
    <w:name w:val="heading 2"/>
    <w:basedOn w:val="HeadingBase"/>
    <w:next w:val="BodyText"/>
    <w:link w:val="Heading2Char"/>
    <w:qFormat/>
    <w:rsid w:val="002C6C0C"/>
    <w:pPr>
      <w:keepLines/>
      <w:spacing w:before="240" w:after="120"/>
      <w:outlineLvl w:val="1"/>
    </w:pPr>
    <w:rPr>
      <w:sz w:val="28"/>
      <w:szCs w:val="40"/>
    </w:rPr>
  </w:style>
  <w:style w:type="paragraph" w:styleId="Heading3">
    <w:name w:val="heading 3"/>
    <w:basedOn w:val="HeadingBase"/>
    <w:next w:val="BodyText"/>
    <w:link w:val="Heading3Char"/>
    <w:qFormat/>
    <w:rsid w:val="002C6C0C"/>
    <w:pPr>
      <w:spacing w:before="180" w:after="120"/>
      <w:outlineLvl w:val="2"/>
    </w:pPr>
    <w:rPr>
      <w:spacing w:val="-10"/>
      <w:kern w:val="32"/>
    </w:rPr>
  </w:style>
  <w:style w:type="paragraph" w:styleId="Heading4">
    <w:name w:val="heading 4"/>
    <w:basedOn w:val="HeadingBase"/>
    <w:next w:val="BodyText"/>
    <w:link w:val="Heading4Char"/>
    <w:qFormat/>
    <w:rsid w:val="002C6C0C"/>
    <w:pPr>
      <w:spacing w:before="160" w:after="120"/>
      <w:outlineLvl w:val="3"/>
    </w:pPr>
    <w:rPr>
      <w:sz w:val="22"/>
    </w:rPr>
  </w:style>
  <w:style w:type="paragraph" w:styleId="Heading5">
    <w:name w:val="heading 5"/>
    <w:basedOn w:val="HeadingBase"/>
    <w:next w:val="Normal"/>
    <w:link w:val="Heading5Char"/>
    <w:qFormat/>
    <w:rsid w:val="002C6C0C"/>
    <w:pPr>
      <w:spacing w:before="80"/>
      <w:outlineLvl w:val="4"/>
    </w:pPr>
    <w:rPr>
      <w:color w:val="918585"/>
      <w:sz w:val="20"/>
    </w:rPr>
  </w:style>
  <w:style w:type="paragraph" w:styleId="Heading6">
    <w:name w:val="heading 6"/>
    <w:basedOn w:val="HeadingBase"/>
    <w:next w:val="Normal"/>
    <w:link w:val="Heading6Char"/>
    <w:qFormat/>
    <w:rsid w:val="002C6C0C"/>
    <w:pPr>
      <w:spacing w:before="60"/>
      <w:outlineLvl w:val="5"/>
    </w:pPr>
    <w:rPr>
      <w:color w:val="918585"/>
      <w:sz w:val="20"/>
    </w:rPr>
  </w:style>
  <w:style w:type="paragraph" w:styleId="Heading7">
    <w:name w:val="heading 7"/>
    <w:basedOn w:val="Normal"/>
    <w:next w:val="Normal"/>
    <w:link w:val="Heading7Char"/>
    <w:qFormat/>
    <w:rsid w:val="002C6C0C"/>
    <w:pPr>
      <w:ind w:left="720"/>
      <w:outlineLvl w:val="6"/>
    </w:pPr>
    <w:rPr>
      <w:i/>
    </w:rPr>
  </w:style>
  <w:style w:type="paragraph" w:styleId="Heading8">
    <w:name w:val="heading 8"/>
    <w:basedOn w:val="Normal"/>
    <w:next w:val="Normal"/>
    <w:link w:val="Heading8Char"/>
    <w:qFormat/>
    <w:rsid w:val="002C6C0C"/>
    <w:pPr>
      <w:ind w:left="720"/>
      <w:outlineLvl w:val="7"/>
    </w:pPr>
    <w:rPr>
      <w:i/>
    </w:rPr>
  </w:style>
  <w:style w:type="paragraph" w:styleId="Heading9">
    <w:name w:val="heading 9"/>
    <w:basedOn w:val="Normal"/>
    <w:next w:val="Normal"/>
    <w:link w:val="Heading9Char"/>
    <w:qFormat/>
    <w:rsid w:val="002C6C0C"/>
    <w:pPr>
      <w:ind w:left="720"/>
      <w:outlineLvl w:val="8"/>
    </w:pPr>
    <w:rPr>
      <w:i/>
    </w:rPr>
  </w:style>
  <w:style w:type="character" w:default="1" w:styleId="DefaultParagraphFont">
    <w:name w:val="Default Paragraph Font"/>
    <w:uiPriority w:val="1"/>
    <w:unhideWhenUsed/>
    <w:rsid w:val="002C6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C0C"/>
  </w:style>
  <w:style w:type="character" w:customStyle="1" w:styleId="Heading1Char">
    <w:name w:val="Heading 1 Char"/>
    <w:basedOn w:val="DefaultParagraphFont"/>
    <w:link w:val="Heading1"/>
    <w:rsid w:val="002C6C0C"/>
    <w:rPr>
      <w:rFonts w:ascii="Times New Roman" w:eastAsia="Times New Roman" w:hAnsi="Times New Roman" w:cs="Times New Roman"/>
      <w:b/>
      <w:sz w:val="32"/>
      <w:szCs w:val="20"/>
      <w:lang w:eastAsia="en-US"/>
    </w:rPr>
  </w:style>
  <w:style w:type="paragraph" w:styleId="BodyText">
    <w:name w:val="Body Text"/>
    <w:basedOn w:val="Normal"/>
    <w:link w:val="BodyTextChar"/>
    <w:rsid w:val="002C6C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6C0C"/>
    <w:rPr>
      <w:rFonts w:ascii="Times New Roman" w:eastAsia="Times New Roman" w:hAnsi="Times New Roman" w:cs="Times New Roman"/>
      <w:sz w:val="24"/>
      <w:lang w:eastAsia="en-US"/>
    </w:rPr>
  </w:style>
  <w:style w:type="paragraph" w:styleId="Footer">
    <w:name w:val="footer"/>
    <w:basedOn w:val="Normal"/>
    <w:link w:val="FooterChar"/>
    <w:rsid w:val="002C6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C0C"/>
    <w:rPr>
      <w:rFonts w:ascii="Times New Roman" w:eastAsia="Times New Roman" w:hAnsi="Times New Roman" w:cs="Times New Roman"/>
      <w:sz w:val="16"/>
      <w:lang w:eastAsia="en-US"/>
    </w:rPr>
  </w:style>
  <w:style w:type="paragraph" w:styleId="List">
    <w:name w:val="List"/>
    <w:basedOn w:val="BodyText"/>
    <w:next w:val="BodyText"/>
    <w:rsid w:val="002C6C0C"/>
    <w:pPr>
      <w:tabs>
        <w:tab w:val="left" w:pos="340"/>
      </w:tabs>
      <w:spacing w:before="60" w:after="60"/>
      <w:ind w:left="340" w:hanging="340"/>
    </w:pPr>
  </w:style>
  <w:style w:type="paragraph" w:styleId="ListBullet">
    <w:name w:val="List Bullet"/>
    <w:basedOn w:val="List"/>
    <w:rsid w:val="002C6C0C"/>
    <w:pPr>
      <w:numPr>
        <w:numId w:val="13"/>
      </w:numPr>
      <w:tabs>
        <w:tab w:val="clear" w:pos="340"/>
      </w:tabs>
      <w:spacing w:before="40" w:after="40"/>
    </w:pPr>
  </w:style>
  <w:style w:type="character" w:customStyle="1" w:styleId="SpecialBold">
    <w:name w:val="Special Bold"/>
    <w:basedOn w:val="DefaultParagraphFont"/>
    <w:rsid w:val="002C6C0C"/>
    <w:rPr>
      <w:b/>
      <w:spacing w:val="0"/>
    </w:rPr>
  </w:style>
  <w:style w:type="paragraph" w:styleId="ListBullet2">
    <w:name w:val="List Bullet 2"/>
    <w:basedOn w:val="List2"/>
    <w:rsid w:val="002C6C0C"/>
    <w:pPr>
      <w:numPr>
        <w:numId w:val="14"/>
      </w:numPr>
      <w:tabs>
        <w:tab w:val="clear" w:pos="680"/>
      </w:tabs>
    </w:pPr>
  </w:style>
  <w:style w:type="character" w:styleId="Emphasis">
    <w:name w:val="Emphasis"/>
    <w:basedOn w:val="DefaultParagraphFont"/>
    <w:qFormat/>
    <w:rsid w:val="002C6C0C"/>
    <w:rPr>
      <w:i/>
    </w:rPr>
  </w:style>
  <w:style w:type="paragraph" w:customStyle="1" w:styleId="SuperHeading">
    <w:name w:val="SuperHeading"/>
    <w:basedOn w:val="Normal"/>
    <w:rsid w:val="002C6C0C"/>
    <w:pPr>
      <w:spacing w:before="240" w:after="120"/>
      <w:outlineLvl w:val="0"/>
    </w:pPr>
    <w:rPr>
      <w:rFonts w:ascii="Times New Roman" w:hAnsi="Times New Roman"/>
      <w:b/>
      <w:sz w:val="28"/>
    </w:rPr>
  </w:style>
  <w:style w:type="paragraph" w:customStyle="1" w:styleId="AllowPageBreak">
    <w:name w:val="AllowPageBreak"/>
    <w:rsid w:val="002C6C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6C0C"/>
    <w:pPr>
      <w:tabs>
        <w:tab w:val="left" w:pos="680"/>
      </w:tabs>
      <w:spacing w:before="60" w:after="60"/>
      <w:ind w:left="680" w:hanging="340"/>
    </w:pPr>
  </w:style>
  <w:style w:type="character" w:customStyle="1" w:styleId="BoldandItalics">
    <w:name w:val="Bold and Italics"/>
    <w:qFormat/>
    <w:rsid w:val="002C6C0C"/>
    <w:rPr>
      <w:b/>
      <w:i/>
      <w:u w:val="none"/>
    </w:rPr>
  </w:style>
  <w:style w:type="character" w:customStyle="1" w:styleId="Heading2Char">
    <w:name w:val="Heading 2 Char"/>
    <w:basedOn w:val="DefaultParagraphFont"/>
    <w:link w:val="Heading2"/>
    <w:rsid w:val="002C6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C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C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C0C"/>
    <w:rPr>
      <w:rFonts w:ascii="Courier New" w:eastAsia="Times New Roman" w:hAnsi="Courier New" w:cs="Times New Roman"/>
      <w:i/>
      <w:szCs w:val="20"/>
      <w:lang w:eastAsia="en-US"/>
    </w:rPr>
  </w:style>
  <w:style w:type="paragraph" w:customStyle="1" w:styleId="HeadingBase">
    <w:name w:val="Heading Base"/>
    <w:rsid w:val="002C6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C0C"/>
    <w:pPr>
      <w:tabs>
        <w:tab w:val="right" w:leader="dot" w:pos="9072"/>
      </w:tabs>
      <w:ind w:left="567"/>
    </w:pPr>
    <w:rPr>
      <w:szCs w:val="22"/>
    </w:rPr>
  </w:style>
  <w:style w:type="paragraph" w:customStyle="1" w:styleId="TOCBase">
    <w:name w:val="TOC Base"/>
    <w:rsid w:val="002C6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C0C"/>
    <w:pPr>
      <w:tabs>
        <w:tab w:val="right" w:leader="dot" w:pos="9072"/>
      </w:tabs>
      <w:spacing w:before="40" w:after="40"/>
      <w:ind w:left="284"/>
    </w:pPr>
    <w:rPr>
      <w:rFonts w:ascii="Times New Roman" w:hAnsi="Times New Roman"/>
    </w:rPr>
  </w:style>
  <w:style w:type="paragraph" w:styleId="TOC1">
    <w:name w:val="toc 1"/>
    <w:basedOn w:val="TOCBase"/>
    <w:next w:val="Normal"/>
    <w:rsid w:val="002C6C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6C0C"/>
    <w:pPr>
      <w:spacing w:before="5040"/>
      <w:jc w:val="center"/>
    </w:pPr>
    <w:rPr>
      <w:sz w:val="48"/>
      <w:szCs w:val="72"/>
      <w:lang w:val="en-US"/>
    </w:rPr>
  </w:style>
  <w:style w:type="character" w:customStyle="1" w:styleId="TitleChar">
    <w:name w:val="Title Char"/>
    <w:basedOn w:val="DefaultParagraphFont"/>
    <w:link w:val="Title"/>
    <w:rsid w:val="002C6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C0C"/>
    <w:pPr>
      <w:tabs>
        <w:tab w:val="left" w:pos="3600"/>
        <w:tab w:val="left" w:pos="3958"/>
      </w:tabs>
    </w:pPr>
  </w:style>
  <w:style w:type="paragraph" w:customStyle="1" w:styleId="Note">
    <w:name w:val="Note"/>
    <w:basedOn w:val="BodyText"/>
    <w:rsid w:val="002C6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C0C"/>
    <w:pPr>
      <w:framePr w:wrap="auto" w:hAnchor="text" w:y="6049"/>
    </w:pPr>
    <w:rPr>
      <w:color w:val="000000"/>
      <w:sz w:val="40"/>
    </w:rPr>
  </w:style>
  <w:style w:type="paragraph" w:customStyle="1" w:styleId="TOCTitle">
    <w:name w:val="TOCTitle"/>
    <w:basedOn w:val="Heading1"/>
    <w:rsid w:val="002C6C0C"/>
    <w:pPr>
      <w:spacing w:after="240"/>
      <w:jc w:val="center"/>
      <w:outlineLvl w:val="9"/>
    </w:pPr>
    <w:rPr>
      <w:caps/>
    </w:rPr>
  </w:style>
  <w:style w:type="paragraph" w:customStyle="1" w:styleId="Version">
    <w:name w:val="Version"/>
    <w:rsid w:val="002C6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C0C"/>
    <w:pPr>
      <w:keepNext w:val="0"/>
      <w:tabs>
        <w:tab w:val="right" w:pos="4176"/>
      </w:tabs>
      <w:ind w:left="198" w:hanging="198"/>
    </w:pPr>
    <w:rPr>
      <w:rFonts w:ascii="Garamond" w:hAnsi="Garamond"/>
    </w:rPr>
  </w:style>
  <w:style w:type="paragraph" w:styleId="IndexHeading">
    <w:name w:val="index heading"/>
    <w:basedOn w:val="Normal"/>
    <w:next w:val="Index1"/>
    <w:semiHidden/>
    <w:rsid w:val="002C6C0C"/>
    <w:pPr>
      <w:spacing w:before="120" w:after="120"/>
    </w:pPr>
    <w:rPr>
      <w:rFonts w:ascii="Arial" w:hAnsi="Arial"/>
      <w:b/>
      <w:color w:val="918585"/>
      <w:sz w:val="24"/>
    </w:rPr>
  </w:style>
  <w:style w:type="paragraph" w:styleId="Header">
    <w:name w:val="header"/>
    <w:basedOn w:val="Normal"/>
    <w:link w:val="HeaderChar"/>
    <w:rsid w:val="002C6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C0C"/>
    <w:rPr>
      <w:rFonts w:ascii="Times New Roman" w:eastAsia="Times New Roman" w:hAnsi="Times New Roman" w:cs="Times New Roman"/>
      <w:sz w:val="16"/>
      <w:szCs w:val="20"/>
      <w:lang w:val="en-GB" w:eastAsia="en-US"/>
    </w:rPr>
  </w:style>
  <w:style w:type="paragraph" w:customStyle="1" w:styleId="Chapter">
    <w:name w:val="Chapter"/>
    <w:basedOn w:val="Normal"/>
    <w:rsid w:val="002C6C0C"/>
    <w:pPr>
      <w:spacing w:before="240"/>
    </w:pPr>
    <w:rPr>
      <w:rFonts w:ascii="Times New Roman" w:hAnsi="Times New Roman"/>
      <w:smallCaps/>
      <w:spacing w:val="80"/>
      <w:sz w:val="28"/>
    </w:rPr>
  </w:style>
  <w:style w:type="paragraph" w:customStyle="1" w:styleId="InChapter">
    <w:name w:val="InChapter"/>
    <w:basedOn w:val="Heading3"/>
    <w:rsid w:val="002C6C0C"/>
    <w:pPr>
      <w:spacing w:after="240"/>
      <w:outlineLvl w:val="9"/>
    </w:pPr>
    <w:rPr>
      <w:noProof/>
    </w:rPr>
  </w:style>
  <w:style w:type="paragraph" w:styleId="Index2">
    <w:name w:val="index 2"/>
    <w:basedOn w:val="Normal"/>
    <w:next w:val="Normal"/>
    <w:semiHidden/>
    <w:rsid w:val="002C6C0C"/>
    <w:pPr>
      <w:tabs>
        <w:tab w:val="right" w:pos="4176"/>
      </w:tabs>
      <w:ind w:left="568" w:hanging="284"/>
    </w:pPr>
    <w:rPr>
      <w:rFonts w:ascii="Garamond" w:hAnsi="Garamond"/>
    </w:rPr>
  </w:style>
  <w:style w:type="paragraph" w:customStyle="1" w:styleId="Byline">
    <w:name w:val="Byline"/>
    <w:rsid w:val="002C6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C0C"/>
    <w:pPr>
      <w:tabs>
        <w:tab w:val="clear" w:pos="3600"/>
        <w:tab w:val="clear" w:pos="3958"/>
      </w:tabs>
      <w:jc w:val="right"/>
    </w:pPr>
  </w:style>
  <w:style w:type="paragraph" w:styleId="Caption">
    <w:name w:val="caption"/>
    <w:basedOn w:val="BodyText"/>
    <w:next w:val="Normal"/>
    <w:qFormat/>
    <w:rsid w:val="002C6C0C"/>
    <w:pPr>
      <w:framePr w:w="2268" w:hSpace="181" w:vSpace="181" w:wrap="around" w:vAnchor="text" w:hAnchor="page" w:x="1135" w:y="285" w:anchorLock="1"/>
    </w:pPr>
    <w:rPr>
      <w:i/>
    </w:rPr>
  </w:style>
  <w:style w:type="paragraph" w:customStyle="1" w:styleId="MiniTOCTitle">
    <w:name w:val="MiniTOCTitle"/>
    <w:basedOn w:val="Heading4"/>
    <w:rsid w:val="002C6C0C"/>
    <w:pPr>
      <w:spacing w:before="240"/>
      <w:outlineLvl w:val="9"/>
    </w:pPr>
    <w:rPr>
      <w:noProof/>
      <w:sz w:val="24"/>
    </w:rPr>
  </w:style>
  <w:style w:type="paragraph" w:customStyle="1" w:styleId="MiniTOCItem">
    <w:name w:val="MiniTOCItem"/>
    <w:basedOn w:val="ListBullet"/>
    <w:rsid w:val="002C6C0C"/>
    <w:pPr>
      <w:numPr>
        <w:numId w:val="0"/>
      </w:numPr>
      <w:tabs>
        <w:tab w:val="right" w:leader="dot" w:pos="6521"/>
      </w:tabs>
      <w:spacing w:before="0" w:after="0"/>
    </w:pPr>
  </w:style>
  <w:style w:type="paragraph" w:customStyle="1" w:styleId="TOFTitle">
    <w:name w:val="TOFTitle"/>
    <w:basedOn w:val="TOCTitle"/>
    <w:rsid w:val="002C6C0C"/>
  </w:style>
  <w:style w:type="paragraph" w:styleId="TableofFigures">
    <w:name w:val="table of figures"/>
    <w:basedOn w:val="Normal"/>
    <w:next w:val="Normal"/>
    <w:semiHidden/>
    <w:rsid w:val="002C6C0C"/>
    <w:pPr>
      <w:tabs>
        <w:tab w:val="right" w:leader="dot" w:pos="9072"/>
      </w:tabs>
      <w:ind w:left="970" w:hanging="403"/>
    </w:pPr>
    <w:rPr>
      <w:rFonts w:ascii="Times New Roman" w:hAnsi="Times New Roman"/>
      <w:b/>
    </w:rPr>
  </w:style>
  <w:style w:type="paragraph" w:styleId="ListNumber">
    <w:name w:val="List Number"/>
    <w:basedOn w:val="List"/>
    <w:rsid w:val="002C6C0C"/>
    <w:pPr>
      <w:numPr>
        <w:numId w:val="11"/>
      </w:numPr>
    </w:pPr>
  </w:style>
  <w:style w:type="character" w:customStyle="1" w:styleId="WingdingSymbols">
    <w:name w:val="Wingding Symbols"/>
    <w:rsid w:val="002C6C0C"/>
    <w:rPr>
      <w:rFonts w:ascii="Wingdings" w:hAnsi="Wingdings"/>
    </w:rPr>
  </w:style>
  <w:style w:type="paragraph" w:customStyle="1" w:styleId="TableHeading">
    <w:name w:val="Table Heading"/>
    <w:basedOn w:val="HeadingBase"/>
    <w:rsid w:val="002C6C0C"/>
    <w:pPr>
      <w:keepLines/>
      <w:pBdr>
        <w:bottom w:val="single" w:sz="6" w:space="1" w:color="918585"/>
      </w:pBdr>
      <w:spacing w:before="240"/>
    </w:pPr>
  </w:style>
  <w:style w:type="character" w:customStyle="1" w:styleId="HotSpot">
    <w:name w:val="HotSpot"/>
    <w:rsid w:val="002C6C0C"/>
    <w:rPr>
      <w:color w:val="0033CC"/>
      <w:u w:val="none"/>
    </w:rPr>
  </w:style>
  <w:style w:type="paragraph" w:customStyle="1" w:styleId="BodyTextRight">
    <w:name w:val="Body Text Right"/>
    <w:basedOn w:val="BodyText"/>
    <w:rsid w:val="002C6C0C"/>
    <w:pPr>
      <w:spacing w:before="0" w:after="0"/>
      <w:jc w:val="right"/>
    </w:pPr>
  </w:style>
  <w:style w:type="paragraph" w:styleId="Index3">
    <w:name w:val="index 3"/>
    <w:basedOn w:val="ListNumber2"/>
    <w:next w:val="Normal"/>
    <w:semiHidden/>
    <w:rsid w:val="002C6C0C"/>
    <w:pPr>
      <w:numPr>
        <w:numId w:val="0"/>
      </w:numPr>
      <w:tabs>
        <w:tab w:val="right" w:leader="dot" w:pos="4176"/>
      </w:tabs>
    </w:pPr>
  </w:style>
  <w:style w:type="paragraph" w:styleId="ListNumber2">
    <w:name w:val="List Number 2"/>
    <w:basedOn w:val="List2"/>
    <w:rsid w:val="002C6C0C"/>
    <w:pPr>
      <w:numPr>
        <w:numId w:val="10"/>
      </w:numPr>
      <w:tabs>
        <w:tab w:val="clear" w:pos="1060"/>
      </w:tabs>
    </w:pPr>
  </w:style>
  <w:style w:type="paragraph" w:customStyle="1" w:styleId="MarginNote">
    <w:name w:val="Margin Note"/>
    <w:basedOn w:val="BodyText"/>
    <w:rsid w:val="002C6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C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C0C"/>
    <w:rPr>
      <w:sz w:val="32"/>
    </w:rPr>
  </w:style>
  <w:style w:type="paragraph" w:customStyle="1" w:styleId="HeadingProcedure">
    <w:name w:val="Heading Procedure"/>
    <w:basedOn w:val="HeadingBase"/>
    <w:next w:val="Normal"/>
    <w:rsid w:val="002C6C0C"/>
    <w:pPr>
      <w:tabs>
        <w:tab w:val="left" w:pos="0"/>
      </w:tabs>
      <w:spacing w:before="120" w:after="60"/>
    </w:pPr>
    <w:rPr>
      <w:i/>
      <w:color w:val="918585"/>
      <w:sz w:val="22"/>
    </w:rPr>
  </w:style>
  <w:style w:type="paragraph" w:customStyle="1" w:styleId="TableBodyText">
    <w:name w:val="Table Body Text"/>
    <w:basedOn w:val="BodyText"/>
    <w:rsid w:val="002C6C0C"/>
    <w:pPr>
      <w:spacing w:before="60" w:after="60"/>
    </w:pPr>
  </w:style>
  <w:style w:type="paragraph" w:styleId="ListContinue">
    <w:name w:val="List Continue"/>
    <w:basedOn w:val="List"/>
    <w:rsid w:val="002C6C0C"/>
    <w:pPr>
      <w:ind w:firstLine="0"/>
    </w:pPr>
  </w:style>
  <w:style w:type="paragraph" w:customStyle="1" w:styleId="ListNote">
    <w:name w:val="List Note"/>
    <w:basedOn w:val="List"/>
    <w:rsid w:val="002C6C0C"/>
    <w:pPr>
      <w:pBdr>
        <w:top w:val="single" w:sz="6" w:space="2" w:color="918585"/>
        <w:bottom w:val="single" w:sz="6" w:space="2" w:color="918585"/>
      </w:pBdr>
      <w:tabs>
        <w:tab w:val="left" w:pos="1021"/>
      </w:tabs>
      <w:ind w:firstLine="0"/>
    </w:pPr>
  </w:style>
  <w:style w:type="paragraph" w:customStyle="1" w:styleId="Warning">
    <w:name w:val="Warning"/>
    <w:basedOn w:val="BodyText"/>
    <w:rsid w:val="002C6C0C"/>
    <w:pPr>
      <w:shd w:val="clear" w:color="auto" w:fill="D9D9D9"/>
      <w:tabs>
        <w:tab w:val="left" w:pos="992"/>
      </w:tabs>
      <w:ind w:left="119" w:right="119"/>
    </w:pPr>
    <w:rPr>
      <w:sz w:val="20"/>
    </w:rPr>
  </w:style>
  <w:style w:type="paragraph" w:customStyle="1" w:styleId="MarginIcons">
    <w:name w:val="Margin Icons"/>
    <w:basedOn w:val="BodyText"/>
    <w:rsid w:val="002C6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C0C"/>
    <w:rPr>
      <w:rFonts w:ascii="Courier New" w:hAnsi="Courier New"/>
    </w:rPr>
  </w:style>
  <w:style w:type="paragraph" w:customStyle="1" w:styleId="NoteBullet">
    <w:name w:val="Note Bullet"/>
    <w:basedOn w:val="Note"/>
    <w:rsid w:val="002C6C0C"/>
    <w:pPr>
      <w:tabs>
        <w:tab w:val="clear" w:pos="680"/>
      </w:tabs>
      <w:spacing w:before="60" w:after="60"/>
    </w:pPr>
  </w:style>
  <w:style w:type="paragraph" w:customStyle="1" w:styleId="SubHeading2">
    <w:name w:val="SubHeading2"/>
    <w:basedOn w:val="HeadingBase"/>
    <w:rsid w:val="002C6C0C"/>
    <w:pPr>
      <w:spacing w:before="240" w:after="60"/>
    </w:pPr>
    <w:rPr>
      <w:sz w:val="20"/>
    </w:rPr>
  </w:style>
  <w:style w:type="paragraph" w:customStyle="1" w:styleId="SubHeading1">
    <w:name w:val="SubHeading1"/>
    <w:basedOn w:val="HeadingBase"/>
    <w:rsid w:val="002C6C0C"/>
    <w:pPr>
      <w:spacing w:before="240" w:after="60"/>
    </w:pPr>
    <w:rPr>
      <w:color w:val="918585"/>
      <w:sz w:val="22"/>
    </w:rPr>
  </w:style>
  <w:style w:type="paragraph" w:customStyle="1" w:styleId="SideHeading">
    <w:name w:val="Side Heading"/>
    <w:basedOn w:val="HeadingBase"/>
    <w:rsid w:val="002C6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C0C"/>
    <w:pPr>
      <w:numPr>
        <w:numId w:val="12"/>
      </w:numPr>
    </w:pPr>
  </w:style>
  <w:style w:type="paragraph" w:styleId="PlainText">
    <w:name w:val="Plain Text"/>
    <w:basedOn w:val="Normal"/>
    <w:link w:val="PlainTextChar"/>
    <w:rsid w:val="002C6C0C"/>
    <w:rPr>
      <w:sz w:val="20"/>
    </w:rPr>
  </w:style>
  <w:style w:type="character" w:customStyle="1" w:styleId="PlainTextChar">
    <w:name w:val="Plain Text Char"/>
    <w:basedOn w:val="DefaultParagraphFont"/>
    <w:link w:val="PlainText"/>
    <w:rsid w:val="002C6C0C"/>
    <w:rPr>
      <w:rFonts w:ascii="Courier New" w:eastAsia="Times New Roman" w:hAnsi="Courier New" w:cs="Times New Roman"/>
      <w:sz w:val="20"/>
      <w:szCs w:val="20"/>
      <w:lang w:eastAsia="en-US"/>
    </w:rPr>
  </w:style>
  <w:style w:type="character" w:customStyle="1" w:styleId="MenuOption">
    <w:name w:val="Menu Option"/>
    <w:basedOn w:val="DefaultParagraphFont"/>
    <w:rsid w:val="002C6C0C"/>
    <w:rPr>
      <w:b/>
      <w:smallCaps/>
    </w:rPr>
  </w:style>
  <w:style w:type="paragraph" w:customStyle="1" w:styleId="TableListNumber">
    <w:name w:val="Table List Number"/>
    <w:basedOn w:val="ListNumber"/>
    <w:rsid w:val="002C6C0C"/>
    <w:pPr>
      <w:numPr>
        <w:numId w:val="0"/>
      </w:numPr>
    </w:pPr>
  </w:style>
  <w:style w:type="paragraph" w:styleId="TOC4">
    <w:name w:val="toc 4"/>
    <w:basedOn w:val="TOCBase"/>
    <w:next w:val="Normal"/>
    <w:semiHidden/>
    <w:rsid w:val="002C6C0C"/>
    <w:pPr>
      <w:tabs>
        <w:tab w:val="right" w:leader="dot" w:pos="9071"/>
      </w:tabs>
      <w:ind w:left="1701"/>
    </w:pPr>
  </w:style>
  <w:style w:type="paragraph" w:customStyle="1" w:styleId="ListAlpha">
    <w:name w:val="List Alpha"/>
    <w:basedOn w:val="List"/>
    <w:rsid w:val="002C6C0C"/>
    <w:pPr>
      <w:numPr>
        <w:numId w:val="9"/>
      </w:numPr>
    </w:pPr>
  </w:style>
  <w:style w:type="paragraph" w:customStyle="1" w:styleId="ListAlpha2">
    <w:name w:val="List Alpha 2"/>
    <w:basedOn w:val="List2"/>
    <w:rsid w:val="002C6C0C"/>
    <w:pPr>
      <w:numPr>
        <w:numId w:val="8"/>
      </w:numPr>
    </w:pPr>
  </w:style>
  <w:style w:type="paragraph" w:styleId="List3">
    <w:name w:val="List 3"/>
    <w:basedOn w:val="BodyText"/>
    <w:rsid w:val="002C6C0C"/>
    <w:pPr>
      <w:tabs>
        <w:tab w:val="left" w:pos="1021"/>
      </w:tabs>
      <w:spacing w:before="60" w:after="60"/>
      <w:ind w:left="1020" w:hanging="340"/>
    </w:pPr>
  </w:style>
  <w:style w:type="paragraph" w:styleId="List4">
    <w:name w:val="List 4"/>
    <w:basedOn w:val="BodyText"/>
    <w:rsid w:val="002C6C0C"/>
    <w:pPr>
      <w:tabs>
        <w:tab w:val="left" w:pos="1361"/>
      </w:tabs>
      <w:spacing w:before="60" w:after="60"/>
      <w:ind w:left="1361" w:hanging="340"/>
    </w:pPr>
  </w:style>
  <w:style w:type="paragraph" w:styleId="List5">
    <w:name w:val="List 5"/>
    <w:basedOn w:val="BodyText"/>
    <w:rsid w:val="002C6C0C"/>
    <w:pPr>
      <w:tabs>
        <w:tab w:val="left" w:pos="1701"/>
      </w:tabs>
      <w:spacing w:before="60" w:after="60"/>
      <w:ind w:left="1701" w:hanging="340"/>
    </w:pPr>
  </w:style>
  <w:style w:type="paragraph" w:styleId="ListBullet3">
    <w:name w:val="List Bullet 3"/>
    <w:basedOn w:val="List3"/>
    <w:rsid w:val="002C6C0C"/>
    <w:pPr>
      <w:numPr>
        <w:numId w:val="15"/>
      </w:numPr>
      <w:tabs>
        <w:tab w:val="clear" w:pos="1021"/>
      </w:tabs>
      <w:ind w:left="1037" w:hanging="357"/>
    </w:pPr>
  </w:style>
  <w:style w:type="paragraph" w:styleId="ListBullet4">
    <w:name w:val="List Bullet 4"/>
    <w:basedOn w:val="List4"/>
    <w:rsid w:val="002C6C0C"/>
    <w:pPr>
      <w:numPr>
        <w:numId w:val="3"/>
      </w:numPr>
    </w:pPr>
  </w:style>
  <w:style w:type="paragraph" w:styleId="ListBullet5">
    <w:name w:val="List Bullet 5"/>
    <w:basedOn w:val="List5"/>
    <w:rsid w:val="002C6C0C"/>
    <w:pPr>
      <w:numPr>
        <w:numId w:val="4"/>
      </w:numPr>
    </w:pPr>
  </w:style>
  <w:style w:type="paragraph" w:styleId="ListContinue2">
    <w:name w:val="List Continue 2"/>
    <w:basedOn w:val="List2"/>
    <w:rsid w:val="002C6C0C"/>
    <w:pPr>
      <w:ind w:firstLine="0"/>
    </w:pPr>
  </w:style>
  <w:style w:type="paragraph" w:styleId="ListContinue3">
    <w:name w:val="List Continue 3"/>
    <w:basedOn w:val="List3"/>
    <w:rsid w:val="002C6C0C"/>
    <w:pPr>
      <w:ind w:left="1021" w:firstLine="0"/>
    </w:pPr>
  </w:style>
  <w:style w:type="paragraph" w:styleId="ListContinue4">
    <w:name w:val="List Continue 4"/>
    <w:basedOn w:val="List4"/>
    <w:rsid w:val="002C6C0C"/>
    <w:pPr>
      <w:ind w:firstLine="0"/>
    </w:pPr>
  </w:style>
  <w:style w:type="paragraph" w:styleId="ListContinue5">
    <w:name w:val="List Continue 5"/>
    <w:basedOn w:val="List5"/>
    <w:rsid w:val="002C6C0C"/>
    <w:pPr>
      <w:ind w:firstLine="0"/>
    </w:pPr>
  </w:style>
  <w:style w:type="paragraph" w:styleId="ListNumber3">
    <w:name w:val="List Number 3"/>
    <w:basedOn w:val="List3"/>
    <w:rsid w:val="002C6C0C"/>
    <w:pPr>
      <w:numPr>
        <w:numId w:val="5"/>
      </w:numPr>
    </w:pPr>
  </w:style>
  <w:style w:type="paragraph" w:styleId="ListNumber4">
    <w:name w:val="List Number 4"/>
    <w:basedOn w:val="List4"/>
    <w:rsid w:val="002C6C0C"/>
    <w:pPr>
      <w:numPr>
        <w:numId w:val="6"/>
      </w:numPr>
    </w:pPr>
  </w:style>
  <w:style w:type="paragraph" w:styleId="ListNumber5">
    <w:name w:val="List Number 5"/>
    <w:basedOn w:val="List5"/>
    <w:rsid w:val="002C6C0C"/>
    <w:pPr>
      <w:numPr>
        <w:numId w:val="7"/>
      </w:numPr>
    </w:pPr>
  </w:style>
  <w:style w:type="paragraph" w:styleId="BlockText">
    <w:name w:val="Block Text"/>
    <w:basedOn w:val="Normal"/>
    <w:rsid w:val="002C6C0C"/>
    <w:pPr>
      <w:spacing w:after="120"/>
      <w:ind w:left="1440" w:right="1440"/>
    </w:pPr>
  </w:style>
  <w:style w:type="character" w:customStyle="1" w:styleId="Subscript">
    <w:name w:val="Subscript"/>
    <w:basedOn w:val="DefaultParagraphFont"/>
    <w:rsid w:val="002C6C0C"/>
    <w:rPr>
      <w:sz w:val="16"/>
      <w:vertAlign w:val="subscript"/>
    </w:rPr>
  </w:style>
  <w:style w:type="character" w:customStyle="1" w:styleId="Superscript">
    <w:name w:val="Superscript"/>
    <w:basedOn w:val="DefaultParagraphFont"/>
    <w:rsid w:val="002C6C0C"/>
    <w:rPr>
      <w:sz w:val="16"/>
      <w:vertAlign w:val="superscript"/>
    </w:rPr>
  </w:style>
  <w:style w:type="character" w:customStyle="1" w:styleId="Symbols">
    <w:name w:val="Symbols"/>
    <w:basedOn w:val="DefaultParagraphFont"/>
    <w:rsid w:val="002C6C0C"/>
    <w:rPr>
      <w:rFonts w:ascii="Symbol" w:hAnsi="Symbol"/>
    </w:rPr>
  </w:style>
  <w:style w:type="character" w:customStyle="1" w:styleId="MenuOptions">
    <w:name w:val="Menu Options"/>
    <w:basedOn w:val="DefaultParagraphFont"/>
    <w:rsid w:val="002C6C0C"/>
    <w:rPr>
      <w:rFonts w:ascii="Arial Narrow" w:hAnsi="Arial Narrow"/>
      <w:smallCaps/>
    </w:rPr>
  </w:style>
  <w:style w:type="character" w:customStyle="1" w:styleId="Buttons">
    <w:name w:val="Buttons"/>
    <w:basedOn w:val="DefaultParagraphFont"/>
    <w:rsid w:val="002C6C0C"/>
    <w:rPr>
      <w:b/>
    </w:rPr>
  </w:style>
  <w:style w:type="character" w:customStyle="1" w:styleId="Underlined">
    <w:name w:val="Underlined"/>
    <w:basedOn w:val="DefaultParagraphFont"/>
    <w:rsid w:val="002C6C0C"/>
    <w:rPr>
      <w:u w:val="single"/>
    </w:rPr>
  </w:style>
  <w:style w:type="paragraph" w:customStyle="1" w:styleId="TableBodyTextRight">
    <w:name w:val="Table Body Text Right"/>
    <w:basedOn w:val="TableBodyText"/>
    <w:rsid w:val="002C6C0C"/>
    <w:pPr>
      <w:widowControl w:val="0"/>
      <w:autoSpaceDE w:val="0"/>
      <w:autoSpaceDN w:val="0"/>
      <w:adjustRightInd w:val="0"/>
      <w:jc w:val="right"/>
    </w:pPr>
    <w:rPr>
      <w:rFonts w:cs="Arial"/>
      <w:szCs w:val="18"/>
    </w:rPr>
  </w:style>
  <w:style w:type="paragraph" w:customStyle="1" w:styleId="CopyrightText">
    <w:name w:val="Copyright Text"/>
    <w:basedOn w:val="BodyText"/>
    <w:rsid w:val="002C6C0C"/>
    <w:rPr>
      <w:sz w:val="18"/>
    </w:rPr>
  </w:style>
  <w:style w:type="paragraph" w:customStyle="1" w:styleId="BodySmallRight">
    <w:name w:val="Body Small Right"/>
    <w:basedOn w:val="BodyTextRight"/>
    <w:rsid w:val="002C6C0C"/>
    <w:rPr>
      <w:sz w:val="18"/>
      <w:szCs w:val="18"/>
    </w:rPr>
  </w:style>
  <w:style w:type="paragraph" w:customStyle="1" w:styleId="MarginEdition">
    <w:name w:val="Margin Edition"/>
    <w:basedOn w:val="MarginNote"/>
    <w:rsid w:val="002C6C0C"/>
    <w:pPr>
      <w:spacing w:before="0" w:after="0"/>
    </w:pPr>
    <w:rPr>
      <w:rFonts w:ascii="Times New Roman" w:hAnsi="Times New Roman"/>
      <w:color w:val="999999"/>
    </w:rPr>
  </w:style>
  <w:style w:type="paragraph" w:customStyle="1" w:styleId="Spacer">
    <w:name w:val="Spacer"/>
    <w:basedOn w:val="Normal"/>
    <w:rsid w:val="002C6C0C"/>
    <w:rPr>
      <w:sz w:val="2"/>
      <w:szCs w:val="2"/>
    </w:rPr>
  </w:style>
  <w:style w:type="character" w:customStyle="1" w:styleId="Small">
    <w:name w:val="Small"/>
    <w:basedOn w:val="DefaultParagraphFont"/>
    <w:rsid w:val="002C6C0C"/>
    <w:rPr>
      <w:sz w:val="16"/>
    </w:rPr>
  </w:style>
  <w:style w:type="paragraph" w:customStyle="1" w:styleId="WideTable">
    <w:name w:val="Wide Table"/>
    <w:basedOn w:val="Normal"/>
    <w:rsid w:val="002C6C0C"/>
    <w:pPr>
      <w:ind w:left="-1418"/>
    </w:pPr>
    <w:rPr>
      <w:sz w:val="2"/>
      <w:szCs w:val="2"/>
    </w:rPr>
  </w:style>
  <w:style w:type="character" w:styleId="PageNumber">
    <w:name w:val="page number"/>
    <w:basedOn w:val="DefaultParagraphFont"/>
    <w:rsid w:val="002C6C0C"/>
  </w:style>
  <w:style w:type="paragraph" w:styleId="Quote">
    <w:name w:val="Quote"/>
    <w:basedOn w:val="Heading1"/>
    <w:link w:val="QuoteChar"/>
    <w:qFormat/>
    <w:rsid w:val="002C6C0C"/>
    <w:rPr>
      <w:b w:val="0"/>
      <w:sz w:val="72"/>
      <w:szCs w:val="72"/>
      <w:lang w:val="en-NZ"/>
    </w:rPr>
  </w:style>
  <w:style w:type="character" w:customStyle="1" w:styleId="QuoteChar">
    <w:name w:val="Quote Char"/>
    <w:basedOn w:val="DefaultParagraphFont"/>
    <w:link w:val="Quote"/>
    <w:rsid w:val="002C6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C0C"/>
    <w:pPr>
      <w:pageBreakBefore/>
    </w:pPr>
  </w:style>
  <w:style w:type="paragraph" w:customStyle="1" w:styleId="Border">
    <w:name w:val="Border"/>
    <w:basedOn w:val="Normal"/>
    <w:qFormat/>
    <w:rsid w:val="002C6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C0C"/>
    <w:rPr>
      <w:b/>
      <w:bCs/>
      <w:i/>
      <w:iCs/>
      <w:color w:val="auto"/>
    </w:rPr>
  </w:style>
  <w:style w:type="paragraph" w:styleId="IntenseQuote">
    <w:name w:val="Intense Quote"/>
    <w:basedOn w:val="Normal"/>
    <w:next w:val="Normal"/>
    <w:link w:val="IntenseQuoteChar"/>
    <w:uiPriority w:val="30"/>
    <w:qFormat/>
    <w:rsid w:val="002C6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C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C0C"/>
    <w:rPr>
      <w:smallCaps/>
      <w:color w:val="auto"/>
      <w:u w:val="single"/>
    </w:rPr>
  </w:style>
  <w:style w:type="character" w:styleId="IntenseReference">
    <w:name w:val="Intense Reference"/>
    <w:basedOn w:val="DefaultParagraphFont"/>
    <w:uiPriority w:val="32"/>
    <w:qFormat/>
    <w:rsid w:val="002C6C0C"/>
    <w:rPr>
      <w:b/>
      <w:bCs/>
      <w:smallCaps/>
      <w:color w:val="auto"/>
      <w:spacing w:val="5"/>
      <w:u w:val="single"/>
    </w:rPr>
  </w:style>
  <w:style w:type="paragraph" w:customStyle="1" w:styleId="2ColumnHeading">
    <w:name w:val="2Column Heading"/>
    <w:basedOn w:val="BodyText"/>
    <w:qFormat/>
    <w:rsid w:val="002C6C0C"/>
    <w:pPr>
      <w:spacing w:after="60"/>
      <w:ind w:left="-2268"/>
    </w:pPr>
    <w:rPr>
      <w:b/>
    </w:rPr>
  </w:style>
  <w:style w:type="paragraph" w:customStyle="1" w:styleId="Heading1TOC">
    <w:name w:val="Heading1 TOC"/>
    <w:basedOn w:val="Normal"/>
    <w:qFormat/>
    <w:rsid w:val="002C6C0C"/>
    <w:pPr>
      <w:spacing w:before="240" w:after="120"/>
    </w:pPr>
    <w:rPr>
      <w:rFonts w:ascii="Times New Roman" w:hAnsi="Times New Roman"/>
      <w:b/>
      <w:sz w:val="32"/>
    </w:rPr>
  </w:style>
  <w:style w:type="paragraph" w:customStyle="1" w:styleId="Heading2TOC">
    <w:name w:val="Heading2 TOC"/>
    <w:basedOn w:val="Normal"/>
    <w:qFormat/>
    <w:rsid w:val="002C6C0C"/>
    <w:pPr>
      <w:spacing w:before="240" w:after="60"/>
    </w:pPr>
    <w:rPr>
      <w:rFonts w:ascii="Times New Roman" w:hAnsi="Times New Roman"/>
      <w:b/>
      <w:sz w:val="28"/>
    </w:rPr>
  </w:style>
  <w:style w:type="character" w:customStyle="1" w:styleId="Underline">
    <w:name w:val="Underline"/>
    <w:basedOn w:val="DefaultParagraphFont"/>
    <w:qFormat/>
    <w:rsid w:val="002C6C0C"/>
    <w:rPr>
      <w:u w:val="single"/>
    </w:rPr>
  </w:style>
  <w:style w:type="paragraph" w:styleId="BalloonText">
    <w:name w:val="Balloon Text"/>
    <w:basedOn w:val="Normal"/>
    <w:link w:val="BalloonTextChar"/>
    <w:rsid w:val="002C6C0C"/>
    <w:rPr>
      <w:rFonts w:ascii="Tahoma" w:hAnsi="Tahoma" w:cs="Tahoma"/>
      <w:sz w:val="16"/>
      <w:szCs w:val="16"/>
    </w:rPr>
  </w:style>
  <w:style w:type="character" w:customStyle="1" w:styleId="BalloonTextChar">
    <w:name w:val="Balloon Text Char"/>
    <w:basedOn w:val="DefaultParagraphFont"/>
    <w:link w:val="BalloonText"/>
    <w:rsid w:val="002C6C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C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6C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C0C"/>
    <w:rPr>
      <w:b/>
      <w:color w:val="660033"/>
      <w:spacing w:val="0"/>
    </w:rPr>
  </w:style>
  <w:style w:type="paragraph" w:customStyle="1" w:styleId="Nameditemlist">
    <w:name w:val="Named item list"/>
    <w:basedOn w:val="BodyText"/>
    <w:qFormat/>
    <w:rsid w:val="002C6C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1215</Words>
  <Characters>7409</Characters>
  <Application>Microsoft Office Word</Application>
  <DocSecurity>0</DocSecurity>
  <Lines>251</Lines>
  <Paragraphs>97</Paragraphs>
  <ScaleCrop>false</ScaleCrop>
  <Company>Author-it Software Corporation Ltd.</Company>
  <LinksUpToDate>false</LinksUpToDate>
  <CharactersWithSpaces>8547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MEA322B Test and troubleshoot gas turbine engine systems and components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2012-10-05T08:52:00Z</dcterms:created>
  <dcterms:modified xsi:type="dcterms:W3CDTF">2012-10-05T08:52:00Z</dcterms:modified>
</cp:coreProperties>
</file>