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4C7" w:rsidP="00B264C7">
      <w:pPr>
        <w:pStyle w:val="Title"/>
      </w:pPr>
      <w:r>
        <w:fldChar w:fldCharType="begin"/>
      </w:r>
      <w:r>
        <w:instrText xml:space="preserve"> TITLE   \* MERGEFORMAT </w:instrText>
      </w:r>
      <w:r>
        <w:fldChar w:fldCharType="separate"/>
      </w:r>
      <w:r>
        <w:t>MEA319B Inspect gas turbine engine systems and components</w:t>
      </w:r>
      <w:r>
        <w:fldChar w:fldCharType="end"/>
      </w:r>
    </w:p>
    <w:p w:rsidR="00B264C7" w:rsidP="00B264C7">
      <w:pPr>
        <w:pStyle w:val="Version"/>
        <w:sectPr w:rsidSect="00643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32DE" w:rsidP="006432DE">
      <w:pPr>
        <w:pStyle w:val="SuperHeading"/>
      </w:pPr>
      <w:r w:rsidRPr="006432DE">
        <w:t>MEA319B Inspect gas turbine engine systems and components</w:t>
      </w:r>
    </w:p>
    <w:p w:rsidR="00000000" w:rsidRPr="006432DE" w:rsidP="006432DE">
      <w:pPr>
        <w:pStyle w:val="SuperHeading"/>
      </w:pPr>
    </w:p>
    <w:p w:rsidR="00000000" w:rsidRPr="006432DE" w:rsidP="006432DE">
      <w:pPr>
        <w:pStyle w:val="Heading1"/>
      </w:pPr>
      <w:bookmarkStart w:id="1" w:name="O_98871"/>
      <w:bookmarkEnd w:id="1"/>
      <w:r w:rsidRPr="006432DE">
        <w:t>Modification History</w:t>
      </w:r>
    </w:p>
    <w:p w:rsidR="00000000" w:rsidRPr="006432DE" w:rsidP="006432DE">
      <w:pPr>
        <w:pStyle w:val="BodyText"/>
      </w:pPr>
      <w:r w:rsidRPr="006432DE">
        <w:t>Not applicable.</w:t>
      </w:r>
    </w:p>
    <w:p w:rsidR="00000000" w:rsidRPr="006432DE" w:rsidP="006432DE">
      <w:pPr>
        <w:pStyle w:val="AllowPageBreak"/>
      </w:pPr>
    </w:p>
    <w:p w:rsidR="00000000" w:rsidRPr="006432DE" w:rsidP="006432DE">
      <w:pPr>
        <w:pStyle w:val="Heading1"/>
      </w:pPr>
      <w:bookmarkStart w:id="2" w:name="O_98872"/>
      <w:bookmarkEnd w:id="2"/>
      <w:r w:rsidRPr="006432DE">
        <w:t>Unit Descriptor</w:t>
      </w:r>
    </w:p>
    <w:tbl>
      <w:tblPr>
        <w:tblW w:w="0" w:type="auto"/>
        <w:tblLayout w:type="fixed"/>
        <w:tblCellMar>
          <w:left w:w="62" w:type="dxa"/>
          <w:right w:w="62" w:type="dxa"/>
        </w:tblCellMar>
        <w:tblLook w:val="0000"/>
      </w:tblPr>
      <w:tblGrid>
        <w:gridCol w:w="2667"/>
        <w:gridCol w:w="5855"/>
      </w:tblGrid>
      <w:tr w:rsidTr="00B264C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This unit is part of the Mechanical AME Certificate IV training pathways. It cove</w:t>
            </w:r>
            <w:r w:rsidRPr="006432DE">
              <w:t>rs the competencies required to inspect the systems and components of gas turbine engines. Where a CASA licensing outcome is sought this unit forms part of the CASA requirement for the granting of the chosen B1 Aircraft Maintenance Engineer Licence under C</w:t>
            </w:r>
            <w:r w:rsidRPr="006432DE">
              <w:t>ASR Part 66, in accordance with the licensing provisions in Section 3, Assessment Guidelines.</w:t>
            </w: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3" w:name="O_98873"/>
      <w:bookmarkEnd w:id="3"/>
      <w:r w:rsidRPr="006432DE">
        <w:t>Application of the Unit</w:t>
      </w:r>
    </w:p>
    <w:tbl>
      <w:tblPr>
        <w:tblW w:w="0" w:type="auto"/>
        <w:tblLayout w:type="fixed"/>
        <w:tblCellMar>
          <w:left w:w="62" w:type="dxa"/>
          <w:right w:w="62" w:type="dxa"/>
        </w:tblCellMar>
        <w:tblLook w:val="0000"/>
      </w:tblPr>
      <w:tblGrid>
        <w:gridCol w:w="2748"/>
        <w:gridCol w:w="5774"/>
      </w:tblGrid>
      <w:tr w:rsidTr="00B264C7">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This unit requires application of hand skills, the use of maintenance publications and knowledge of gas turbine engine and system theory to inspect gas turbine engines and engine system components.</w:t>
            </w:r>
          </w:p>
          <w:p w:rsidR="00000000" w:rsidRPr="006432DE" w:rsidP="006432DE">
            <w:pPr>
              <w:pStyle w:val="BodyText"/>
            </w:pPr>
            <w:r w:rsidRPr="006432DE">
              <w:t>Applications include fixed and rotary wing aircraft.</w:t>
            </w: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4" w:name="O_98874"/>
      <w:bookmarkEnd w:id="4"/>
      <w:r w:rsidRPr="006432DE">
        <w:t>Licensing/Regulatory Information</w:t>
      </w:r>
    </w:p>
    <w:p w:rsidR="00000000" w:rsidRPr="006432DE" w:rsidP="006432DE">
      <w:pPr>
        <w:pStyle w:val="BodyText"/>
      </w:pPr>
      <w:r w:rsidRPr="006432DE">
        <w:t>Not applicable.</w:t>
      </w:r>
    </w:p>
    <w:p w:rsidR="00000000" w:rsidRPr="006432DE" w:rsidP="006432DE">
      <w:pPr>
        <w:pStyle w:val="AllowPageBreak"/>
      </w:pPr>
    </w:p>
    <w:p w:rsidR="00000000" w:rsidRPr="006432DE" w:rsidP="006432DE">
      <w:pPr>
        <w:pStyle w:val="Heading1"/>
      </w:pPr>
      <w:bookmarkStart w:id="5" w:name="O_98876"/>
      <w:bookmarkEnd w:id="5"/>
      <w:r w:rsidRPr="006432DE">
        <w:t>Pre-Requisites</w:t>
      </w:r>
    </w:p>
    <w:tbl>
      <w:tblPr>
        <w:tblW w:w="0" w:type="auto"/>
        <w:tblLayout w:type="fixed"/>
        <w:tblCellMar>
          <w:left w:w="62" w:type="dxa"/>
          <w:right w:w="62" w:type="dxa"/>
        </w:tblCellMar>
        <w:tblLook w:val="0000"/>
      </w:tblPr>
      <w:tblGrid>
        <w:gridCol w:w="2727"/>
        <w:gridCol w:w="1926"/>
        <w:gridCol w:w="3869"/>
      </w:tblGrid>
      <w:tr w:rsidTr="00B264C7">
        <w:tblPrEx>
          <w:tblW w:w="0" w:type="auto"/>
          <w:tblLayout w:type="fixed"/>
          <w:tblCellMar>
            <w:left w:w="62" w:type="dxa"/>
            <w:right w:w="62" w:type="dxa"/>
          </w:tblCellMar>
          <w:tblLook w:val="0000"/>
        </w:tblPrEx>
        <w:trPr>
          <w:tblHeader/>
        </w:trPr>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Prerequisite units</w:t>
            </w:r>
          </w:p>
        </w:tc>
        <w:tc>
          <w:tcPr>
            <w:tcW w:w="57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p>
        </w:tc>
      </w:tr>
      <w:tr w:rsidTr="00B264C7">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MEA306C</w:t>
            </w:r>
          </w:p>
        </w:tc>
        <w:tc>
          <w:tcPr>
            <w:tcW w:w="3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Remove and install engine system and components</w:t>
            </w:r>
          </w:p>
        </w:tc>
      </w:tr>
      <w:tr w:rsidTr="00B264C7">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6" w:name="O_98875"/>
      <w:bookmarkEnd w:id="6"/>
      <w:r w:rsidRPr="006432DE">
        <w:t>Employability Skills Information</w:t>
      </w:r>
    </w:p>
    <w:tbl>
      <w:tblPr>
        <w:tblW w:w="0" w:type="auto"/>
        <w:tblLayout w:type="fixed"/>
        <w:tblCellMar>
          <w:left w:w="62" w:type="dxa"/>
          <w:right w:w="62" w:type="dxa"/>
        </w:tblCellMar>
        <w:tblLook w:val="0000"/>
      </w:tblPr>
      <w:tblGrid>
        <w:gridCol w:w="2802"/>
        <w:gridCol w:w="5720"/>
      </w:tblGrid>
      <w:tr w:rsidTr="00B264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This unit contains employability skills.</w:t>
            </w: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7" w:name="O_98877"/>
      <w:bookmarkEnd w:id="7"/>
      <w:r w:rsidRPr="006432DE">
        <w:t>Elements and Performance Criteria Pre-Content</w:t>
      </w:r>
    </w:p>
    <w:tbl>
      <w:tblPr>
        <w:tblW w:w="0" w:type="auto"/>
        <w:tblLayout w:type="fixed"/>
        <w:tblCellMar>
          <w:left w:w="62" w:type="dxa"/>
          <w:right w:w="62" w:type="dxa"/>
        </w:tblCellMar>
        <w:tblLook w:val="0000"/>
      </w:tblPr>
      <w:tblGrid>
        <w:gridCol w:w="2567"/>
        <w:gridCol w:w="5955"/>
      </w:tblGrid>
      <w:tr w:rsidTr="00B264C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Performance criteria describe the performance needed to demonstrate achievement of the</w:t>
            </w:r>
            <w:r w:rsidRPr="006432D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8" w:name="O_98878"/>
      <w:bookmarkEnd w:id="8"/>
      <w:r w:rsidRPr="006432DE">
        <w:t>Elements and Perform</w:t>
      </w:r>
      <w:r w:rsidRPr="006432DE">
        <w:t>ance Criteria</w:t>
      </w:r>
    </w:p>
    <w:tbl>
      <w:tblPr>
        <w:tblW w:w="0" w:type="auto"/>
        <w:tblLayout w:type="fixed"/>
        <w:tblCellMar>
          <w:left w:w="62" w:type="dxa"/>
          <w:right w:w="62" w:type="dxa"/>
        </w:tblCellMar>
        <w:tblLook w:val="0000"/>
      </w:tblPr>
      <w:tblGrid>
        <w:gridCol w:w="2567"/>
        <w:gridCol w:w="5955"/>
      </w:tblGrid>
      <w:tr w:rsidTr="00B264C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PERFORMANCE CRITERIA</w:t>
            </w:r>
          </w:p>
        </w:tc>
      </w:tr>
      <w:tr w:rsidTr="00B264C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List"/>
              <w:rPr>
                <w:lang w:val="en-NZ"/>
              </w:rPr>
            </w:pPr>
            <w:r w:rsidRPr="006432DE">
              <w:t>1.</w:t>
            </w:r>
            <w:r w:rsidRPr="006432DE">
              <w:tab/>
              <w:t>Inspect gas turbine engine systems and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List2"/>
            </w:pPr>
            <w:r w:rsidRPr="006432DE">
              <w:t>1.1.</w:t>
            </w:r>
            <w:r w:rsidRPr="006432DE">
              <w:tab/>
              <w:t xml:space="preserve">Isolation tags already attached to the system or related systems are checked and aircraft configured for safe system inspection </w:t>
            </w:r>
            <w:r w:rsidRPr="006432DE">
              <w:t>and operation in accordance with applicable maintenance manual</w:t>
            </w:r>
          </w:p>
          <w:p w:rsidR="00000000" w:rsidRPr="006432DE" w:rsidP="006432DE">
            <w:pPr>
              <w:pStyle w:val="List2"/>
            </w:pPr>
            <w:r w:rsidRPr="006432DE">
              <w:t>1.2.</w:t>
            </w:r>
            <w:r w:rsidRPr="006432DE">
              <w:tab/>
            </w:r>
            <w:r w:rsidRPr="006432DE">
              <w:rPr>
                <w:rStyle w:val="BoldandItalics"/>
              </w:rPr>
              <w:t>Gas turbine engine</w:t>
            </w:r>
            <w:r w:rsidRPr="006432DE">
              <w:t xml:space="preserve"> and/or components are visually or physically checked for external signs of defects in accordance with applicable maintenance manual.</w:t>
            </w: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9" w:name="O_98879"/>
      <w:bookmarkEnd w:id="9"/>
      <w:r w:rsidRPr="006432DE">
        <w:t>Required Skills and</w:t>
      </w:r>
      <w:r w:rsidRPr="006432DE">
        <w:t xml:space="preserve"> Knowledge</w:t>
      </w:r>
    </w:p>
    <w:tbl>
      <w:tblPr>
        <w:tblW w:w="0" w:type="auto"/>
        <w:tblLayout w:type="fixed"/>
        <w:tblCellMar>
          <w:left w:w="62" w:type="dxa"/>
          <w:right w:w="62" w:type="dxa"/>
        </w:tblCellMar>
        <w:tblLook w:val="0000"/>
      </w:tblPr>
      <w:tblGrid>
        <w:gridCol w:w="8522"/>
      </w:tblGrid>
      <w:tr w:rsidTr="00B264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REQUIRED SKILLS AND KNOWLEDGE</w:t>
            </w:r>
          </w:p>
        </w:tc>
      </w:tr>
      <w:tr w:rsidTr="00B264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This section describes the skills and knowledge required for this unit.</w:t>
            </w:r>
          </w:p>
        </w:tc>
      </w:tr>
      <w:tr w:rsidTr="00B26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Required skills</w:t>
            </w:r>
          </w:p>
        </w:tc>
      </w:tr>
      <w:tr w:rsidTr="00B26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Look for evidence that confirms skills in:</w:t>
            </w:r>
          </w:p>
          <w:p w:rsidR="00000000" w:rsidRPr="006432DE" w:rsidP="006432DE">
            <w:pPr>
              <w:pStyle w:val="ListBullet"/>
            </w:pPr>
            <w:r w:rsidRPr="006432DE">
              <w:t>Application of relevant OH&amp;S procedures</w:t>
            </w:r>
          </w:p>
          <w:p w:rsidR="00000000" w:rsidRPr="006432DE" w:rsidP="006432DE">
            <w:pPr>
              <w:pStyle w:val="ListBullet"/>
            </w:pPr>
            <w:r w:rsidRPr="006432DE">
              <w:t>The use of relevant maintenance documentation and aircraft manuals to:</w:t>
            </w:r>
          </w:p>
          <w:p w:rsidR="00000000" w:rsidRPr="006432DE" w:rsidP="006432DE">
            <w:pPr>
              <w:pStyle w:val="ListBullet2"/>
            </w:pPr>
            <w:r w:rsidRPr="006432DE">
              <w:t>recognise through visual/physical inspection external and internal signs of defects/damage to gas turbine engine, components and system components</w:t>
            </w:r>
          </w:p>
          <w:p w:rsidR="00000000" w:rsidP="006432DE">
            <w:pPr>
              <w:pStyle w:val="ListBullet2"/>
              <w:rPr>
                <w:lang w:val="en-NZ"/>
              </w:rPr>
            </w:pPr>
            <w:r w:rsidRPr="006432DE">
              <w:t>assist with testing of gas turbine en</w:t>
            </w:r>
            <w:r w:rsidRPr="006432DE">
              <w:t>gine and engine system operation</w:t>
            </w:r>
          </w:p>
        </w:tc>
      </w:tr>
      <w:tr w:rsidTr="00B26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Required knowledge</w:t>
            </w:r>
          </w:p>
        </w:tc>
      </w:tr>
      <w:tr w:rsidTr="00B26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Look for evidence that confirms knowledge of gas turbine engine and engine system layout and operation, including electrical and instrument system interfaces</w:t>
            </w: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10" w:name="O_98880"/>
      <w:bookmarkEnd w:id="10"/>
      <w:r w:rsidRPr="006432DE">
        <w:t>Evidence Guide</w:t>
      </w:r>
    </w:p>
    <w:tbl>
      <w:tblPr>
        <w:tblW w:w="9570" w:type="dxa"/>
        <w:tblLayout w:type="fixed"/>
        <w:tblCellMar>
          <w:left w:w="62" w:type="dxa"/>
          <w:right w:w="62" w:type="dxa"/>
        </w:tblCellMar>
        <w:tblLook w:val="0000"/>
      </w:tblPr>
      <w:tblGrid>
        <w:gridCol w:w="3908"/>
        <w:gridCol w:w="5662"/>
      </w:tblGrid>
      <w:tr w:rsidTr="00B264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EVIDENCE GUIDE</w:t>
            </w:r>
          </w:p>
        </w:tc>
      </w:tr>
      <w:tr w:rsidTr="00B264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The Evidence Guide provides advice on assessment and must be read in conjunction with the performance criteria, required skills and knowledge, range statement and the Assessment Guidelines for the Training Package.</w:t>
            </w:r>
          </w:p>
        </w:tc>
      </w:tr>
      <w:tr w:rsidTr="00B26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A person who demonstrates competency in this unit must be able to apply hand skills, use maintenance publications and engine and system theory knowledge to inspect gas turbine engines and engine system components on fixed or rotary wing aircraft while app</w:t>
            </w:r>
            <w:r w:rsidRPr="006432DE">
              <w:t>lying all relevant safety precautions, in particular those relating to high-energy ignition units.</w:t>
            </w:r>
          </w:p>
        </w:tc>
      </w:tr>
      <w:tr w:rsidTr="00B26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The underlying skills inherent in this unit should be transfera</w:t>
            </w:r>
            <w:r w:rsidRPr="006432DE">
              <w:t>ble across a range of inspection applications (including the timely involvement of supervisors or other trades) associated with gas turbine engines, components and systems. It is essential that system test procedures take into account all safety precaution</w:t>
            </w:r>
            <w:r w:rsidRPr="006432DE">
              <w:t>s applicable to the system being maintained. Ability to interpret inspection procedures and specifications (allowable limits) and apply them in practice is critical.</w:t>
            </w:r>
          </w:p>
          <w:p w:rsidR="00000000" w:rsidRPr="006432DE" w:rsidP="006432DE">
            <w:pPr>
              <w:pStyle w:val="BodyText"/>
            </w:pPr>
            <w:r w:rsidRPr="006432DE">
              <w:t>Evidence of transferability of skills and knowledge related to inspection is essential. Th</w:t>
            </w:r>
            <w:r w:rsidRPr="006432DE">
              <w:t>is may be demonstrated through application across a number of engine systems. The work plan should take account of applicable safety and quality requirements in accordance with the industry and regulatory standards.</w:t>
            </w:r>
          </w:p>
          <w:p w:rsidR="00000000" w:rsidP="006432DE">
            <w:pPr>
              <w:pStyle w:val="BodyText"/>
              <w:rPr>
                <w:lang w:val="en-NZ"/>
              </w:rPr>
            </w:pPr>
            <w:r w:rsidRPr="006432DE">
              <w:t>A person cannot be assessed as competent</w:t>
            </w:r>
            <w:r w:rsidRPr="006432DE">
              <w:t xml:space="preserve"> until it can be demonstrated to the satisfaction of the workplace assessor that the relevant elements of the Unit of Competency are being achieved under routine supervision on each of the systems listed in Range Statement Groups 1 to 6 and at least one co</w:t>
            </w:r>
            <w:r w:rsidRPr="006432DE">
              <w:t>mponent of each system. This shall be established via the records in the Log of Industrial Experience and Achievement or, where appropriate, an equivalent Industry .</w:t>
            </w:r>
          </w:p>
        </w:tc>
      </w:tr>
      <w:tr w:rsidTr="00B26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Competency should be assessed in the wor</w:t>
            </w:r>
            <w:r w:rsidRPr="006432DE">
              <w:t xml:space="preserve">k environment or simulated work environment using tools and equipment specified in maintenance manuals. It is also expected that general purpose tools, test and ground support equipment found in most routine situations and used to assist in the inspection </w:t>
            </w:r>
            <w:r w:rsidRPr="006432DE">
              <w:t>process would be used where appropriate.</w:t>
            </w:r>
          </w:p>
        </w:tc>
      </w:tr>
      <w:tr w:rsidTr="00B26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p>
        </w:tc>
      </w:tr>
      <w:tr w:rsidTr="00B26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11" w:name="O_98881"/>
      <w:bookmarkEnd w:id="11"/>
      <w:r w:rsidRPr="006432DE">
        <w:t>Range Statement</w:t>
      </w:r>
    </w:p>
    <w:tbl>
      <w:tblPr>
        <w:tblW w:w="0" w:type="auto"/>
        <w:tblLayout w:type="fixed"/>
        <w:tblCellMar>
          <w:left w:w="62" w:type="dxa"/>
          <w:right w:w="62" w:type="dxa"/>
        </w:tblCellMar>
        <w:tblLook w:val="0000"/>
      </w:tblPr>
      <w:tblGrid>
        <w:gridCol w:w="3502"/>
        <w:gridCol w:w="5020"/>
      </w:tblGrid>
      <w:tr w:rsidTr="00B264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RANGE STATEMENT</w:t>
            </w:r>
          </w:p>
        </w:tc>
      </w:tr>
      <w:tr w:rsidTr="00B264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The range statement relates to the unit of competency as a whole. It allows for different work environments and situations that may affect performance. Bold italicised wording, if used in the performance criteria, is detailed below. Essential operating con</w:t>
            </w:r>
            <w:r w:rsidRPr="006432DE">
              <w:t>ditions that may be present with training and assessment (depending on the work situation, needs of the candidate, accessibility of the item, and local industry and regional contexts) may also be included.</w:t>
            </w:r>
          </w:p>
        </w:tc>
      </w:tr>
      <w:tr w:rsidTr="00B264C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Note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t>Range statements listed below are numbered to facilitate specification of the assessment requirements included in the Evidence Guide.</w:t>
            </w:r>
          </w:p>
        </w:tc>
      </w:tr>
      <w:tr w:rsidTr="00B264C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rPr>
                <w:rStyle w:val="SpecialBold"/>
              </w:rPr>
              <w:t>Gas turbine engine and components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rPr>
                <w:rStyle w:val="Emphasis"/>
              </w:rPr>
              <w:t>Gas turbine engine may include</w:t>
            </w:r>
            <w:r w:rsidRPr="006432DE">
              <w:t>:</w:t>
            </w:r>
          </w:p>
          <w:p w:rsidR="00000000" w:rsidRPr="006432DE" w:rsidP="006432DE">
            <w:pPr>
              <w:pStyle w:val="BodyText"/>
            </w:pPr>
            <w:r w:rsidRPr="006432DE">
              <w:t>1.  Engine change unit, main components, accessories/drives</w:t>
            </w:r>
          </w:p>
          <w:p w:rsidR="00000000" w:rsidRPr="006432DE" w:rsidP="006432DE">
            <w:pPr>
              <w:pStyle w:val="BodyText"/>
            </w:pPr>
            <w:r w:rsidRPr="006432DE">
              <w:t>2.  Control system</w:t>
            </w:r>
          </w:p>
          <w:p w:rsidR="00000000" w:rsidRPr="006432DE" w:rsidP="006432DE">
            <w:pPr>
              <w:pStyle w:val="BodyText"/>
            </w:pPr>
            <w:r w:rsidRPr="006432DE">
              <w:t>3.  Ignition, starter systems</w:t>
            </w:r>
          </w:p>
          <w:p w:rsidR="00000000" w:rsidRPr="006432DE" w:rsidP="006432DE">
            <w:pPr>
              <w:pStyle w:val="BodyText"/>
            </w:pPr>
            <w:r w:rsidRPr="006432DE">
              <w:t>4.  Fuel system</w:t>
            </w:r>
          </w:p>
          <w:p w:rsidR="00000000" w:rsidRPr="006432DE" w:rsidP="006432DE">
            <w:pPr>
              <w:pStyle w:val="BodyText"/>
            </w:pPr>
            <w:r w:rsidRPr="006432DE">
              <w:t>5.  Oil system</w:t>
            </w:r>
          </w:p>
          <w:p w:rsidR="00000000" w:rsidP="006432DE">
            <w:pPr>
              <w:pStyle w:val="BodyText"/>
              <w:rPr>
                <w:lang w:val="en-NZ"/>
              </w:rPr>
            </w:pPr>
            <w:r w:rsidRPr="006432DE">
              <w:t>6.  Air system</w:t>
            </w:r>
          </w:p>
        </w:tc>
      </w:tr>
      <w:tr w:rsidTr="00B264C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Application</w:t>
            </w:r>
            <w:r w:rsidRPr="006432DE">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Application of this unit may relate to:</w:t>
            </w:r>
          </w:p>
          <w:p w:rsidR="00000000" w:rsidRPr="006432DE" w:rsidP="006432DE">
            <w:pPr>
              <w:pStyle w:val="ListBullet"/>
            </w:pPr>
            <w:r w:rsidRPr="006432DE">
              <w:t>Scheduled or unscheduled maintenance activitie</w:t>
            </w:r>
            <w:r w:rsidRPr="006432DE">
              <w:t>s</w:t>
            </w:r>
          </w:p>
          <w:p w:rsidR="00000000" w:rsidP="006432DE">
            <w:pPr>
              <w:pStyle w:val="ListBullet"/>
              <w:rPr>
                <w:lang w:val="en-NZ"/>
              </w:rPr>
            </w:pPr>
            <w:r w:rsidRPr="006432DE">
              <w:t>Individual or team related activities</w:t>
            </w:r>
          </w:p>
        </w:tc>
      </w:tr>
      <w:tr w:rsidTr="00B264C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Procedures and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Refer to industry standard procedures specified by manufacturers, regulatory authorities or the enterprise</w:t>
            </w:r>
          </w:p>
        </w:tc>
      </w:tr>
    </w:tbl>
    <w:p w:rsidR="00B264C7" w:rsidP="006432DE">
      <w:pPr>
        <w:pStyle w:val="BodyText"/>
      </w:pPr>
    </w:p>
    <w:p w:rsidR="00B264C7" w:rsidP="006432DE">
      <w:pPr>
        <w:pStyle w:val="BodyText"/>
      </w:pPr>
    </w:p>
    <w:p w:rsidR="00000000" w:rsidRPr="006432DE" w:rsidP="006432DE">
      <w:pPr>
        <w:pStyle w:val="Heading1"/>
      </w:pPr>
      <w:bookmarkStart w:id="12" w:name="O_98882"/>
      <w:bookmarkEnd w:id="12"/>
      <w:r w:rsidRPr="006432DE">
        <w:t>Unit Sector(s)</w:t>
      </w:r>
    </w:p>
    <w:tbl>
      <w:tblPr>
        <w:tblW w:w="0" w:type="auto"/>
        <w:tblLayout w:type="fixed"/>
        <w:tblCellMar>
          <w:left w:w="62" w:type="dxa"/>
          <w:right w:w="62" w:type="dxa"/>
        </w:tblCellMar>
        <w:tblLook w:val="0000"/>
      </w:tblPr>
      <w:tblGrid>
        <w:gridCol w:w="2654"/>
        <w:gridCol w:w="5868"/>
      </w:tblGrid>
      <w:tr w:rsidTr="00B264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13" w:name="O_158908"/>
      <w:bookmarkEnd w:id="13"/>
      <w:r w:rsidRPr="006432DE">
        <w:t>Competency field</w:t>
      </w:r>
    </w:p>
    <w:tbl>
      <w:tblPr>
        <w:tblW w:w="0" w:type="auto"/>
        <w:tblLayout w:type="fixed"/>
        <w:tblCellMar>
          <w:left w:w="62" w:type="dxa"/>
          <w:right w:w="62" w:type="dxa"/>
        </w:tblCellMar>
        <w:tblLook w:val="0000"/>
      </w:tblPr>
      <w:tblGrid>
        <w:gridCol w:w="2778"/>
        <w:gridCol w:w="5744"/>
      </w:tblGrid>
      <w:tr w:rsidTr="00B264C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r w:rsidRPr="006432DE">
              <w:t>Aviation maintenance</w:t>
            </w:r>
          </w:p>
        </w:tc>
      </w:tr>
    </w:tbl>
    <w:p w:rsidR="00000000" w:rsidRPr="006432DE" w:rsidP="006432DE">
      <w:pPr>
        <w:pStyle w:val="BodyText"/>
      </w:pPr>
    </w:p>
    <w:p w:rsidR="00000000" w:rsidRPr="006432DE" w:rsidP="006432DE">
      <w:pPr>
        <w:pStyle w:val="AllowPageBreak"/>
      </w:pPr>
    </w:p>
    <w:p w:rsidR="00000000" w:rsidRPr="006432DE" w:rsidP="006432DE">
      <w:pPr>
        <w:pStyle w:val="Heading1"/>
      </w:pPr>
      <w:bookmarkStart w:id="14" w:name="O_158907"/>
      <w:bookmarkEnd w:id="14"/>
      <w:r w:rsidRPr="006432DE">
        <w:t>Co-requisite units</w:t>
      </w:r>
    </w:p>
    <w:tbl>
      <w:tblPr>
        <w:tblW w:w="0" w:type="auto"/>
        <w:tblLayout w:type="fixed"/>
        <w:tblCellMar>
          <w:left w:w="62" w:type="dxa"/>
          <w:right w:w="62" w:type="dxa"/>
        </w:tblCellMar>
        <w:tblLook w:val="0000"/>
      </w:tblPr>
      <w:tblGrid>
        <w:gridCol w:w="2641"/>
        <w:gridCol w:w="1322"/>
        <w:gridCol w:w="4559"/>
      </w:tblGrid>
      <w:tr w:rsidTr="00B264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r w:rsidRPr="006432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p>
        </w:tc>
      </w:tr>
      <w:tr w:rsidTr="00B264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2DE">
            <w:pPr>
              <w:pStyle w:val="BodyText"/>
              <w:rPr>
                <w:lang w:val="en-NZ"/>
              </w:rPr>
            </w:pPr>
          </w:p>
        </w:tc>
      </w:tr>
      <w:tr w:rsidTr="00B264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2DE" w:rsidP="006432DE">
            <w:pPr>
              <w:pStyle w:val="BodyText"/>
            </w:pPr>
          </w:p>
        </w:tc>
      </w:tr>
    </w:tbl>
    <w:p w:rsidR="00000000" w:rsidRPr="006432DE" w:rsidP="006432DE">
      <w:pPr>
        <w:pStyle w:val="BodyText"/>
      </w:pPr>
    </w:p>
    <w:p w:rsidR="00000000" w:rsidRPr="006432DE" w:rsidP="006432DE"/>
    <w:sectPr w:rsidSect="00643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4C7" w:rsidP="00B26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C7" w:rsidP="00643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64C7" w:rsidP="00643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64C7" w:rsidP="00643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4C7" w:rsidP="00B264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C7" w:rsidP="006432DE">
    <w:pPr>
      <w:pStyle w:val="Header"/>
      <w:framePr w:wrap="around"/>
    </w:pPr>
    <w:r>
      <w:fldChar w:fldCharType="begin"/>
    </w:r>
    <w:r>
      <w:instrText xml:space="preserve"> TITLE   \* MERGEFORMAT </w:instrText>
    </w:r>
    <w:r>
      <w:fldChar w:fldCharType="separate"/>
    </w:r>
    <w:r>
      <w:t>MEA319B Inspect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64C7" w:rsidP="006432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10B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A0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EB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2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2DE"/>
    <w:pPr>
      <w:spacing w:before="360" w:after="60"/>
      <w:outlineLvl w:val="0"/>
    </w:pPr>
    <w:rPr>
      <w:sz w:val="32"/>
    </w:rPr>
  </w:style>
  <w:style w:type="paragraph" w:styleId="Heading2">
    <w:name w:val="heading 2"/>
    <w:basedOn w:val="HeadingBase"/>
    <w:next w:val="BodyText"/>
    <w:link w:val="Heading2Char"/>
    <w:qFormat/>
    <w:rsid w:val="006432DE"/>
    <w:pPr>
      <w:keepLines/>
      <w:spacing w:before="240" w:after="120"/>
      <w:outlineLvl w:val="1"/>
    </w:pPr>
    <w:rPr>
      <w:sz w:val="28"/>
      <w:szCs w:val="40"/>
    </w:rPr>
  </w:style>
  <w:style w:type="paragraph" w:styleId="Heading3">
    <w:name w:val="heading 3"/>
    <w:basedOn w:val="HeadingBase"/>
    <w:next w:val="BodyText"/>
    <w:link w:val="Heading3Char"/>
    <w:qFormat/>
    <w:rsid w:val="006432DE"/>
    <w:pPr>
      <w:spacing w:before="180" w:after="120"/>
      <w:outlineLvl w:val="2"/>
    </w:pPr>
    <w:rPr>
      <w:spacing w:val="-10"/>
      <w:kern w:val="32"/>
    </w:rPr>
  </w:style>
  <w:style w:type="paragraph" w:styleId="Heading4">
    <w:name w:val="heading 4"/>
    <w:basedOn w:val="HeadingBase"/>
    <w:next w:val="BodyText"/>
    <w:link w:val="Heading4Char"/>
    <w:qFormat/>
    <w:rsid w:val="006432DE"/>
    <w:pPr>
      <w:spacing w:before="160" w:after="120"/>
      <w:outlineLvl w:val="3"/>
    </w:pPr>
    <w:rPr>
      <w:sz w:val="22"/>
    </w:rPr>
  </w:style>
  <w:style w:type="paragraph" w:styleId="Heading5">
    <w:name w:val="heading 5"/>
    <w:basedOn w:val="HeadingBase"/>
    <w:next w:val="Normal"/>
    <w:link w:val="Heading5Char"/>
    <w:qFormat/>
    <w:rsid w:val="006432DE"/>
    <w:pPr>
      <w:spacing w:before="80"/>
      <w:outlineLvl w:val="4"/>
    </w:pPr>
    <w:rPr>
      <w:color w:val="918585"/>
      <w:sz w:val="20"/>
    </w:rPr>
  </w:style>
  <w:style w:type="paragraph" w:styleId="Heading6">
    <w:name w:val="heading 6"/>
    <w:basedOn w:val="HeadingBase"/>
    <w:next w:val="Normal"/>
    <w:link w:val="Heading6Char"/>
    <w:qFormat/>
    <w:rsid w:val="006432DE"/>
    <w:pPr>
      <w:spacing w:before="60"/>
      <w:outlineLvl w:val="5"/>
    </w:pPr>
    <w:rPr>
      <w:color w:val="918585"/>
      <w:sz w:val="20"/>
    </w:rPr>
  </w:style>
  <w:style w:type="paragraph" w:styleId="Heading7">
    <w:name w:val="heading 7"/>
    <w:basedOn w:val="Normal"/>
    <w:next w:val="Normal"/>
    <w:link w:val="Heading7Char"/>
    <w:qFormat/>
    <w:rsid w:val="006432DE"/>
    <w:pPr>
      <w:ind w:left="720"/>
      <w:outlineLvl w:val="6"/>
    </w:pPr>
    <w:rPr>
      <w:i/>
    </w:rPr>
  </w:style>
  <w:style w:type="paragraph" w:styleId="Heading8">
    <w:name w:val="heading 8"/>
    <w:basedOn w:val="Normal"/>
    <w:next w:val="Normal"/>
    <w:link w:val="Heading8Char"/>
    <w:qFormat/>
    <w:rsid w:val="006432DE"/>
    <w:pPr>
      <w:ind w:left="720"/>
      <w:outlineLvl w:val="7"/>
    </w:pPr>
    <w:rPr>
      <w:i/>
    </w:rPr>
  </w:style>
  <w:style w:type="paragraph" w:styleId="Heading9">
    <w:name w:val="heading 9"/>
    <w:basedOn w:val="Normal"/>
    <w:next w:val="Normal"/>
    <w:link w:val="Heading9Char"/>
    <w:qFormat/>
    <w:rsid w:val="006432DE"/>
    <w:pPr>
      <w:ind w:left="720"/>
      <w:outlineLvl w:val="8"/>
    </w:pPr>
    <w:rPr>
      <w:i/>
    </w:rPr>
  </w:style>
  <w:style w:type="character" w:default="1" w:styleId="DefaultParagraphFont">
    <w:name w:val="Default Paragraph Font"/>
    <w:uiPriority w:val="1"/>
    <w:unhideWhenUsed/>
    <w:rsid w:val="00643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2DE"/>
  </w:style>
  <w:style w:type="character" w:customStyle="1" w:styleId="Heading1Char">
    <w:name w:val="Heading 1 Char"/>
    <w:basedOn w:val="DefaultParagraphFont"/>
    <w:link w:val="Heading1"/>
    <w:rsid w:val="006432DE"/>
    <w:rPr>
      <w:rFonts w:ascii="Times New Roman" w:eastAsia="Times New Roman" w:hAnsi="Times New Roman" w:cs="Times New Roman"/>
      <w:b/>
      <w:sz w:val="32"/>
      <w:szCs w:val="20"/>
      <w:lang w:eastAsia="en-US"/>
    </w:rPr>
  </w:style>
  <w:style w:type="paragraph" w:styleId="BodyText">
    <w:name w:val="Body Text"/>
    <w:basedOn w:val="Normal"/>
    <w:link w:val="BodyTextChar"/>
    <w:rsid w:val="00643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2DE"/>
    <w:rPr>
      <w:rFonts w:ascii="Times New Roman" w:eastAsia="Times New Roman" w:hAnsi="Times New Roman" w:cs="Times New Roman"/>
      <w:sz w:val="24"/>
      <w:lang w:val="en-US" w:eastAsia="en-US"/>
    </w:rPr>
  </w:style>
  <w:style w:type="paragraph" w:styleId="Footer">
    <w:name w:val="footer"/>
    <w:basedOn w:val="Normal"/>
    <w:link w:val="FooterChar"/>
    <w:rsid w:val="00643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2DE"/>
    <w:rPr>
      <w:rFonts w:ascii="Times New Roman" w:eastAsia="Times New Roman" w:hAnsi="Times New Roman" w:cs="Times New Roman"/>
      <w:sz w:val="16"/>
      <w:lang w:val="en-US" w:eastAsia="en-US"/>
    </w:rPr>
  </w:style>
  <w:style w:type="paragraph" w:styleId="List">
    <w:name w:val="List"/>
    <w:basedOn w:val="BodyText"/>
    <w:next w:val="BodyText"/>
    <w:rsid w:val="006432DE"/>
    <w:pPr>
      <w:tabs>
        <w:tab w:val="left" w:pos="340"/>
      </w:tabs>
      <w:spacing w:before="60" w:after="60"/>
      <w:ind w:left="340" w:hanging="340"/>
    </w:pPr>
  </w:style>
  <w:style w:type="paragraph" w:styleId="ListBullet">
    <w:name w:val="List Bullet"/>
    <w:basedOn w:val="List"/>
    <w:rsid w:val="006432DE"/>
    <w:pPr>
      <w:numPr>
        <w:numId w:val="13"/>
      </w:numPr>
      <w:tabs>
        <w:tab w:val="clear" w:pos="340"/>
      </w:tabs>
      <w:spacing w:before="40" w:after="40"/>
    </w:pPr>
  </w:style>
  <w:style w:type="character" w:customStyle="1" w:styleId="SpecialBold">
    <w:name w:val="Special Bold"/>
    <w:basedOn w:val="DefaultParagraphFont"/>
    <w:rsid w:val="006432DE"/>
    <w:rPr>
      <w:b/>
      <w:spacing w:val="0"/>
    </w:rPr>
  </w:style>
  <w:style w:type="paragraph" w:styleId="ListBullet2">
    <w:name w:val="List Bullet 2"/>
    <w:basedOn w:val="List2"/>
    <w:rsid w:val="006432DE"/>
    <w:pPr>
      <w:numPr>
        <w:numId w:val="14"/>
      </w:numPr>
      <w:tabs>
        <w:tab w:val="clear" w:pos="680"/>
      </w:tabs>
    </w:pPr>
  </w:style>
  <w:style w:type="paragraph" w:styleId="Header">
    <w:name w:val="header"/>
    <w:basedOn w:val="Normal"/>
    <w:link w:val="HeaderChar"/>
    <w:rsid w:val="00643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2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32DE"/>
    <w:rPr>
      <w:i/>
    </w:rPr>
  </w:style>
  <w:style w:type="paragraph" w:customStyle="1" w:styleId="SuperHeading">
    <w:name w:val="SuperHeading"/>
    <w:basedOn w:val="Normal"/>
    <w:rsid w:val="006432DE"/>
    <w:pPr>
      <w:spacing w:before="240" w:after="120"/>
      <w:outlineLvl w:val="0"/>
    </w:pPr>
    <w:rPr>
      <w:rFonts w:ascii="Times New Roman" w:hAnsi="Times New Roman"/>
      <w:b/>
      <w:sz w:val="28"/>
    </w:rPr>
  </w:style>
  <w:style w:type="paragraph" w:customStyle="1" w:styleId="AllowPageBreak">
    <w:name w:val="AllowPageBreak"/>
    <w:rsid w:val="006432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32DE"/>
    <w:pPr>
      <w:tabs>
        <w:tab w:val="left" w:pos="680"/>
      </w:tabs>
      <w:spacing w:before="60" w:after="60"/>
      <w:ind w:left="680" w:hanging="340"/>
    </w:pPr>
  </w:style>
  <w:style w:type="character" w:customStyle="1" w:styleId="BoldandItalics">
    <w:name w:val="Bold and Italics"/>
    <w:qFormat/>
    <w:rsid w:val="006432DE"/>
    <w:rPr>
      <w:b/>
      <w:i/>
      <w:u w:val="none"/>
    </w:rPr>
  </w:style>
  <w:style w:type="character" w:customStyle="1" w:styleId="Heading2Char">
    <w:name w:val="Heading 2 Char"/>
    <w:basedOn w:val="DefaultParagraphFont"/>
    <w:link w:val="Heading2"/>
    <w:rsid w:val="00643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2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2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2DE"/>
    <w:rPr>
      <w:rFonts w:ascii="Courier New" w:eastAsia="Times New Roman" w:hAnsi="Courier New" w:cs="Times New Roman"/>
      <w:i/>
      <w:szCs w:val="20"/>
      <w:lang w:val="en-US" w:eastAsia="en-US"/>
    </w:rPr>
  </w:style>
  <w:style w:type="paragraph" w:customStyle="1" w:styleId="HeadingBase">
    <w:name w:val="Heading Base"/>
    <w:rsid w:val="00643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2DE"/>
    <w:pPr>
      <w:tabs>
        <w:tab w:val="right" w:leader="dot" w:pos="9072"/>
      </w:tabs>
      <w:ind w:left="567"/>
    </w:pPr>
    <w:rPr>
      <w:szCs w:val="22"/>
    </w:rPr>
  </w:style>
  <w:style w:type="paragraph" w:customStyle="1" w:styleId="TOCBase">
    <w:name w:val="TOC Base"/>
    <w:rsid w:val="00643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2DE"/>
    <w:pPr>
      <w:tabs>
        <w:tab w:val="right" w:leader="dot" w:pos="9072"/>
      </w:tabs>
      <w:spacing w:before="40" w:after="40"/>
      <w:ind w:left="284"/>
    </w:pPr>
    <w:rPr>
      <w:rFonts w:ascii="Times New Roman" w:hAnsi="Times New Roman"/>
    </w:rPr>
  </w:style>
  <w:style w:type="paragraph" w:styleId="TOC1">
    <w:name w:val="toc 1"/>
    <w:basedOn w:val="TOCBase"/>
    <w:next w:val="Normal"/>
    <w:rsid w:val="00643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2DE"/>
    <w:pPr>
      <w:spacing w:before="5040"/>
      <w:jc w:val="center"/>
    </w:pPr>
    <w:rPr>
      <w:sz w:val="48"/>
      <w:szCs w:val="72"/>
      <w:lang w:val="en-US"/>
    </w:rPr>
  </w:style>
  <w:style w:type="character" w:customStyle="1" w:styleId="TitleChar">
    <w:name w:val="Title Char"/>
    <w:basedOn w:val="DefaultParagraphFont"/>
    <w:link w:val="Title"/>
    <w:rsid w:val="00643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2DE"/>
    <w:pPr>
      <w:tabs>
        <w:tab w:val="left" w:pos="3600"/>
        <w:tab w:val="left" w:pos="3958"/>
      </w:tabs>
    </w:pPr>
  </w:style>
  <w:style w:type="paragraph" w:customStyle="1" w:styleId="Note">
    <w:name w:val="Note"/>
    <w:basedOn w:val="BodyText"/>
    <w:rsid w:val="00643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2DE"/>
    <w:pPr>
      <w:framePr w:wrap="auto" w:hAnchor="text" w:y="6049"/>
    </w:pPr>
    <w:rPr>
      <w:color w:val="000000"/>
      <w:sz w:val="40"/>
    </w:rPr>
  </w:style>
  <w:style w:type="paragraph" w:customStyle="1" w:styleId="TOCTitle">
    <w:name w:val="TOCTitle"/>
    <w:basedOn w:val="Heading1"/>
    <w:rsid w:val="006432DE"/>
    <w:pPr>
      <w:spacing w:after="240"/>
      <w:jc w:val="center"/>
      <w:outlineLvl w:val="9"/>
    </w:pPr>
    <w:rPr>
      <w:caps/>
    </w:rPr>
  </w:style>
  <w:style w:type="paragraph" w:customStyle="1" w:styleId="Version">
    <w:name w:val="Version"/>
    <w:rsid w:val="00643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2DE"/>
    <w:pPr>
      <w:keepNext w:val="0"/>
      <w:tabs>
        <w:tab w:val="right" w:pos="4176"/>
      </w:tabs>
      <w:ind w:left="198" w:hanging="198"/>
    </w:pPr>
    <w:rPr>
      <w:rFonts w:ascii="Garamond" w:hAnsi="Garamond"/>
    </w:rPr>
  </w:style>
  <w:style w:type="paragraph" w:styleId="IndexHeading">
    <w:name w:val="index heading"/>
    <w:basedOn w:val="Normal"/>
    <w:next w:val="Index1"/>
    <w:semiHidden/>
    <w:rsid w:val="006432DE"/>
    <w:pPr>
      <w:spacing w:before="120" w:after="120"/>
    </w:pPr>
    <w:rPr>
      <w:rFonts w:ascii="Arial" w:hAnsi="Arial"/>
      <w:b/>
      <w:color w:val="918585"/>
      <w:sz w:val="24"/>
    </w:rPr>
  </w:style>
  <w:style w:type="paragraph" w:customStyle="1" w:styleId="Chapter">
    <w:name w:val="Chapter"/>
    <w:basedOn w:val="Normal"/>
    <w:rsid w:val="006432DE"/>
    <w:pPr>
      <w:spacing w:before="240"/>
    </w:pPr>
    <w:rPr>
      <w:rFonts w:ascii="Times New Roman" w:hAnsi="Times New Roman"/>
      <w:smallCaps/>
      <w:spacing w:val="80"/>
      <w:sz w:val="28"/>
    </w:rPr>
  </w:style>
  <w:style w:type="paragraph" w:customStyle="1" w:styleId="InChapter">
    <w:name w:val="InChapter"/>
    <w:basedOn w:val="Heading3"/>
    <w:rsid w:val="006432DE"/>
    <w:pPr>
      <w:spacing w:after="240"/>
      <w:outlineLvl w:val="9"/>
    </w:pPr>
    <w:rPr>
      <w:noProof/>
    </w:rPr>
  </w:style>
  <w:style w:type="paragraph" w:styleId="Index2">
    <w:name w:val="index 2"/>
    <w:basedOn w:val="Normal"/>
    <w:next w:val="Normal"/>
    <w:semiHidden/>
    <w:rsid w:val="006432DE"/>
    <w:pPr>
      <w:tabs>
        <w:tab w:val="right" w:pos="4176"/>
      </w:tabs>
      <w:ind w:left="568" w:hanging="284"/>
    </w:pPr>
    <w:rPr>
      <w:rFonts w:ascii="Garamond" w:hAnsi="Garamond"/>
    </w:rPr>
  </w:style>
  <w:style w:type="paragraph" w:customStyle="1" w:styleId="Byline">
    <w:name w:val="Byline"/>
    <w:rsid w:val="00643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2DE"/>
    <w:pPr>
      <w:tabs>
        <w:tab w:val="clear" w:pos="3600"/>
        <w:tab w:val="clear" w:pos="3958"/>
      </w:tabs>
      <w:jc w:val="right"/>
    </w:pPr>
  </w:style>
  <w:style w:type="paragraph" w:styleId="Caption">
    <w:name w:val="caption"/>
    <w:basedOn w:val="BodyText"/>
    <w:next w:val="Normal"/>
    <w:qFormat/>
    <w:rsid w:val="006432DE"/>
    <w:pPr>
      <w:framePr w:w="2268" w:hSpace="181" w:vSpace="181" w:wrap="around" w:vAnchor="text" w:hAnchor="page" w:x="1135" w:y="285" w:anchorLock="1"/>
    </w:pPr>
    <w:rPr>
      <w:i/>
    </w:rPr>
  </w:style>
  <w:style w:type="paragraph" w:customStyle="1" w:styleId="MiniTOCTitle">
    <w:name w:val="MiniTOCTitle"/>
    <w:basedOn w:val="Heading4"/>
    <w:rsid w:val="006432DE"/>
    <w:pPr>
      <w:spacing w:before="240"/>
      <w:outlineLvl w:val="9"/>
    </w:pPr>
    <w:rPr>
      <w:noProof/>
      <w:sz w:val="24"/>
    </w:rPr>
  </w:style>
  <w:style w:type="paragraph" w:customStyle="1" w:styleId="MiniTOCItem">
    <w:name w:val="MiniTOCItem"/>
    <w:basedOn w:val="ListBullet"/>
    <w:rsid w:val="006432DE"/>
    <w:pPr>
      <w:numPr>
        <w:numId w:val="0"/>
      </w:numPr>
      <w:tabs>
        <w:tab w:val="right" w:leader="dot" w:pos="6521"/>
      </w:tabs>
      <w:spacing w:before="0" w:after="0"/>
    </w:pPr>
  </w:style>
  <w:style w:type="paragraph" w:customStyle="1" w:styleId="TOFTitle">
    <w:name w:val="TOFTitle"/>
    <w:basedOn w:val="TOCTitle"/>
    <w:rsid w:val="006432DE"/>
  </w:style>
  <w:style w:type="paragraph" w:styleId="TableofFigures">
    <w:name w:val="table of figures"/>
    <w:basedOn w:val="Normal"/>
    <w:next w:val="Normal"/>
    <w:semiHidden/>
    <w:rsid w:val="006432DE"/>
    <w:pPr>
      <w:tabs>
        <w:tab w:val="right" w:leader="dot" w:pos="9072"/>
      </w:tabs>
      <w:ind w:left="970" w:hanging="403"/>
    </w:pPr>
    <w:rPr>
      <w:rFonts w:ascii="Times New Roman" w:hAnsi="Times New Roman"/>
      <w:b/>
    </w:rPr>
  </w:style>
  <w:style w:type="paragraph" w:styleId="ListNumber">
    <w:name w:val="List Number"/>
    <w:basedOn w:val="List"/>
    <w:rsid w:val="006432DE"/>
    <w:pPr>
      <w:numPr>
        <w:numId w:val="11"/>
      </w:numPr>
    </w:pPr>
  </w:style>
  <w:style w:type="character" w:customStyle="1" w:styleId="WingdingSymbols">
    <w:name w:val="Wingding Symbols"/>
    <w:rsid w:val="006432DE"/>
    <w:rPr>
      <w:rFonts w:ascii="Wingdings" w:hAnsi="Wingdings"/>
    </w:rPr>
  </w:style>
  <w:style w:type="paragraph" w:customStyle="1" w:styleId="TableHeading">
    <w:name w:val="Table Heading"/>
    <w:basedOn w:val="HeadingBase"/>
    <w:rsid w:val="006432DE"/>
    <w:pPr>
      <w:keepLines/>
      <w:pBdr>
        <w:bottom w:val="single" w:sz="6" w:space="1" w:color="918585"/>
      </w:pBdr>
      <w:spacing w:before="240"/>
    </w:pPr>
  </w:style>
  <w:style w:type="character" w:customStyle="1" w:styleId="HotSpot">
    <w:name w:val="HotSpot"/>
    <w:rsid w:val="006432DE"/>
    <w:rPr>
      <w:color w:val="0033CC"/>
      <w:u w:val="none"/>
    </w:rPr>
  </w:style>
  <w:style w:type="paragraph" w:customStyle="1" w:styleId="BodyTextRight">
    <w:name w:val="Body Text Right"/>
    <w:basedOn w:val="BodyText"/>
    <w:rsid w:val="006432DE"/>
    <w:pPr>
      <w:spacing w:before="0" w:after="0"/>
      <w:jc w:val="right"/>
    </w:pPr>
  </w:style>
  <w:style w:type="paragraph" w:styleId="Index3">
    <w:name w:val="index 3"/>
    <w:basedOn w:val="ListNumber2"/>
    <w:next w:val="Normal"/>
    <w:semiHidden/>
    <w:rsid w:val="006432DE"/>
    <w:pPr>
      <w:numPr>
        <w:numId w:val="0"/>
      </w:numPr>
      <w:tabs>
        <w:tab w:val="right" w:leader="dot" w:pos="4176"/>
      </w:tabs>
    </w:pPr>
  </w:style>
  <w:style w:type="paragraph" w:styleId="ListNumber2">
    <w:name w:val="List Number 2"/>
    <w:basedOn w:val="List2"/>
    <w:rsid w:val="006432DE"/>
    <w:pPr>
      <w:numPr>
        <w:numId w:val="10"/>
      </w:numPr>
      <w:tabs>
        <w:tab w:val="clear" w:pos="1060"/>
      </w:tabs>
    </w:pPr>
  </w:style>
  <w:style w:type="paragraph" w:customStyle="1" w:styleId="MarginNote">
    <w:name w:val="Margin Note"/>
    <w:basedOn w:val="BodyText"/>
    <w:rsid w:val="00643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2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2DE"/>
    <w:rPr>
      <w:sz w:val="32"/>
    </w:rPr>
  </w:style>
  <w:style w:type="paragraph" w:customStyle="1" w:styleId="HeadingProcedure">
    <w:name w:val="Heading Procedure"/>
    <w:basedOn w:val="HeadingBase"/>
    <w:next w:val="Normal"/>
    <w:rsid w:val="006432DE"/>
    <w:pPr>
      <w:tabs>
        <w:tab w:val="left" w:pos="0"/>
      </w:tabs>
      <w:spacing w:before="120" w:after="60"/>
    </w:pPr>
    <w:rPr>
      <w:i/>
      <w:color w:val="918585"/>
      <w:sz w:val="22"/>
    </w:rPr>
  </w:style>
  <w:style w:type="paragraph" w:customStyle="1" w:styleId="TableBodyText">
    <w:name w:val="Table Body Text"/>
    <w:basedOn w:val="BodyText"/>
    <w:rsid w:val="006432DE"/>
    <w:pPr>
      <w:spacing w:before="60" w:after="60"/>
    </w:pPr>
  </w:style>
  <w:style w:type="paragraph" w:styleId="ListContinue">
    <w:name w:val="List Continue"/>
    <w:basedOn w:val="List"/>
    <w:rsid w:val="006432DE"/>
    <w:pPr>
      <w:ind w:firstLine="0"/>
    </w:pPr>
  </w:style>
  <w:style w:type="paragraph" w:customStyle="1" w:styleId="ListNote">
    <w:name w:val="List Note"/>
    <w:basedOn w:val="List"/>
    <w:rsid w:val="006432DE"/>
    <w:pPr>
      <w:pBdr>
        <w:top w:val="single" w:sz="6" w:space="2" w:color="918585"/>
        <w:bottom w:val="single" w:sz="6" w:space="2" w:color="918585"/>
      </w:pBdr>
      <w:tabs>
        <w:tab w:val="left" w:pos="1021"/>
      </w:tabs>
      <w:ind w:firstLine="0"/>
    </w:pPr>
  </w:style>
  <w:style w:type="paragraph" w:customStyle="1" w:styleId="Warning">
    <w:name w:val="Warning"/>
    <w:basedOn w:val="BodyText"/>
    <w:rsid w:val="006432DE"/>
    <w:pPr>
      <w:shd w:val="clear" w:color="auto" w:fill="D9D9D9"/>
      <w:tabs>
        <w:tab w:val="left" w:pos="992"/>
      </w:tabs>
      <w:ind w:left="119" w:right="119"/>
    </w:pPr>
    <w:rPr>
      <w:sz w:val="20"/>
    </w:rPr>
  </w:style>
  <w:style w:type="paragraph" w:customStyle="1" w:styleId="MarginIcons">
    <w:name w:val="Margin Icons"/>
    <w:basedOn w:val="BodyText"/>
    <w:rsid w:val="00643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2DE"/>
    <w:rPr>
      <w:rFonts w:ascii="Courier New" w:hAnsi="Courier New"/>
    </w:rPr>
  </w:style>
  <w:style w:type="paragraph" w:customStyle="1" w:styleId="NoteBullet">
    <w:name w:val="Note Bullet"/>
    <w:basedOn w:val="Note"/>
    <w:rsid w:val="006432DE"/>
    <w:pPr>
      <w:tabs>
        <w:tab w:val="clear" w:pos="680"/>
      </w:tabs>
      <w:spacing w:before="60" w:after="60"/>
    </w:pPr>
  </w:style>
  <w:style w:type="paragraph" w:customStyle="1" w:styleId="SubHeading2">
    <w:name w:val="SubHeading2"/>
    <w:basedOn w:val="HeadingBase"/>
    <w:rsid w:val="006432DE"/>
    <w:pPr>
      <w:spacing w:before="240" w:after="60"/>
    </w:pPr>
    <w:rPr>
      <w:sz w:val="20"/>
    </w:rPr>
  </w:style>
  <w:style w:type="paragraph" w:customStyle="1" w:styleId="SubHeading1">
    <w:name w:val="SubHeading1"/>
    <w:basedOn w:val="HeadingBase"/>
    <w:rsid w:val="006432DE"/>
    <w:pPr>
      <w:spacing w:before="240" w:after="60"/>
    </w:pPr>
    <w:rPr>
      <w:color w:val="918585"/>
      <w:sz w:val="22"/>
    </w:rPr>
  </w:style>
  <w:style w:type="paragraph" w:customStyle="1" w:styleId="SideHeading">
    <w:name w:val="Side Heading"/>
    <w:basedOn w:val="HeadingBase"/>
    <w:rsid w:val="00643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2DE"/>
    <w:pPr>
      <w:numPr>
        <w:numId w:val="12"/>
      </w:numPr>
    </w:pPr>
  </w:style>
  <w:style w:type="paragraph" w:styleId="PlainText">
    <w:name w:val="Plain Text"/>
    <w:basedOn w:val="Normal"/>
    <w:link w:val="PlainTextChar"/>
    <w:rsid w:val="006432DE"/>
    <w:rPr>
      <w:sz w:val="20"/>
    </w:rPr>
  </w:style>
  <w:style w:type="character" w:customStyle="1" w:styleId="PlainTextChar">
    <w:name w:val="Plain Text Char"/>
    <w:basedOn w:val="DefaultParagraphFont"/>
    <w:link w:val="PlainText"/>
    <w:rsid w:val="006432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2DE"/>
    <w:rPr>
      <w:b/>
      <w:smallCaps/>
    </w:rPr>
  </w:style>
  <w:style w:type="paragraph" w:customStyle="1" w:styleId="TableListNumber">
    <w:name w:val="Table List Number"/>
    <w:basedOn w:val="ListNumber"/>
    <w:rsid w:val="006432DE"/>
    <w:pPr>
      <w:numPr>
        <w:numId w:val="0"/>
      </w:numPr>
    </w:pPr>
  </w:style>
  <w:style w:type="paragraph" w:styleId="TOC4">
    <w:name w:val="toc 4"/>
    <w:basedOn w:val="TOCBase"/>
    <w:next w:val="Normal"/>
    <w:semiHidden/>
    <w:rsid w:val="006432DE"/>
    <w:pPr>
      <w:tabs>
        <w:tab w:val="right" w:leader="dot" w:pos="9071"/>
      </w:tabs>
      <w:ind w:left="1701"/>
    </w:pPr>
  </w:style>
  <w:style w:type="paragraph" w:customStyle="1" w:styleId="ListAlpha">
    <w:name w:val="List Alpha"/>
    <w:basedOn w:val="List"/>
    <w:rsid w:val="006432DE"/>
    <w:pPr>
      <w:numPr>
        <w:numId w:val="9"/>
      </w:numPr>
    </w:pPr>
  </w:style>
  <w:style w:type="paragraph" w:customStyle="1" w:styleId="ListAlpha2">
    <w:name w:val="List Alpha 2"/>
    <w:basedOn w:val="List2"/>
    <w:rsid w:val="006432DE"/>
    <w:pPr>
      <w:numPr>
        <w:numId w:val="8"/>
      </w:numPr>
    </w:pPr>
  </w:style>
  <w:style w:type="paragraph" w:styleId="List3">
    <w:name w:val="List 3"/>
    <w:basedOn w:val="BodyText"/>
    <w:rsid w:val="006432DE"/>
    <w:pPr>
      <w:tabs>
        <w:tab w:val="left" w:pos="1021"/>
      </w:tabs>
      <w:spacing w:before="60" w:after="60"/>
      <w:ind w:left="1020" w:hanging="340"/>
    </w:pPr>
  </w:style>
  <w:style w:type="paragraph" w:styleId="List4">
    <w:name w:val="List 4"/>
    <w:basedOn w:val="BodyText"/>
    <w:rsid w:val="006432DE"/>
    <w:pPr>
      <w:tabs>
        <w:tab w:val="left" w:pos="1361"/>
      </w:tabs>
      <w:spacing w:before="60" w:after="60"/>
      <w:ind w:left="1361" w:hanging="340"/>
    </w:pPr>
  </w:style>
  <w:style w:type="paragraph" w:styleId="List5">
    <w:name w:val="List 5"/>
    <w:basedOn w:val="BodyText"/>
    <w:rsid w:val="006432DE"/>
    <w:pPr>
      <w:tabs>
        <w:tab w:val="left" w:pos="1701"/>
      </w:tabs>
      <w:spacing w:before="60" w:after="60"/>
      <w:ind w:left="1701" w:hanging="340"/>
    </w:pPr>
  </w:style>
  <w:style w:type="paragraph" w:styleId="ListBullet3">
    <w:name w:val="List Bullet 3"/>
    <w:basedOn w:val="List3"/>
    <w:rsid w:val="006432DE"/>
    <w:pPr>
      <w:numPr>
        <w:numId w:val="15"/>
      </w:numPr>
      <w:tabs>
        <w:tab w:val="clear" w:pos="1021"/>
      </w:tabs>
      <w:ind w:left="1037" w:hanging="357"/>
    </w:pPr>
  </w:style>
  <w:style w:type="paragraph" w:styleId="ListBullet4">
    <w:name w:val="List Bullet 4"/>
    <w:basedOn w:val="List4"/>
    <w:rsid w:val="006432DE"/>
    <w:pPr>
      <w:numPr>
        <w:numId w:val="3"/>
      </w:numPr>
    </w:pPr>
  </w:style>
  <w:style w:type="paragraph" w:styleId="ListBullet5">
    <w:name w:val="List Bullet 5"/>
    <w:basedOn w:val="List5"/>
    <w:rsid w:val="006432DE"/>
    <w:pPr>
      <w:numPr>
        <w:numId w:val="4"/>
      </w:numPr>
    </w:pPr>
  </w:style>
  <w:style w:type="paragraph" w:styleId="ListContinue2">
    <w:name w:val="List Continue 2"/>
    <w:basedOn w:val="List2"/>
    <w:rsid w:val="006432DE"/>
    <w:pPr>
      <w:ind w:firstLine="0"/>
    </w:pPr>
  </w:style>
  <w:style w:type="paragraph" w:styleId="ListContinue3">
    <w:name w:val="List Continue 3"/>
    <w:basedOn w:val="List3"/>
    <w:rsid w:val="006432DE"/>
    <w:pPr>
      <w:ind w:left="1021" w:firstLine="0"/>
    </w:pPr>
  </w:style>
  <w:style w:type="paragraph" w:styleId="ListContinue4">
    <w:name w:val="List Continue 4"/>
    <w:basedOn w:val="List4"/>
    <w:rsid w:val="006432DE"/>
    <w:pPr>
      <w:ind w:firstLine="0"/>
    </w:pPr>
  </w:style>
  <w:style w:type="paragraph" w:styleId="ListContinue5">
    <w:name w:val="List Continue 5"/>
    <w:basedOn w:val="List5"/>
    <w:rsid w:val="006432DE"/>
    <w:pPr>
      <w:ind w:firstLine="0"/>
    </w:pPr>
  </w:style>
  <w:style w:type="paragraph" w:styleId="ListNumber3">
    <w:name w:val="List Number 3"/>
    <w:basedOn w:val="List3"/>
    <w:rsid w:val="006432DE"/>
    <w:pPr>
      <w:numPr>
        <w:numId w:val="5"/>
      </w:numPr>
    </w:pPr>
  </w:style>
  <w:style w:type="paragraph" w:styleId="ListNumber4">
    <w:name w:val="List Number 4"/>
    <w:basedOn w:val="List4"/>
    <w:rsid w:val="006432DE"/>
    <w:pPr>
      <w:numPr>
        <w:numId w:val="6"/>
      </w:numPr>
    </w:pPr>
  </w:style>
  <w:style w:type="paragraph" w:styleId="ListNumber5">
    <w:name w:val="List Number 5"/>
    <w:basedOn w:val="List5"/>
    <w:rsid w:val="006432DE"/>
    <w:pPr>
      <w:numPr>
        <w:numId w:val="7"/>
      </w:numPr>
    </w:pPr>
  </w:style>
  <w:style w:type="paragraph" w:styleId="BlockText">
    <w:name w:val="Block Text"/>
    <w:basedOn w:val="Normal"/>
    <w:rsid w:val="006432DE"/>
    <w:pPr>
      <w:spacing w:after="120"/>
      <w:ind w:left="1440" w:right="1440"/>
    </w:pPr>
  </w:style>
  <w:style w:type="character" w:customStyle="1" w:styleId="Subscript">
    <w:name w:val="Subscript"/>
    <w:basedOn w:val="DefaultParagraphFont"/>
    <w:rsid w:val="006432DE"/>
    <w:rPr>
      <w:sz w:val="16"/>
      <w:vertAlign w:val="subscript"/>
    </w:rPr>
  </w:style>
  <w:style w:type="character" w:customStyle="1" w:styleId="Superscript">
    <w:name w:val="Superscript"/>
    <w:basedOn w:val="DefaultParagraphFont"/>
    <w:rsid w:val="006432DE"/>
    <w:rPr>
      <w:sz w:val="16"/>
      <w:vertAlign w:val="superscript"/>
    </w:rPr>
  </w:style>
  <w:style w:type="character" w:customStyle="1" w:styleId="Symbols">
    <w:name w:val="Symbols"/>
    <w:basedOn w:val="DefaultParagraphFont"/>
    <w:rsid w:val="006432DE"/>
    <w:rPr>
      <w:rFonts w:ascii="Symbol" w:hAnsi="Symbol"/>
    </w:rPr>
  </w:style>
  <w:style w:type="character" w:customStyle="1" w:styleId="MenuOptions">
    <w:name w:val="Menu Options"/>
    <w:basedOn w:val="DefaultParagraphFont"/>
    <w:rsid w:val="006432DE"/>
    <w:rPr>
      <w:rFonts w:ascii="Arial Narrow" w:hAnsi="Arial Narrow"/>
      <w:smallCaps/>
    </w:rPr>
  </w:style>
  <w:style w:type="character" w:customStyle="1" w:styleId="Buttons">
    <w:name w:val="Buttons"/>
    <w:basedOn w:val="DefaultParagraphFont"/>
    <w:rsid w:val="006432DE"/>
    <w:rPr>
      <w:b/>
    </w:rPr>
  </w:style>
  <w:style w:type="character" w:customStyle="1" w:styleId="Underlined">
    <w:name w:val="Underlined"/>
    <w:basedOn w:val="DefaultParagraphFont"/>
    <w:rsid w:val="006432DE"/>
    <w:rPr>
      <w:u w:val="single"/>
    </w:rPr>
  </w:style>
  <w:style w:type="paragraph" w:customStyle="1" w:styleId="TableBodyTextRight">
    <w:name w:val="Table Body Text Right"/>
    <w:basedOn w:val="TableBodyText"/>
    <w:rsid w:val="006432DE"/>
    <w:pPr>
      <w:widowControl w:val="0"/>
      <w:autoSpaceDE w:val="0"/>
      <w:autoSpaceDN w:val="0"/>
      <w:adjustRightInd w:val="0"/>
      <w:jc w:val="right"/>
    </w:pPr>
    <w:rPr>
      <w:rFonts w:cs="Arial"/>
      <w:szCs w:val="18"/>
    </w:rPr>
  </w:style>
  <w:style w:type="paragraph" w:customStyle="1" w:styleId="CopyrightText">
    <w:name w:val="Copyright Text"/>
    <w:basedOn w:val="BodyText"/>
    <w:rsid w:val="006432DE"/>
    <w:rPr>
      <w:sz w:val="18"/>
    </w:rPr>
  </w:style>
  <w:style w:type="paragraph" w:customStyle="1" w:styleId="BodySmallRight">
    <w:name w:val="Body Small Right"/>
    <w:basedOn w:val="BodyTextRight"/>
    <w:rsid w:val="006432DE"/>
    <w:rPr>
      <w:sz w:val="18"/>
      <w:szCs w:val="18"/>
    </w:rPr>
  </w:style>
  <w:style w:type="paragraph" w:customStyle="1" w:styleId="MarginEdition">
    <w:name w:val="Margin Edition"/>
    <w:basedOn w:val="MarginNote"/>
    <w:rsid w:val="006432DE"/>
    <w:pPr>
      <w:spacing w:before="0" w:after="0"/>
    </w:pPr>
    <w:rPr>
      <w:rFonts w:ascii="Times New Roman" w:hAnsi="Times New Roman"/>
      <w:color w:val="999999"/>
    </w:rPr>
  </w:style>
  <w:style w:type="paragraph" w:customStyle="1" w:styleId="Spacer">
    <w:name w:val="Spacer"/>
    <w:basedOn w:val="Normal"/>
    <w:rsid w:val="006432DE"/>
    <w:rPr>
      <w:sz w:val="2"/>
      <w:szCs w:val="2"/>
    </w:rPr>
  </w:style>
  <w:style w:type="character" w:customStyle="1" w:styleId="Small">
    <w:name w:val="Small"/>
    <w:basedOn w:val="DefaultParagraphFont"/>
    <w:rsid w:val="006432DE"/>
    <w:rPr>
      <w:sz w:val="16"/>
    </w:rPr>
  </w:style>
  <w:style w:type="paragraph" w:customStyle="1" w:styleId="WideTable">
    <w:name w:val="Wide Table"/>
    <w:basedOn w:val="Normal"/>
    <w:rsid w:val="006432DE"/>
    <w:pPr>
      <w:ind w:left="-1418"/>
    </w:pPr>
    <w:rPr>
      <w:sz w:val="2"/>
      <w:szCs w:val="2"/>
    </w:rPr>
  </w:style>
  <w:style w:type="character" w:styleId="PageNumber">
    <w:name w:val="page number"/>
    <w:basedOn w:val="DefaultParagraphFont"/>
    <w:rsid w:val="006432DE"/>
  </w:style>
  <w:style w:type="paragraph" w:styleId="Quote">
    <w:name w:val="Quote"/>
    <w:basedOn w:val="Heading1"/>
    <w:link w:val="QuoteChar"/>
    <w:qFormat/>
    <w:rsid w:val="006432DE"/>
    <w:rPr>
      <w:b w:val="0"/>
      <w:sz w:val="72"/>
      <w:szCs w:val="72"/>
      <w:lang w:val="en-NZ"/>
    </w:rPr>
  </w:style>
  <w:style w:type="character" w:customStyle="1" w:styleId="QuoteChar">
    <w:name w:val="Quote Char"/>
    <w:basedOn w:val="DefaultParagraphFont"/>
    <w:link w:val="Quote"/>
    <w:rsid w:val="00643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2DE"/>
    <w:pPr>
      <w:pageBreakBefore/>
    </w:pPr>
  </w:style>
  <w:style w:type="paragraph" w:customStyle="1" w:styleId="Border">
    <w:name w:val="Border"/>
    <w:basedOn w:val="Normal"/>
    <w:qFormat/>
    <w:rsid w:val="00643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2DE"/>
    <w:rPr>
      <w:b/>
      <w:bCs/>
      <w:i/>
      <w:iCs/>
      <w:color w:val="auto"/>
    </w:rPr>
  </w:style>
  <w:style w:type="paragraph" w:styleId="IntenseQuote">
    <w:name w:val="Intense Quote"/>
    <w:basedOn w:val="Normal"/>
    <w:next w:val="Normal"/>
    <w:link w:val="IntenseQuoteChar"/>
    <w:uiPriority w:val="30"/>
    <w:qFormat/>
    <w:rsid w:val="00643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2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2DE"/>
    <w:rPr>
      <w:smallCaps/>
      <w:color w:val="auto"/>
      <w:u w:val="single"/>
    </w:rPr>
  </w:style>
  <w:style w:type="character" w:styleId="IntenseReference">
    <w:name w:val="Intense Reference"/>
    <w:basedOn w:val="DefaultParagraphFont"/>
    <w:uiPriority w:val="32"/>
    <w:qFormat/>
    <w:rsid w:val="006432DE"/>
    <w:rPr>
      <w:b/>
      <w:bCs/>
      <w:smallCaps/>
      <w:color w:val="auto"/>
      <w:spacing w:val="5"/>
      <w:u w:val="single"/>
    </w:rPr>
  </w:style>
  <w:style w:type="paragraph" w:customStyle="1" w:styleId="2ColumnHeading">
    <w:name w:val="2Column Heading"/>
    <w:basedOn w:val="BodyText"/>
    <w:qFormat/>
    <w:rsid w:val="006432DE"/>
    <w:pPr>
      <w:spacing w:after="60"/>
      <w:ind w:left="-2268"/>
    </w:pPr>
    <w:rPr>
      <w:b/>
    </w:rPr>
  </w:style>
  <w:style w:type="paragraph" w:customStyle="1" w:styleId="Heading1TOC">
    <w:name w:val="Heading1 TOC"/>
    <w:basedOn w:val="Normal"/>
    <w:qFormat/>
    <w:rsid w:val="006432DE"/>
    <w:pPr>
      <w:spacing w:before="240" w:after="120"/>
    </w:pPr>
    <w:rPr>
      <w:rFonts w:ascii="Times New Roman" w:hAnsi="Times New Roman"/>
      <w:b/>
      <w:sz w:val="32"/>
    </w:rPr>
  </w:style>
  <w:style w:type="paragraph" w:customStyle="1" w:styleId="Heading2TOC">
    <w:name w:val="Heading2 TOC"/>
    <w:basedOn w:val="Normal"/>
    <w:qFormat/>
    <w:rsid w:val="006432DE"/>
    <w:pPr>
      <w:spacing w:before="240" w:after="60"/>
    </w:pPr>
    <w:rPr>
      <w:rFonts w:ascii="Times New Roman" w:hAnsi="Times New Roman"/>
      <w:b/>
      <w:sz w:val="28"/>
    </w:rPr>
  </w:style>
  <w:style w:type="character" w:customStyle="1" w:styleId="Underline">
    <w:name w:val="Underline"/>
    <w:basedOn w:val="DefaultParagraphFont"/>
    <w:qFormat/>
    <w:rsid w:val="006432DE"/>
    <w:rPr>
      <w:u w:val="single"/>
    </w:rPr>
  </w:style>
  <w:style w:type="paragraph" w:styleId="BalloonText">
    <w:name w:val="Balloon Text"/>
    <w:basedOn w:val="Normal"/>
    <w:link w:val="BalloonTextChar"/>
    <w:rsid w:val="006432DE"/>
    <w:rPr>
      <w:rFonts w:ascii="Tahoma" w:hAnsi="Tahoma" w:cs="Tahoma"/>
      <w:sz w:val="16"/>
      <w:szCs w:val="16"/>
    </w:rPr>
  </w:style>
  <w:style w:type="character" w:customStyle="1" w:styleId="BalloonTextChar">
    <w:name w:val="Balloon Text Char"/>
    <w:basedOn w:val="DefaultParagraphFont"/>
    <w:link w:val="BalloonText"/>
    <w:rsid w:val="006432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2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917</Words>
  <Characters>5491</Characters>
  <Application>Microsoft Office Word</Application>
  <DocSecurity>0</DocSecurity>
  <Lines>201</Lines>
  <Paragraphs>80</Paragraphs>
  <ScaleCrop>false</ScaleCrop>
  <Company>Author-it Software Corporation Ltd.</Company>
  <LinksUpToDate>false</LinksUpToDate>
  <CharactersWithSpaces>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MEA319B Inspect gas turbine engine systems and components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2012-05-27T09:04:00Z</dcterms:created>
  <dcterms:modified xsi:type="dcterms:W3CDTF">2012-05-27T09:04:00Z</dcterms:modified>
</cp:coreProperties>
</file>