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2699" w:rsidP="007D2699">
      <w:pPr>
        <w:pStyle w:val="Title"/>
      </w:pPr>
      <w:bookmarkStart w:id="0" w:name="_GoBack"/>
      <w:bookmarkEnd w:id="0"/>
      <w:r>
        <w:fldChar w:fldCharType="begin"/>
      </w:r>
      <w:r>
        <w:instrText xml:space="preserve"> TITLE   \* MERGEFORMAT </w:instrText>
      </w:r>
      <w:r>
        <w:fldChar w:fldCharType="separate"/>
      </w:r>
      <w:r>
        <w:t>MEA288A Repair or overhaul aircraft audio and visual systems and reproducers</w:t>
      </w:r>
      <w:r>
        <w:fldChar w:fldCharType="end"/>
      </w:r>
    </w:p>
    <w:p w:rsidR="007D2699" w:rsidP="007D2699">
      <w:pPr>
        <w:pStyle w:val="Version"/>
        <w:sectPr w:rsidSect="009D4C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D4C4A" w:rsidP="009D4C4A">
      <w:pPr>
        <w:pStyle w:val="SuperHeading"/>
      </w:pPr>
      <w:r w:rsidRPr="009D4C4A">
        <w:t>MEA288A Repair or overhaul aircraft audio and visual systems and reproducers</w:t>
      </w:r>
    </w:p>
    <w:p w:rsidR="00000000" w:rsidRPr="009D4C4A" w:rsidP="009D4C4A">
      <w:pPr>
        <w:pStyle w:val="SuperHeading"/>
      </w:pPr>
    </w:p>
    <w:p w:rsidR="00000000" w:rsidRPr="009D4C4A" w:rsidP="009D4C4A">
      <w:pPr>
        <w:pStyle w:val="Heading1"/>
      </w:pPr>
      <w:bookmarkStart w:id="1" w:name="O_405948"/>
      <w:bookmarkEnd w:id="1"/>
      <w:r w:rsidRPr="009D4C4A">
        <w:t>Modification History</w:t>
      </w:r>
    </w:p>
    <w:p w:rsidR="00000000" w:rsidRPr="009D4C4A" w:rsidP="009D4C4A">
      <w:pPr>
        <w:pStyle w:val="BodyText"/>
      </w:pPr>
      <w:r w:rsidRPr="009D4C4A">
        <w:t xml:space="preserve">Minor formatting and editorial changes made. Minor </w:t>
      </w:r>
      <w:r w:rsidRPr="009D4C4A">
        <w:t>clarification made in the unit descriptor.</w:t>
      </w:r>
    </w:p>
    <w:p w:rsidR="00000000" w:rsidRPr="009D4C4A" w:rsidP="009D4C4A">
      <w:pPr>
        <w:pStyle w:val="AllowPageBreak"/>
      </w:pPr>
    </w:p>
    <w:p w:rsidR="00000000" w:rsidRPr="009D4C4A" w:rsidP="009D4C4A">
      <w:pPr>
        <w:pStyle w:val="Heading1"/>
      </w:pPr>
      <w:bookmarkStart w:id="2" w:name="O_405944"/>
      <w:bookmarkEnd w:id="2"/>
      <w:r w:rsidRPr="009D4C4A">
        <w:t>Unit Descriptor</w:t>
      </w:r>
    </w:p>
    <w:tbl>
      <w:tblPr>
        <w:tblW w:w="0" w:type="auto"/>
        <w:tblLayout w:type="fixed"/>
        <w:tblCellMar>
          <w:left w:w="62" w:type="dxa"/>
          <w:right w:w="62" w:type="dxa"/>
        </w:tblCellMar>
        <w:tblLook w:val="0000"/>
      </w:tblPr>
      <w:tblGrid>
        <w:gridCol w:w="8550"/>
      </w:tblGrid>
      <w:tr w:rsidTr="007D2699">
        <w:tblPrEx>
          <w:tblW w:w="0" w:type="auto"/>
          <w:tblLayout w:type="fixed"/>
          <w:tblCellMar>
            <w:left w:w="62" w:type="dxa"/>
            <w:right w:w="62" w:type="dxa"/>
          </w:tblCellMar>
          <w:tblLook w:val="0000"/>
        </w:tblPrEx>
        <w:trPr>
          <w:tblHeader/>
        </w:trPr>
        <w:tc>
          <w:tcPr>
            <w:tcW w:w="8550" w:type="dxa"/>
            <w:tcBorders>
              <w:top w:val="nil"/>
              <w:left w:val="nil"/>
              <w:bottom w:val="nil"/>
              <w:right w:val="nil"/>
            </w:tcBorders>
            <w:tcMar>
              <w:top w:w="0" w:type="dxa"/>
              <w:left w:w="62" w:type="dxa"/>
              <w:bottom w:w="0" w:type="dxa"/>
              <w:right w:w="62" w:type="dxa"/>
            </w:tcMar>
          </w:tcPr>
          <w:p w:rsidR="00000000" w:rsidRPr="009D4C4A" w:rsidP="009D4C4A">
            <w:pPr>
              <w:pStyle w:val="BodyText"/>
            </w:pPr>
            <w:r w:rsidRPr="009D4C4A">
              <w:t>This unit of competency is part of the Avionic Certificate IV (Component Workshop Maintenance Stream) training pathway. It covers the competencies required to repair or overhaul in</w:t>
            </w:r>
            <w:r w:rsidRPr="009D4C4A">
              <w:t>-flight passenger entertainment audio and video systems and reproducers. This unit is used in workplaces that operate under the airworthiness regulatory systems of the ADF and CASA.</w:t>
            </w:r>
          </w:p>
        </w:tc>
      </w:tr>
    </w:tbl>
    <w:p w:rsidR="00000000" w:rsidRPr="009D4C4A" w:rsidP="009D4C4A">
      <w:pPr>
        <w:pStyle w:val="BodyText"/>
      </w:pPr>
    </w:p>
    <w:p w:rsidR="00000000" w:rsidRPr="009D4C4A" w:rsidP="009D4C4A">
      <w:pPr>
        <w:pStyle w:val="AllowPageBreak"/>
      </w:pPr>
    </w:p>
    <w:p w:rsidR="00000000" w:rsidRPr="009D4C4A" w:rsidP="009D4C4A">
      <w:pPr>
        <w:pStyle w:val="Heading1"/>
      </w:pPr>
      <w:bookmarkStart w:id="3" w:name="O_405957"/>
      <w:bookmarkEnd w:id="3"/>
      <w:r w:rsidRPr="009D4C4A">
        <w:t>Application of the Unit</w:t>
      </w:r>
    </w:p>
    <w:tbl>
      <w:tblPr>
        <w:tblW w:w="0" w:type="auto"/>
        <w:tblLayout w:type="fixed"/>
        <w:tblCellMar>
          <w:left w:w="62" w:type="dxa"/>
          <w:right w:w="62" w:type="dxa"/>
        </w:tblCellMar>
        <w:tblLook w:val="0000"/>
      </w:tblPr>
      <w:tblGrid>
        <w:gridCol w:w="8640"/>
      </w:tblGrid>
      <w:tr w:rsidTr="007D269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D4C4A" w:rsidP="009D4C4A">
            <w:pPr>
              <w:pStyle w:val="BodyText"/>
            </w:pPr>
            <w:r w:rsidRPr="009D4C4A">
              <w:t>This unit requires application of hand skills and knowledge of component repair and overhaul procedures relating to aircraft analogue and digital passenger entertainment electronic equipment components.</w:t>
            </w:r>
          </w:p>
          <w:p w:rsidR="00000000" w:rsidRPr="009D4C4A" w:rsidP="009D4C4A">
            <w:pPr>
              <w:pStyle w:val="BodyText"/>
            </w:pPr>
            <w:r w:rsidRPr="009D4C4A">
              <w:t>Applications include fixed and rotary wing aircraft c</w:t>
            </w:r>
            <w:r w:rsidRPr="009D4C4A">
              <w:t>omponents repaired or overhauled in aviation maintenance workshops.</w:t>
            </w:r>
          </w:p>
        </w:tc>
      </w:tr>
    </w:tbl>
    <w:p w:rsidR="00000000" w:rsidRPr="009D4C4A" w:rsidP="009D4C4A">
      <w:pPr>
        <w:pStyle w:val="BodyText"/>
      </w:pPr>
    </w:p>
    <w:p w:rsidR="00000000" w:rsidRPr="009D4C4A" w:rsidP="009D4C4A">
      <w:pPr>
        <w:pStyle w:val="AllowPageBreak"/>
      </w:pPr>
    </w:p>
    <w:p w:rsidR="00000000" w:rsidRPr="009D4C4A" w:rsidP="009D4C4A">
      <w:pPr>
        <w:pStyle w:val="Heading1"/>
      </w:pPr>
      <w:bookmarkStart w:id="4" w:name="O_405949"/>
      <w:bookmarkEnd w:id="4"/>
      <w:r w:rsidRPr="009D4C4A">
        <w:t>Licensing/Regulatory Information</w:t>
      </w:r>
    </w:p>
    <w:p w:rsidR="00000000" w:rsidRPr="009D4C4A" w:rsidP="009D4C4A">
      <w:pPr>
        <w:pStyle w:val="BodyText"/>
      </w:pPr>
      <w:r w:rsidRPr="009D4C4A">
        <w:t>Not applicable.</w:t>
      </w:r>
    </w:p>
    <w:p w:rsidR="00000000" w:rsidRPr="009D4C4A" w:rsidP="009D4C4A">
      <w:pPr>
        <w:pStyle w:val="AllowPageBreak"/>
      </w:pPr>
    </w:p>
    <w:p w:rsidR="00000000" w:rsidRPr="009D4C4A" w:rsidP="009D4C4A">
      <w:pPr>
        <w:pStyle w:val="Heading1"/>
      </w:pPr>
      <w:bookmarkStart w:id="5" w:name="O_405947"/>
      <w:bookmarkEnd w:id="5"/>
      <w:r w:rsidRPr="009D4C4A">
        <w:t>Pre-Requisites</w:t>
      </w:r>
    </w:p>
    <w:p w:rsidR="00000000" w:rsidRPr="009D4C4A" w:rsidP="009D4C4A">
      <w:pPr>
        <w:pStyle w:val="BodyText"/>
      </w:pPr>
      <w:r w:rsidRPr="009D4C4A">
        <w:t>Not applicable</w:t>
      </w:r>
    </w:p>
    <w:p w:rsidR="00000000" w:rsidRPr="009D4C4A" w:rsidP="009D4C4A">
      <w:pPr>
        <w:pStyle w:val="AllowPageBreak"/>
      </w:pPr>
    </w:p>
    <w:p w:rsidR="00000000" w:rsidRPr="009D4C4A" w:rsidP="009D4C4A">
      <w:pPr>
        <w:pStyle w:val="Heading1"/>
      </w:pPr>
      <w:bookmarkStart w:id="6" w:name="O_405952"/>
      <w:bookmarkEnd w:id="6"/>
      <w:r w:rsidRPr="009D4C4A">
        <w:t>Employability Skills Information</w:t>
      </w:r>
    </w:p>
    <w:tbl>
      <w:tblPr>
        <w:tblW w:w="0" w:type="auto"/>
        <w:tblLayout w:type="fixed"/>
        <w:tblCellMar>
          <w:left w:w="62" w:type="dxa"/>
          <w:right w:w="62" w:type="dxa"/>
        </w:tblCellMar>
        <w:tblLook w:val="0000"/>
      </w:tblPr>
      <w:tblGrid>
        <w:gridCol w:w="5720"/>
      </w:tblGrid>
      <w:tr w:rsidTr="007D2699">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9D4C4A" w:rsidP="009D4C4A">
            <w:pPr>
              <w:pStyle w:val="BodyText"/>
            </w:pPr>
            <w:r w:rsidRPr="009D4C4A">
              <w:t>This unit contains empl</w:t>
            </w:r>
            <w:r w:rsidRPr="009D4C4A">
              <w:t>oyability skills.</w:t>
            </w:r>
          </w:p>
        </w:tc>
      </w:tr>
    </w:tbl>
    <w:p w:rsidR="00000000" w:rsidRPr="009D4C4A" w:rsidP="009D4C4A">
      <w:pPr>
        <w:pStyle w:val="BodyText"/>
      </w:pPr>
    </w:p>
    <w:p w:rsidR="00000000" w:rsidRPr="009D4C4A" w:rsidP="009D4C4A">
      <w:pPr>
        <w:pStyle w:val="AllowPageBreak"/>
      </w:pPr>
    </w:p>
    <w:p w:rsidR="00000000" w:rsidRPr="009D4C4A" w:rsidP="009D4C4A">
      <w:pPr>
        <w:pStyle w:val="Heading1"/>
      </w:pPr>
      <w:bookmarkStart w:id="7" w:name="O_405953"/>
      <w:bookmarkEnd w:id="7"/>
      <w:r w:rsidRPr="009D4C4A">
        <w:t>Elements and Performance Criteria Pre-Content</w:t>
      </w:r>
    </w:p>
    <w:tbl>
      <w:tblPr>
        <w:tblW w:w="0" w:type="auto"/>
        <w:tblLayout w:type="fixed"/>
        <w:tblCellMar>
          <w:left w:w="62" w:type="dxa"/>
          <w:right w:w="62" w:type="dxa"/>
        </w:tblCellMar>
        <w:tblLook w:val="0000"/>
      </w:tblPr>
      <w:tblGrid>
        <w:gridCol w:w="2575"/>
        <w:gridCol w:w="6605"/>
      </w:tblGrid>
      <w:tr w:rsidTr="007D2699">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C4A">
            <w:pPr>
              <w:pStyle w:val="BodyText"/>
              <w:rPr>
                <w:lang w:val="en-NZ"/>
              </w:rPr>
            </w:pPr>
            <w:r w:rsidRPr="009D4C4A">
              <w:t>Elements describe the essential outcomes of a unit of competency.</w:t>
            </w:r>
          </w:p>
        </w:tc>
        <w:tc>
          <w:tcPr>
            <w:tcW w:w="6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C4A" w:rsidP="009D4C4A">
            <w:pPr>
              <w:pStyle w:val="BodyText"/>
            </w:pPr>
            <w:r w:rsidRPr="009D4C4A">
              <w:t>Performance criteria describe the performance needed to demonstrate achievement of the element. Where bold italicised text is used, further information is detailed in the required skills and knowledge section and the range statement. Assessment of performa</w:t>
            </w:r>
            <w:r w:rsidRPr="009D4C4A">
              <w:t>nce is to be consistent with the evidence guide.</w:t>
            </w:r>
          </w:p>
        </w:tc>
      </w:tr>
    </w:tbl>
    <w:p w:rsidR="00000000" w:rsidRPr="009D4C4A" w:rsidP="009D4C4A">
      <w:pPr>
        <w:pStyle w:val="BodyText"/>
      </w:pPr>
    </w:p>
    <w:p w:rsidR="00000000" w:rsidRPr="009D4C4A" w:rsidP="009D4C4A">
      <w:pPr>
        <w:pStyle w:val="AllowPageBreak"/>
      </w:pPr>
    </w:p>
    <w:p w:rsidR="00000000" w:rsidRPr="009D4C4A" w:rsidP="009D4C4A">
      <w:pPr>
        <w:pStyle w:val="Heading1"/>
      </w:pPr>
      <w:bookmarkStart w:id="8" w:name="O_405954"/>
      <w:bookmarkEnd w:id="8"/>
      <w:r w:rsidRPr="009D4C4A">
        <w:t>Elements and Performance Criteria</w:t>
      </w:r>
    </w:p>
    <w:tbl>
      <w:tblPr>
        <w:tblW w:w="0" w:type="auto"/>
        <w:tblCellMar>
          <w:left w:w="62" w:type="dxa"/>
          <w:right w:w="62" w:type="dxa"/>
        </w:tblCellMar>
        <w:tblLook w:val="0000"/>
      </w:tblPr>
      <w:tblGrid>
        <w:gridCol w:w="1893"/>
        <w:gridCol w:w="7303"/>
      </w:tblGrid>
      <w:tr w:rsidTr="007D26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4C4A">
            <w:pPr>
              <w:pStyle w:val="List"/>
              <w:rPr>
                <w:lang w:val="en-NZ"/>
              </w:rPr>
            </w:pPr>
            <w:r w:rsidRPr="009D4C4A">
              <w:t>1.</w:t>
            </w:r>
            <w:r w:rsidRPr="009D4C4A">
              <w:tab/>
              <w:t>Determine requirements</w:t>
            </w:r>
          </w:p>
        </w:tc>
        <w:tc>
          <w:tcPr>
            <w:tcW w:w="0" w:type="auto"/>
            <w:tcBorders>
              <w:top w:val="nil"/>
              <w:left w:val="nil"/>
              <w:bottom w:val="nil"/>
              <w:right w:val="nil"/>
            </w:tcBorders>
            <w:tcMar>
              <w:top w:w="0" w:type="dxa"/>
              <w:left w:w="62" w:type="dxa"/>
              <w:bottom w:w="0" w:type="dxa"/>
              <w:right w:w="62" w:type="dxa"/>
            </w:tcMar>
          </w:tcPr>
          <w:p w:rsidR="00000000" w:rsidRPr="009D4C4A" w:rsidP="009D4C4A">
            <w:pPr>
              <w:pStyle w:val="List2"/>
            </w:pPr>
            <w:r w:rsidRPr="009D4C4A">
              <w:t>1.1.</w:t>
            </w:r>
            <w:r w:rsidRPr="009D4C4A">
              <w:tab/>
            </w:r>
            <w:r w:rsidRPr="009D4C4A">
              <w:rPr>
                <w:rStyle w:val="BoldandItalics"/>
              </w:rPr>
              <w:t>Audio and video system and reproducer</w:t>
            </w:r>
            <w:r w:rsidRPr="009D4C4A">
              <w:t xml:space="preserve"> component </w:t>
            </w:r>
            <w:r w:rsidRPr="009D4C4A">
              <w:t>defect reports (removal tags) or customer order are correctly interpreted and matched by part and serial numbers</w:t>
            </w:r>
          </w:p>
          <w:p w:rsidR="00000000" w:rsidRPr="009D4C4A" w:rsidP="009D4C4A">
            <w:pPr>
              <w:pStyle w:val="List2"/>
            </w:pPr>
            <w:r w:rsidRPr="009D4C4A">
              <w:t>1.2.</w:t>
            </w:r>
            <w:r w:rsidRPr="009D4C4A">
              <w:tab/>
            </w:r>
            <w:r w:rsidRPr="009D4C4A">
              <w:t>Circuitry is correctly prepared and connected to the applicable test equipment and is functionally tested or cycled through the prescribed test procedures in accordance with the maintenance documentation for evidence of serviceability or malfunction</w:t>
            </w:r>
          </w:p>
          <w:p w:rsidR="00000000" w:rsidRPr="009D4C4A" w:rsidP="009D4C4A">
            <w:pPr>
              <w:pStyle w:val="List2"/>
            </w:pPr>
            <w:r w:rsidRPr="009D4C4A">
              <w:t>1.3.</w:t>
            </w:r>
            <w:r w:rsidRPr="009D4C4A">
              <w:tab/>
              <w:t>M</w:t>
            </w:r>
            <w:r w:rsidRPr="009D4C4A">
              <w:t>odification status is clearly established to assist in determining the overhaul requirements for the components</w:t>
            </w:r>
          </w:p>
          <w:p w:rsidR="00000000" w:rsidP="009D4C4A">
            <w:pPr>
              <w:pStyle w:val="List2"/>
              <w:rPr>
                <w:lang w:val="en-NZ"/>
              </w:rPr>
            </w:pPr>
            <w:r w:rsidRPr="009D4C4A">
              <w:t>1.4.</w:t>
            </w:r>
            <w:r w:rsidRPr="009D4C4A">
              <w:tab/>
              <w:t>Extent of overhaul or repair is correctly identified and documented</w:t>
            </w:r>
          </w:p>
        </w:tc>
      </w:tr>
      <w:tr w:rsidTr="007D26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4C4A">
            <w:pPr>
              <w:pStyle w:val="List"/>
              <w:rPr>
                <w:lang w:val="en-NZ"/>
              </w:rPr>
            </w:pPr>
            <w:r w:rsidRPr="009D4C4A">
              <w:t>2.</w:t>
            </w:r>
            <w:r w:rsidRPr="009D4C4A">
              <w:tab/>
              <w:t>Dismantle and inspect audio and video system and reproducer compone</w:t>
            </w:r>
            <w:r w:rsidRPr="009D4C4A">
              <w:t>nts</w:t>
            </w:r>
          </w:p>
        </w:tc>
        <w:tc>
          <w:tcPr>
            <w:tcW w:w="0" w:type="auto"/>
            <w:tcBorders>
              <w:top w:val="nil"/>
              <w:left w:val="nil"/>
              <w:bottom w:val="nil"/>
              <w:right w:val="nil"/>
            </w:tcBorders>
            <w:tcMar>
              <w:top w:w="0" w:type="dxa"/>
              <w:left w:w="62" w:type="dxa"/>
              <w:bottom w:w="0" w:type="dxa"/>
              <w:right w:w="62" w:type="dxa"/>
            </w:tcMar>
          </w:tcPr>
          <w:p w:rsidR="00000000" w:rsidRPr="009D4C4A" w:rsidP="009D4C4A">
            <w:pPr>
              <w:pStyle w:val="List2"/>
            </w:pPr>
            <w:r w:rsidRPr="009D4C4A">
              <w:t>2.1.</w:t>
            </w:r>
            <w:r w:rsidRPr="009D4C4A">
              <w:tab/>
              <w:t>Component parts are dismantled in accordance with maintenance manuals</w:t>
            </w:r>
          </w:p>
          <w:p w:rsidR="00000000" w:rsidRPr="009D4C4A" w:rsidP="009D4C4A">
            <w:pPr>
              <w:pStyle w:val="List2"/>
            </w:pPr>
            <w:r w:rsidRPr="009D4C4A">
              <w:t>2.2.</w:t>
            </w:r>
            <w:r w:rsidRPr="009D4C4A">
              <w:tab/>
              <w:t>Component parts are assessed for serviceability in accordance with the relevant maintenance documentation</w:t>
            </w:r>
          </w:p>
          <w:p w:rsidR="00000000" w:rsidRPr="009D4C4A" w:rsidP="009D4C4A">
            <w:pPr>
              <w:pStyle w:val="List2"/>
            </w:pPr>
            <w:r w:rsidRPr="009D4C4A">
              <w:t>2.3.</w:t>
            </w:r>
            <w:r w:rsidRPr="009D4C4A">
              <w:tab/>
              <w:t>Parts requiring specialist repair are tagged and repair instr</w:t>
            </w:r>
            <w:r w:rsidRPr="009D4C4A">
              <w:t>uctions are accurately specified</w:t>
            </w:r>
          </w:p>
          <w:p w:rsidR="00000000" w:rsidP="009D4C4A">
            <w:pPr>
              <w:pStyle w:val="List2"/>
              <w:rPr>
                <w:lang w:val="en-NZ"/>
              </w:rPr>
            </w:pPr>
            <w:r w:rsidRPr="009D4C4A">
              <w:t>2.4.</w:t>
            </w:r>
            <w:r w:rsidRPr="009D4C4A">
              <w:tab/>
              <w:t>Parts lists are compiled and processed in accordance with standard enterprise procedures</w:t>
            </w:r>
          </w:p>
        </w:tc>
      </w:tr>
      <w:tr w:rsidTr="007D26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4C4A">
            <w:pPr>
              <w:pStyle w:val="List"/>
              <w:rPr>
                <w:lang w:val="en-NZ"/>
              </w:rPr>
            </w:pPr>
            <w:r w:rsidRPr="009D4C4A">
              <w:t>3.</w:t>
            </w:r>
            <w:r w:rsidRPr="009D4C4A">
              <w:tab/>
              <w:t>Repair and/or modify audio and video system and reproducer components</w:t>
            </w:r>
          </w:p>
        </w:tc>
        <w:tc>
          <w:tcPr>
            <w:tcW w:w="0" w:type="auto"/>
            <w:tcBorders>
              <w:top w:val="nil"/>
              <w:left w:val="nil"/>
              <w:bottom w:val="nil"/>
              <w:right w:val="nil"/>
            </w:tcBorders>
            <w:tcMar>
              <w:top w:w="0" w:type="dxa"/>
              <w:left w:w="62" w:type="dxa"/>
              <w:bottom w:w="0" w:type="dxa"/>
              <w:right w:w="62" w:type="dxa"/>
            </w:tcMar>
          </w:tcPr>
          <w:p w:rsidR="00000000" w:rsidRPr="009D4C4A" w:rsidP="009D4C4A">
            <w:pPr>
              <w:pStyle w:val="List2"/>
            </w:pPr>
            <w:r w:rsidRPr="009D4C4A">
              <w:t>3.1.</w:t>
            </w:r>
            <w:r w:rsidRPr="009D4C4A">
              <w:tab/>
              <w:t>Component parts are repaired or replaced in accord</w:t>
            </w:r>
            <w:r w:rsidRPr="009D4C4A">
              <w:t>ance with the relevant maintenance documentation</w:t>
            </w:r>
          </w:p>
          <w:p w:rsidR="00000000" w:rsidP="009D4C4A">
            <w:pPr>
              <w:pStyle w:val="List2"/>
              <w:rPr>
                <w:lang w:val="en-NZ"/>
              </w:rPr>
            </w:pPr>
            <w:r w:rsidRPr="009D4C4A">
              <w:t>3.2.</w:t>
            </w:r>
            <w:r w:rsidRPr="009D4C4A">
              <w:tab/>
              <w:t>Modification of components or parts is undertaken, where required, by relevant manufacturers' bulletins or procedures</w:t>
            </w:r>
          </w:p>
        </w:tc>
      </w:tr>
      <w:tr w:rsidTr="007D26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4C4A">
            <w:pPr>
              <w:pStyle w:val="List"/>
              <w:rPr>
                <w:lang w:val="en-NZ"/>
              </w:rPr>
            </w:pPr>
            <w:r w:rsidRPr="009D4C4A">
              <w:t>4.</w:t>
            </w:r>
            <w:r w:rsidRPr="009D4C4A">
              <w:tab/>
              <w:t>Assemble, test and adjust audio and video system and reproducer components</w:t>
            </w:r>
          </w:p>
        </w:tc>
        <w:tc>
          <w:tcPr>
            <w:tcW w:w="0" w:type="auto"/>
            <w:tcBorders>
              <w:top w:val="nil"/>
              <w:left w:val="nil"/>
              <w:bottom w:val="nil"/>
              <w:right w:val="nil"/>
            </w:tcBorders>
            <w:tcMar>
              <w:top w:w="0" w:type="dxa"/>
              <w:left w:w="62" w:type="dxa"/>
              <w:bottom w:w="0" w:type="dxa"/>
              <w:right w:w="62" w:type="dxa"/>
            </w:tcMar>
          </w:tcPr>
          <w:p w:rsidR="00000000" w:rsidRPr="009D4C4A" w:rsidP="009D4C4A">
            <w:pPr>
              <w:pStyle w:val="List2"/>
            </w:pPr>
            <w:r w:rsidRPr="009D4C4A">
              <w:t>4.1.</w:t>
            </w:r>
            <w:r w:rsidRPr="009D4C4A">
              <w:tab/>
            </w:r>
            <w:r w:rsidRPr="009D4C4A">
              <w:t>Assembly of component parts is carried out in accordance with specified tolerances and the applicable maintenance documents</w:t>
            </w:r>
          </w:p>
          <w:p w:rsidR="00000000" w:rsidRPr="009D4C4A" w:rsidP="009D4C4A">
            <w:pPr>
              <w:pStyle w:val="List2"/>
            </w:pPr>
            <w:r w:rsidRPr="009D4C4A">
              <w:t>4.2.</w:t>
            </w:r>
            <w:r w:rsidRPr="009D4C4A">
              <w:tab/>
              <w:t xml:space="preserve">Assembled components are tested and adjusted in accordance with the applicable maintenance documentation using the appropriate </w:t>
            </w:r>
            <w:r w:rsidRPr="009D4C4A">
              <w:t>test equipment</w:t>
            </w:r>
          </w:p>
          <w:p w:rsidR="00000000" w:rsidRPr="009D4C4A" w:rsidP="009D4C4A">
            <w:pPr>
              <w:pStyle w:val="List2"/>
            </w:pPr>
            <w:r w:rsidRPr="009D4C4A">
              <w:t>4.3.</w:t>
            </w:r>
            <w:r w:rsidRPr="009D4C4A">
              <w:tab/>
              <w:t>Required maintenance documentation and modification records are completed and processed in accordance with standard enterprise procedures</w:t>
            </w:r>
          </w:p>
        </w:tc>
      </w:tr>
    </w:tbl>
    <w:p w:rsidR="00000000" w:rsidRPr="009D4C4A" w:rsidP="009D4C4A">
      <w:pPr>
        <w:pStyle w:val="BodyText"/>
      </w:pPr>
    </w:p>
    <w:p w:rsidR="00000000" w:rsidRPr="009D4C4A" w:rsidP="009D4C4A">
      <w:pPr>
        <w:pStyle w:val="AllowPageBreak"/>
      </w:pPr>
    </w:p>
    <w:p w:rsidR="00000000" w:rsidRPr="009D4C4A" w:rsidP="009D4C4A">
      <w:pPr>
        <w:pStyle w:val="Heading1"/>
      </w:pPr>
      <w:bookmarkStart w:id="9" w:name="O_405945"/>
      <w:bookmarkEnd w:id="9"/>
      <w:r w:rsidRPr="009D4C4A">
        <w:t>Required Skills and Knowledge</w:t>
      </w:r>
    </w:p>
    <w:tbl>
      <w:tblPr>
        <w:tblW w:w="0" w:type="auto"/>
        <w:tblLayout w:type="fixed"/>
        <w:tblCellMar>
          <w:left w:w="62" w:type="dxa"/>
          <w:right w:w="62" w:type="dxa"/>
        </w:tblCellMar>
        <w:tblLook w:val="0000"/>
      </w:tblPr>
      <w:tblGrid>
        <w:gridCol w:w="8522"/>
      </w:tblGrid>
      <w:tr w:rsidTr="007D269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D4C4A">
            <w:pPr>
              <w:pStyle w:val="BodyText"/>
              <w:rPr>
                <w:lang w:val="en-NZ"/>
              </w:rPr>
            </w:pPr>
            <w:r w:rsidRPr="009D4C4A">
              <w:rPr>
                <w:rStyle w:val="SpecialBold"/>
              </w:rPr>
              <w:t>Required skills</w:t>
            </w:r>
          </w:p>
        </w:tc>
      </w:tr>
      <w:tr w:rsidTr="007D269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D4C4A" w:rsidP="009D4C4A">
            <w:pPr>
              <w:pStyle w:val="BodyText"/>
            </w:pPr>
            <w:r w:rsidRPr="009D4C4A">
              <w:t>Look for evidence that confirms skills in:</w:t>
            </w:r>
          </w:p>
          <w:p w:rsidR="00000000" w:rsidRPr="009D4C4A" w:rsidP="009D4C4A">
            <w:pPr>
              <w:pStyle w:val="ListBullet"/>
            </w:pPr>
            <w:r w:rsidRPr="009D4C4A">
              <w:t>applying relevant OHS practices</w:t>
            </w:r>
          </w:p>
          <w:p w:rsidR="00000000" w:rsidRPr="009D4C4A" w:rsidP="009D4C4A">
            <w:pPr>
              <w:pStyle w:val="ListBullet"/>
            </w:pPr>
            <w:r w:rsidRPr="009D4C4A">
              <w:t>using approved repair/overhaul procedures and processes relating to analogue and digital circuitry</w:t>
            </w:r>
          </w:p>
          <w:p w:rsidR="00000000" w:rsidRPr="009D4C4A" w:rsidP="009D4C4A">
            <w:pPr>
              <w:pStyle w:val="ListBullet"/>
            </w:pPr>
            <w:r w:rsidRPr="009D4C4A">
              <w:t>recognising the serviceability state and repair or overhaul requirements for digit</w:t>
            </w:r>
            <w:r w:rsidRPr="009D4C4A">
              <w:t>al electronic interface systems:</w:t>
            </w:r>
          </w:p>
          <w:p w:rsidR="00000000" w:rsidRPr="009D4C4A" w:rsidP="009D4C4A">
            <w:pPr>
              <w:pStyle w:val="ListBullet2"/>
            </w:pPr>
            <w:r w:rsidRPr="009D4C4A">
              <w:t>VCRs</w:t>
            </w:r>
          </w:p>
          <w:p w:rsidR="00000000" w:rsidRPr="009D4C4A" w:rsidP="009D4C4A">
            <w:pPr>
              <w:pStyle w:val="ListBullet2"/>
            </w:pPr>
            <w:r w:rsidRPr="009D4C4A">
              <w:t>video display systems</w:t>
            </w:r>
          </w:p>
          <w:p w:rsidR="00000000" w:rsidRPr="009D4C4A" w:rsidP="009D4C4A">
            <w:pPr>
              <w:pStyle w:val="ListBullet2"/>
            </w:pPr>
            <w:r w:rsidRPr="009D4C4A">
              <w:t>CRT display systems</w:t>
            </w:r>
          </w:p>
          <w:p w:rsidR="00000000" w:rsidRPr="009D4C4A" w:rsidP="009D4C4A">
            <w:pPr>
              <w:pStyle w:val="ListBullet2"/>
            </w:pPr>
            <w:r w:rsidRPr="009D4C4A">
              <w:t>symbol generators</w:t>
            </w:r>
          </w:p>
          <w:p w:rsidR="00000000" w:rsidRPr="009D4C4A" w:rsidP="009D4C4A">
            <w:pPr>
              <w:pStyle w:val="ListBullet2"/>
            </w:pPr>
            <w:r w:rsidRPr="009D4C4A">
              <w:t>audio amplifiers</w:t>
            </w:r>
          </w:p>
          <w:p w:rsidR="00000000" w:rsidRPr="009D4C4A" w:rsidP="009D4C4A">
            <w:pPr>
              <w:pStyle w:val="ListBullet2"/>
            </w:pPr>
            <w:r w:rsidRPr="009D4C4A">
              <w:t>audio selectors</w:t>
            </w:r>
          </w:p>
          <w:p w:rsidR="00000000" w:rsidRPr="009D4C4A" w:rsidP="009D4C4A">
            <w:pPr>
              <w:pStyle w:val="ListBullet2"/>
            </w:pPr>
            <w:r w:rsidRPr="009D4C4A">
              <w:t>voice recorders</w:t>
            </w:r>
          </w:p>
          <w:p w:rsidR="00000000" w:rsidRPr="009D4C4A" w:rsidP="009D4C4A">
            <w:pPr>
              <w:pStyle w:val="ListBullet2"/>
            </w:pPr>
            <w:r w:rsidRPr="009D4C4A">
              <w:t>microphones</w:t>
            </w:r>
          </w:p>
          <w:p w:rsidR="00000000" w:rsidRPr="009D4C4A" w:rsidP="009D4C4A">
            <w:pPr>
              <w:pStyle w:val="ListBullet2"/>
            </w:pPr>
            <w:r w:rsidRPr="009D4C4A">
              <w:t>head sets</w:t>
            </w:r>
          </w:p>
          <w:p w:rsidR="00000000" w:rsidRPr="009D4C4A" w:rsidP="009D4C4A">
            <w:pPr>
              <w:pStyle w:val="ListBullet2"/>
            </w:pPr>
            <w:r w:rsidRPr="009D4C4A">
              <w:t>PCUs</w:t>
            </w:r>
          </w:p>
          <w:p w:rsidR="00000000" w:rsidRPr="009D4C4A" w:rsidP="009D4C4A">
            <w:pPr>
              <w:pStyle w:val="ListBullet2"/>
            </w:pPr>
            <w:r w:rsidRPr="009D4C4A">
              <w:t>tape reproducers (and tape reproduction)</w:t>
            </w:r>
          </w:p>
          <w:p w:rsidR="00000000" w:rsidRPr="009D4C4A" w:rsidP="009D4C4A">
            <w:pPr>
              <w:pStyle w:val="ListBullet"/>
            </w:pPr>
            <w:r w:rsidRPr="009D4C4A">
              <w:t>applying logic processes, and using test equipment and appropriate wiring diagrams and manuals to isolate component faults</w:t>
            </w:r>
          </w:p>
          <w:p w:rsidR="00000000" w:rsidP="009D4C4A">
            <w:pPr>
              <w:pStyle w:val="ListBullet"/>
              <w:rPr>
                <w:lang w:val="en-NZ"/>
              </w:rPr>
            </w:pPr>
            <w:r w:rsidRPr="009D4C4A">
              <w:t>performing component testing to isolate/confirm component fault and assess post-repair/overhaul serviceability</w:t>
            </w:r>
          </w:p>
        </w:tc>
      </w:tr>
      <w:tr w:rsidTr="007D269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D4C4A">
            <w:pPr>
              <w:pStyle w:val="BodyText"/>
              <w:rPr>
                <w:lang w:val="en-NZ"/>
              </w:rPr>
            </w:pPr>
            <w:r w:rsidRPr="009D4C4A">
              <w:rPr>
                <w:rStyle w:val="SpecialBold"/>
              </w:rPr>
              <w:t>Required knowledge</w:t>
            </w:r>
          </w:p>
        </w:tc>
      </w:tr>
      <w:tr w:rsidTr="007D269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D4C4A" w:rsidP="009D4C4A">
            <w:pPr>
              <w:pStyle w:val="BodyText"/>
            </w:pPr>
            <w:r w:rsidRPr="009D4C4A">
              <w:t>Look for evidence that confirms knowledge of:</w:t>
            </w:r>
          </w:p>
          <w:p w:rsidR="00000000" w:rsidRPr="009D4C4A" w:rsidP="009D4C4A">
            <w:pPr>
              <w:pStyle w:val="ListBullet"/>
            </w:pPr>
            <w:r w:rsidRPr="009D4C4A">
              <w:t>component and system operation</w:t>
            </w:r>
          </w:p>
          <w:p w:rsidR="00000000" w:rsidRPr="009D4C4A" w:rsidP="009D4C4A">
            <w:pPr>
              <w:pStyle w:val="ListBullet"/>
            </w:pPr>
            <w:r w:rsidRPr="009D4C4A">
              <w:t>explaining the basic function and operation of audio and visual and reproducer components to enable testing for fault isolation/confirmation to determine repair or overhaul requir</w:t>
            </w:r>
            <w:r w:rsidRPr="009D4C4A">
              <w:t>ements, and serviceability status post-repair or overhaul</w:t>
            </w:r>
          </w:p>
          <w:p w:rsidR="00000000" w:rsidRPr="009D4C4A" w:rsidP="009D4C4A">
            <w:pPr>
              <w:pStyle w:val="ListBullet"/>
            </w:pPr>
            <w:r w:rsidRPr="009D4C4A">
              <w:t>explaining basic principles/functions relating to audio and visual and reproducer components and associated with:</w:t>
            </w:r>
          </w:p>
          <w:p w:rsidR="00000000" w:rsidRPr="009D4C4A" w:rsidP="009D4C4A">
            <w:pPr>
              <w:pStyle w:val="ListBullet2"/>
            </w:pPr>
            <w:r w:rsidRPr="009D4C4A">
              <w:t>advanced analogue fundamentals</w:t>
            </w:r>
          </w:p>
          <w:p w:rsidR="00000000" w:rsidRPr="009D4C4A" w:rsidP="009D4C4A">
            <w:pPr>
              <w:pStyle w:val="ListBullet2"/>
            </w:pPr>
            <w:r w:rsidRPr="009D4C4A">
              <w:t>basic logic and semiconductor theory</w:t>
            </w:r>
          </w:p>
          <w:p w:rsidR="00000000" w:rsidRPr="009D4C4A" w:rsidP="009D4C4A">
            <w:pPr>
              <w:pStyle w:val="ListBullet2"/>
            </w:pPr>
            <w:r w:rsidRPr="009D4C4A">
              <w:t>digital fundame</w:t>
            </w:r>
            <w:r w:rsidRPr="009D4C4A">
              <w:t>ntals</w:t>
            </w:r>
          </w:p>
          <w:p w:rsidR="00000000" w:rsidRPr="009D4C4A" w:rsidP="009D4C4A">
            <w:pPr>
              <w:pStyle w:val="ListBullet2"/>
            </w:pPr>
            <w:r w:rsidRPr="009D4C4A">
              <w:t>ESD precautions</w:t>
            </w:r>
          </w:p>
          <w:p w:rsidR="00000000" w:rsidRPr="009D4C4A" w:rsidP="009D4C4A">
            <w:pPr>
              <w:pStyle w:val="ListBullet2"/>
            </w:pPr>
            <w:r w:rsidRPr="009D4C4A">
              <w:t>AC and DC electrical systems</w:t>
            </w:r>
          </w:p>
          <w:p w:rsidR="00000000" w:rsidRPr="009D4C4A" w:rsidP="009D4C4A">
            <w:pPr>
              <w:pStyle w:val="ListBullet2"/>
            </w:pPr>
            <w:r w:rsidRPr="009D4C4A">
              <w:t>video display theory</w:t>
            </w:r>
          </w:p>
          <w:p w:rsidR="00000000" w:rsidRPr="009D4C4A" w:rsidP="009D4C4A">
            <w:pPr>
              <w:pStyle w:val="ListBullet2"/>
            </w:pPr>
            <w:r w:rsidRPr="009D4C4A">
              <w:t>video recorder theory</w:t>
            </w:r>
          </w:p>
          <w:p w:rsidR="00000000" w:rsidRPr="009D4C4A" w:rsidP="009D4C4A">
            <w:pPr>
              <w:pStyle w:val="ListBullet2"/>
            </w:pPr>
            <w:r w:rsidRPr="009D4C4A">
              <w:t>cleaning and maintenance techniques for video and recorder heads</w:t>
            </w:r>
          </w:p>
          <w:p w:rsidR="00000000" w:rsidRPr="009D4C4A" w:rsidP="009D4C4A">
            <w:pPr>
              <w:pStyle w:val="ListBullet2"/>
            </w:pPr>
            <w:r w:rsidRPr="009D4C4A">
              <w:t>aircraft display systems</w:t>
            </w:r>
          </w:p>
          <w:p w:rsidR="00000000" w:rsidRPr="009D4C4A" w:rsidP="009D4C4A">
            <w:pPr>
              <w:pStyle w:val="ListBullet2"/>
            </w:pPr>
            <w:r w:rsidRPr="009D4C4A">
              <w:t>symbol generation</w:t>
            </w:r>
          </w:p>
          <w:p w:rsidR="00000000" w:rsidRPr="009D4C4A" w:rsidP="009D4C4A">
            <w:pPr>
              <w:pStyle w:val="ListBullet2"/>
            </w:pPr>
            <w:r w:rsidRPr="009D4C4A">
              <w:t>vector and raster graphics</w:t>
            </w:r>
          </w:p>
          <w:p w:rsidR="00000000" w:rsidRPr="009D4C4A" w:rsidP="009D4C4A">
            <w:pPr>
              <w:pStyle w:val="ListBullet2"/>
            </w:pPr>
            <w:r w:rsidRPr="009D4C4A">
              <w:t>audio circuit theory</w:t>
            </w:r>
          </w:p>
          <w:p w:rsidR="00000000" w:rsidRPr="009D4C4A" w:rsidP="009D4C4A">
            <w:pPr>
              <w:pStyle w:val="ListBullet2"/>
            </w:pPr>
            <w:r w:rsidRPr="009D4C4A">
              <w:t>sound measurement</w:t>
            </w:r>
          </w:p>
          <w:p w:rsidR="00000000" w:rsidRPr="009D4C4A" w:rsidP="009D4C4A">
            <w:pPr>
              <w:pStyle w:val="ListBullet2"/>
            </w:pPr>
            <w:r w:rsidRPr="009D4C4A">
              <w:t>dB level standards</w:t>
            </w:r>
          </w:p>
          <w:p w:rsidR="00000000" w:rsidRPr="009D4C4A" w:rsidP="009D4C4A">
            <w:pPr>
              <w:pStyle w:val="ListBullet2"/>
            </w:pPr>
            <w:r w:rsidRPr="009D4C4A">
              <w:t>audio tape control signals and recording techniques</w:t>
            </w:r>
          </w:p>
          <w:p w:rsidR="00000000" w:rsidRPr="009D4C4A" w:rsidP="009D4C4A">
            <w:pPr>
              <w:pStyle w:val="ListBullet2"/>
            </w:pPr>
            <w:r w:rsidRPr="009D4C4A">
              <w:t>basic logic and semiconductor theory</w:t>
            </w:r>
          </w:p>
          <w:p w:rsidR="00000000" w:rsidRPr="009D4C4A" w:rsidP="009D4C4A">
            <w:pPr>
              <w:pStyle w:val="ListBullet2"/>
            </w:pPr>
            <w:r w:rsidRPr="009D4C4A">
              <w:t>cleaning and maintenance techniques for audio recorder heads</w:t>
            </w:r>
          </w:p>
        </w:tc>
      </w:tr>
    </w:tbl>
    <w:p w:rsidR="00000000" w:rsidRPr="009D4C4A" w:rsidP="009D4C4A">
      <w:pPr>
        <w:pStyle w:val="BodyText"/>
      </w:pPr>
    </w:p>
    <w:p w:rsidR="00000000" w:rsidRPr="009D4C4A" w:rsidP="009D4C4A">
      <w:pPr>
        <w:pStyle w:val="AllowPageBreak"/>
      </w:pPr>
    </w:p>
    <w:p w:rsidR="00000000" w:rsidRPr="009D4C4A" w:rsidP="009D4C4A">
      <w:pPr>
        <w:pStyle w:val="Heading1"/>
      </w:pPr>
      <w:bookmarkStart w:id="10" w:name="O_405951"/>
      <w:bookmarkEnd w:id="10"/>
      <w:r w:rsidRPr="009D4C4A">
        <w:t>Evidence Guide</w:t>
      </w:r>
    </w:p>
    <w:tbl>
      <w:tblPr>
        <w:tblW w:w="9570" w:type="dxa"/>
        <w:tblLayout w:type="fixed"/>
        <w:tblCellMar>
          <w:left w:w="62" w:type="dxa"/>
          <w:right w:w="62" w:type="dxa"/>
        </w:tblCellMar>
        <w:tblLook w:val="0000"/>
      </w:tblPr>
      <w:tblGrid>
        <w:gridCol w:w="3908"/>
        <w:gridCol w:w="5662"/>
      </w:tblGrid>
      <w:tr w:rsidTr="007D269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C4A">
            <w:pPr>
              <w:pStyle w:val="BodyText"/>
              <w:rPr>
                <w:lang w:val="en-NZ"/>
              </w:rPr>
            </w:pPr>
            <w:r w:rsidRPr="009D4C4A">
              <w:t>The Evidence Guide provides advice on assessment and must be read in conjunction with the performance criteria, required skills and knowledge, range statement and the Assessment Guidelines for the Training Package.</w:t>
            </w:r>
          </w:p>
        </w:tc>
      </w:tr>
      <w:tr w:rsidTr="007D26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C4A">
            <w:pPr>
              <w:pStyle w:val="BodyText"/>
              <w:rPr>
                <w:lang w:val="en-NZ"/>
              </w:rPr>
            </w:pPr>
            <w:r w:rsidRPr="009D4C4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C4A">
            <w:pPr>
              <w:pStyle w:val="BodyText"/>
              <w:rPr>
                <w:lang w:val="en-NZ"/>
              </w:rPr>
            </w:pPr>
            <w:r w:rsidRPr="009D4C4A">
              <w:t>A person who dem</w:t>
            </w:r>
            <w:r w:rsidRPr="009D4C4A">
              <w:t>onstrates competency in this unit must be able to repair and overhaul audio and video system and tape reproducer components in accordance with maintenance manuals and regulatory/industry procedures while observing all relevant safety precautions.</w:t>
            </w:r>
          </w:p>
        </w:tc>
      </w:tr>
      <w:tr w:rsidTr="007D26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C4A">
            <w:pPr>
              <w:pStyle w:val="BodyText"/>
              <w:rPr>
                <w:lang w:val="en-NZ"/>
              </w:rPr>
            </w:pPr>
            <w:r w:rsidRPr="009D4C4A">
              <w:rPr>
                <w:rStyle w:val="SpecialBold"/>
              </w:rPr>
              <w:t>Critical</w:t>
            </w:r>
            <w:r w:rsidRPr="009D4C4A">
              <w:rPr>
                <w:rStyle w:val="SpecialBold"/>
              </w:rPr>
              <w:t xml:space="preserve">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C4A" w:rsidP="009D4C4A">
            <w:pPr>
              <w:pStyle w:val="BodyText"/>
            </w:pPr>
            <w:r w:rsidRPr="009D4C4A">
              <w:t>The underlying skills inherent in this unit should be transferable across a range of repair or overhaul applications associated with audio and video system and tape reprod</w:t>
            </w:r>
            <w:r w:rsidRPr="009D4C4A">
              <w:t>ucer components. It is essential that the maintenance procedures are interpreted and applied to ensure quality and safety standards are fully observed, understood and complied with. Capability to interpret inspection procedures and specifications (allowabl</w:t>
            </w:r>
            <w:r w:rsidRPr="009D4C4A">
              <w:t>e limits) and apply them in practice is critical.</w:t>
            </w:r>
          </w:p>
          <w:p w:rsidR="00000000" w:rsidRPr="009D4C4A" w:rsidP="009D4C4A">
            <w:pPr>
              <w:pStyle w:val="BodyText"/>
            </w:pPr>
            <w:r w:rsidRPr="009D4C4A">
              <w:t>Evidence of transferability of skills and knowledge related to repair, modification and overhaul is essential. This may be demonstrated through application across a range of components of the systems listed</w:t>
            </w:r>
            <w:r w:rsidRPr="009D4C4A">
              <w:t xml:space="preserve"> in the Range Statement. The application of testing procedures should also clearly indicate knowledge of system operation before undertaking any action. Knowledge of system operation and the relationship of individual components will be necessary to supple</w:t>
            </w:r>
            <w:r w:rsidRPr="009D4C4A">
              <w:t>ment evidence of ability to troubleshoot component faults. The work plan should take account of applicable safety and quality requirements in accordance with the industry and regulatory standards. Use of high precision, high reliability soldering technique</w:t>
            </w:r>
            <w:r w:rsidRPr="009D4C4A">
              <w:t>s and handling of components, including application of anti-static equipment, must be demonstrated.</w:t>
            </w:r>
          </w:p>
          <w:p w:rsidR="00000000" w:rsidP="009D4C4A">
            <w:pPr>
              <w:pStyle w:val="BodyText"/>
              <w:rPr>
                <w:lang w:val="en-NZ"/>
              </w:rPr>
            </w:pPr>
            <w:r w:rsidRPr="009D4C4A">
              <w:t>A person cannot be assessed as competent until it can be demonstrated to the satisfaction of the workplace assessor that the relevant elements of the unit o</w:t>
            </w:r>
            <w:r w:rsidRPr="009D4C4A">
              <w:t>f competency are being achieved under routine supervision on an item from each of Groups 1 to 11, as listed in the Range Statement. This shall be established via the records in the Log of Industrial Experience and Achievement or, where appropriate, an equi</w:t>
            </w:r>
            <w:r w:rsidRPr="009D4C4A">
              <w:t>valent Industry Evidence Guide.</w:t>
            </w:r>
          </w:p>
        </w:tc>
      </w:tr>
      <w:tr w:rsidTr="007D26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C4A">
            <w:pPr>
              <w:pStyle w:val="BodyText"/>
              <w:rPr>
                <w:lang w:val="en-NZ"/>
              </w:rPr>
            </w:pPr>
            <w:r w:rsidRPr="009D4C4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C4A">
            <w:pPr>
              <w:pStyle w:val="BodyText"/>
              <w:rPr>
                <w:lang w:val="en-NZ"/>
              </w:rPr>
            </w:pPr>
            <w:r w:rsidRPr="009D4C4A">
              <w:t>Competency should be assessed in the work environment, or simulated work environment, using tools and equipment specified in maintenance documentation. It is also expected th</w:t>
            </w:r>
            <w:r w:rsidRPr="009D4C4A">
              <w:t>at general and special purpose tools and test equipment would be used where appropriate.</w:t>
            </w:r>
          </w:p>
        </w:tc>
      </w:tr>
      <w:tr w:rsidTr="007D26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C4A">
            <w:pPr>
              <w:pStyle w:val="BodyText"/>
              <w:rPr>
                <w:lang w:val="en-NZ"/>
              </w:rPr>
            </w:pPr>
            <w:r w:rsidRPr="009D4C4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C4A">
            <w:pPr>
              <w:pStyle w:val="BodyText"/>
              <w:rPr>
                <w:lang w:val="en-NZ"/>
              </w:rPr>
            </w:pPr>
          </w:p>
        </w:tc>
      </w:tr>
      <w:tr w:rsidTr="007D26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C4A">
            <w:pPr>
              <w:pStyle w:val="BodyText"/>
              <w:rPr>
                <w:lang w:val="en-NZ"/>
              </w:rPr>
            </w:pPr>
            <w:r w:rsidRPr="009D4C4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C4A" w:rsidP="009D4C4A">
            <w:pPr>
              <w:pStyle w:val="BodyText"/>
            </w:pPr>
          </w:p>
        </w:tc>
      </w:tr>
    </w:tbl>
    <w:p w:rsidR="00000000" w:rsidRPr="009D4C4A" w:rsidP="009D4C4A">
      <w:pPr>
        <w:pStyle w:val="BodyText"/>
      </w:pPr>
    </w:p>
    <w:p w:rsidR="00000000" w:rsidRPr="009D4C4A" w:rsidP="009D4C4A">
      <w:pPr>
        <w:pStyle w:val="AllowPageBreak"/>
      </w:pPr>
    </w:p>
    <w:p w:rsidR="00000000" w:rsidRPr="009D4C4A" w:rsidP="009D4C4A">
      <w:pPr>
        <w:pStyle w:val="Heading1"/>
      </w:pPr>
      <w:bookmarkStart w:id="11" w:name="O_405946"/>
      <w:bookmarkEnd w:id="11"/>
      <w:r w:rsidRPr="009D4C4A">
        <w:t>Range Statement</w:t>
      </w:r>
    </w:p>
    <w:tbl>
      <w:tblPr>
        <w:tblW w:w="9360" w:type="dxa"/>
        <w:tblLayout w:type="fixed"/>
        <w:tblCellMar>
          <w:left w:w="62" w:type="dxa"/>
          <w:right w:w="62" w:type="dxa"/>
        </w:tblCellMar>
        <w:tblLook w:val="0000"/>
      </w:tblPr>
      <w:tblGrid>
        <w:gridCol w:w="3515"/>
        <w:gridCol w:w="5845"/>
      </w:tblGrid>
      <w:tr w:rsidTr="007D2699">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C4A">
            <w:pPr>
              <w:pStyle w:val="BodyText"/>
              <w:rPr>
                <w:lang w:val="en-NZ"/>
              </w:rPr>
            </w:pPr>
            <w:r w:rsidRPr="009D4C4A">
              <w:t>The range statement relates to the unit of competency as a whole. It al</w:t>
            </w:r>
            <w:r w:rsidRPr="009D4C4A">
              <w:t xml:space="preserve">lows for different work environments and situations that may affect performance. Bold italicised wording, if used in the performance criteria, is detailed below. Essential operating conditions that may be present with training and assessment (depending on </w:t>
            </w:r>
            <w:r w:rsidRPr="009D4C4A">
              <w:t>the work situation, needs of the candidate, accessibility of the item, and local industry and regional contexts) may also be included.</w:t>
            </w:r>
          </w:p>
        </w:tc>
      </w:tr>
      <w:tr w:rsidTr="007D2699">
        <w:tblPrEx>
          <w:tblW w:w="9360" w:type="dxa"/>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C4A">
            <w:pPr>
              <w:pStyle w:val="BodyText"/>
              <w:rPr>
                <w:lang w:val="en-NZ"/>
              </w:rPr>
            </w:pPr>
            <w:r w:rsidRPr="009D4C4A">
              <w:rPr>
                <w:rStyle w:val="SpecialBold"/>
              </w:rPr>
              <w:t>Note</w:t>
            </w:r>
          </w:p>
        </w:tc>
        <w:tc>
          <w:tcPr>
            <w:tcW w:w="58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C4A">
            <w:pPr>
              <w:pStyle w:val="BodyText"/>
              <w:rPr>
                <w:lang w:val="en-NZ"/>
              </w:rPr>
            </w:pPr>
            <w:r w:rsidRPr="009D4C4A">
              <w:t xml:space="preserve">Range statements listed below are numbered to facilitate specification of the assessment requirements included in </w:t>
            </w:r>
            <w:r w:rsidRPr="009D4C4A">
              <w:t>the Evidence Guide</w:t>
            </w:r>
          </w:p>
        </w:tc>
      </w:tr>
      <w:tr w:rsidTr="007D2699">
        <w:tblPrEx>
          <w:tblW w:w="9360" w:type="dxa"/>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C4A">
            <w:pPr>
              <w:pStyle w:val="BodyText"/>
              <w:rPr>
                <w:lang w:val="en-NZ"/>
              </w:rPr>
            </w:pPr>
            <w:r w:rsidRPr="009D4C4A">
              <w:rPr>
                <w:rStyle w:val="SpecialBold"/>
              </w:rPr>
              <w:t>Audio and video systems and reproducers</w:t>
            </w:r>
            <w:r w:rsidRPr="009D4C4A">
              <w:t xml:space="preserve"> </w:t>
            </w:r>
          </w:p>
        </w:tc>
        <w:tc>
          <w:tcPr>
            <w:tcW w:w="58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C4A" w:rsidP="009D4C4A">
            <w:pPr>
              <w:pStyle w:val="BodyText"/>
            </w:pPr>
            <w:r w:rsidRPr="009D4C4A">
              <w:t>Audio and video systems and reproducers may include:</w:t>
            </w:r>
          </w:p>
          <w:p w:rsidR="00000000" w:rsidRPr="009D4C4A" w:rsidP="009D4C4A">
            <w:pPr>
              <w:pStyle w:val="BodyText"/>
            </w:pPr>
            <w:r w:rsidRPr="009D4C4A">
              <w:t>1.</w:t>
            </w:r>
            <w:r w:rsidRPr="009D4C4A">
              <w:tab/>
              <w:t>VCRs</w:t>
            </w:r>
          </w:p>
          <w:p w:rsidR="00000000" w:rsidRPr="009D4C4A" w:rsidP="009D4C4A">
            <w:pPr>
              <w:pStyle w:val="BodyText"/>
            </w:pPr>
            <w:r w:rsidRPr="009D4C4A">
              <w:t>2.</w:t>
            </w:r>
            <w:r w:rsidRPr="009D4C4A">
              <w:tab/>
              <w:t>Video display systems</w:t>
            </w:r>
          </w:p>
          <w:p w:rsidR="00000000" w:rsidRPr="009D4C4A" w:rsidP="009D4C4A">
            <w:pPr>
              <w:pStyle w:val="BodyText"/>
            </w:pPr>
            <w:r w:rsidRPr="009D4C4A">
              <w:t>3.</w:t>
            </w:r>
            <w:r w:rsidRPr="009D4C4A">
              <w:tab/>
              <w:t>CRT display systems</w:t>
            </w:r>
          </w:p>
          <w:p w:rsidR="00000000" w:rsidRPr="009D4C4A" w:rsidP="009D4C4A">
            <w:pPr>
              <w:pStyle w:val="BodyText"/>
            </w:pPr>
            <w:r w:rsidRPr="009D4C4A">
              <w:t>4.</w:t>
            </w:r>
            <w:r w:rsidRPr="009D4C4A">
              <w:tab/>
              <w:t>Symbol generators</w:t>
            </w:r>
          </w:p>
          <w:p w:rsidR="00000000" w:rsidRPr="009D4C4A" w:rsidP="009D4C4A">
            <w:pPr>
              <w:pStyle w:val="BodyText"/>
            </w:pPr>
            <w:r w:rsidRPr="009D4C4A">
              <w:t>5.</w:t>
            </w:r>
            <w:r w:rsidRPr="009D4C4A">
              <w:tab/>
              <w:t>Audio amplifiers</w:t>
            </w:r>
          </w:p>
          <w:p w:rsidR="00000000" w:rsidRPr="009D4C4A" w:rsidP="009D4C4A">
            <w:pPr>
              <w:pStyle w:val="BodyText"/>
            </w:pPr>
            <w:r w:rsidRPr="009D4C4A">
              <w:t>6.</w:t>
            </w:r>
            <w:r w:rsidRPr="009D4C4A">
              <w:tab/>
              <w:t>Audio and video selectors</w:t>
            </w:r>
          </w:p>
          <w:p w:rsidR="00000000" w:rsidRPr="009D4C4A" w:rsidP="009D4C4A">
            <w:pPr>
              <w:pStyle w:val="BodyText"/>
            </w:pPr>
            <w:r w:rsidRPr="009D4C4A">
              <w:t>7.</w:t>
            </w:r>
            <w:r w:rsidRPr="009D4C4A">
              <w:tab/>
            </w:r>
            <w:r w:rsidRPr="009D4C4A">
              <w:t>Voice recorders</w:t>
            </w:r>
          </w:p>
          <w:p w:rsidR="00000000" w:rsidRPr="009D4C4A" w:rsidP="009D4C4A">
            <w:pPr>
              <w:pStyle w:val="BodyText"/>
            </w:pPr>
            <w:r w:rsidRPr="009D4C4A">
              <w:t>8.</w:t>
            </w:r>
            <w:r w:rsidRPr="009D4C4A">
              <w:tab/>
              <w:t>Microphones</w:t>
            </w:r>
          </w:p>
          <w:p w:rsidR="00000000" w:rsidRPr="009D4C4A" w:rsidP="009D4C4A">
            <w:pPr>
              <w:pStyle w:val="BodyText"/>
            </w:pPr>
            <w:r w:rsidRPr="009D4C4A">
              <w:t>9.</w:t>
            </w:r>
            <w:r w:rsidRPr="009D4C4A">
              <w:tab/>
              <w:t>Head sets</w:t>
            </w:r>
          </w:p>
          <w:p w:rsidR="00000000" w:rsidRPr="009D4C4A" w:rsidP="009D4C4A">
            <w:pPr>
              <w:pStyle w:val="BodyText"/>
            </w:pPr>
            <w:r w:rsidRPr="009D4C4A">
              <w:t>10.</w:t>
            </w:r>
            <w:r w:rsidRPr="009D4C4A">
              <w:tab/>
              <w:t>PCUs</w:t>
            </w:r>
          </w:p>
          <w:p w:rsidR="00000000" w:rsidP="009D4C4A">
            <w:pPr>
              <w:pStyle w:val="BodyText"/>
              <w:rPr>
                <w:lang w:val="en-NZ"/>
              </w:rPr>
            </w:pPr>
            <w:r w:rsidRPr="009D4C4A">
              <w:t>11.</w:t>
            </w:r>
            <w:r w:rsidRPr="009D4C4A">
              <w:tab/>
              <w:t>Tape reproducers (and tape reproduction)</w:t>
            </w:r>
          </w:p>
        </w:tc>
      </w:tr>
      <w:tr w:rsidTr="007D2699">
        <w:tblPrEx>
          <w:tblW w:w="9360" w:type="dxa"/>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C4A">
            <w:pPr>
              <w:pStyle w:val="BodyText"/>
              <w:rPr>
                <w:lang w:val="en-NZ"/>
              </w:rPr>
            </w:pPr>
            <w:r w:rsidRPr="009D4C4A">
              <w:rPr>
                <w:rStyle w:val="SpecialBold"/>
              </w:rPr>
              <w:t>Application</w:t>
            </w:r>
          </w:p>
        </w:tc>
        <w:tc>
          <w:tcPr>
            <w:tcW w:w="58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C4A" w:rsidP="009D4C4A">
            <w:pPr>
              <w:pStyle w:val="BodyText"/>
            </w:pPr>
            <w:r w:rsidRPr="009D4C4A">
              <w:t>Application of this unit may relate to:</w:t>
            </w:r>
          </w:p>
          <w:p w:rsidR="00000000" w:rsidRPr="009D4C4A" w:rsidP="009D4C4A">
            <w:pPr>
              <w:pStyle w:val="ListBullet"/>
            </w:pPr>
            <w:r w:rsidRPr="009D4C4A">
              <w:t>scheduled or unscheduled maintenance</w:t>
            </w:r>
          </w:p>
          <w:p w:rsidR="00000000" w:rsidRPr="009D4C4A" w:rsidP="009D4C4A">
            <w:pPr>
              <w:pStyle w:val="ListBullet"/>
            </w:pPr>
            <w:r w:rsidRPr="009D4C4A">
              <w:t>individual or team-related activities</w:t>
            </w:r>
          </w:p>
          <w:p w:rsidR="00000000" w:rsidP="009D4C4A">
            <w:pPr>
              <w:pStyle w:val="ListBullet"/>
              <w:rPr>
                <w:lang w:val="en-NZ"/>
              </w:rPr>
            </w:pPr>
            <w:r w:rsidRPr="009D4C4A">
              <w:t xml:space="preserve">complex testing and adjusting </w:t>
            </w:r>
            <w:r w:rsidRPr="009D4C4A">
              <w:t>of components, and where this is undertaken, may be carried out under supervision at the appropriate level</w:t>
            </w:r>
          </w:p>
        </w:tc>
      </w:tr>
      <w:tr w:rsidTr="007D2699">
        <w:tblPrEx>
          <w:tblW w:w="9360" w:type="dxa"/>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C4A">
            <w:pPr>
              <w:pStyle w:val="BodyText"/>
              <w:rPr>
                <w:lang w:val="en-NZ"/>
              </w:rPr>
            </w:pPr>
            <w:r w:rsidRPr="009D4C4A">
              <w:rPr>
                <w:rStyle w:val="SpecialBold"/>
              </w:rPr>
              <w:t>Procedures and requirements</w:t>
            </w:r>
          </w:p>
        </w:tc>
        <w:tc>
          <w:tcPr>
            <w:tcW w:w="58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C4A" w:rsidP="009D4C4A">
            <w:pPr>
              <w:pStyle w:val="BodyText"/>
            </w:pPr>
            <w:r w:rsidRPr="009D4C4A">
              <w:t>Refer to industry standard procedures specified by manufacturers, regulatory authorities or the enterprise</w:t>
            </w:r>
          </w:p>
        </w:tc>
      </w:tr>
    </w:tbl>
    <w:p w:rsidR="00000000" w:rsidRPr="009D4C4A" w:rsidP="009D4C4A">
      <w:pPr>
        <w:pStyle w:val="BodyText"/>
      </w:pPr>
    </w:p>
    <w:p w:rsidR="00000000" w:rsidRPr="009D4C4A" w:rsidP="009D4C4A">
      <w:pPr>
        <w:pStyle w:val="AllowPageBreak"/>
      </w:pPr>
    </w:p>
    <w:p w:rsidR="00000000" w:rsidRPr="009D4C4A" w:rsidP="009D4C4A">
      <w:pPr>
        <w:pStyle w:val="Heading1"/>
      </w:pPr>
      <w:bookmarkStart w:id="12" w:name="O_405943"/>
      <w:bookmarkEnd w:id="12"/>
      <w:r w:rsidRPr="009D4C4A">
        <w:t>Unit Sector(s)</w:t>
      </w:r>
    </w:p>
    <w:p w:rsidR="00000000" w:rsidRPr="009D4C4A" w:rsidP="009D4C4A">
      <w:pPr>
        <w:pStyle w:val="BodyText"/>
      </w:pPr>
      <w:r w:rsidRPr="009D4C4A">
        <w:t>Aviation maintenance</w:t>
      </w:r>
    </w:p>
    <w:p w:rsidR="00000000" w:rsidRPr="009D4C4A" w:rsidP="009D4C4A">
      <w:pPr>
        <w:pStyle w:val="AllowPageBreak"/>
      </w:pPr>
    </w:p>
    <w:p w:rsidR="00000000" w:rsidRPr="009D4C4A" w:rsidP="009D4C4A">
      <w:pPr>
        <w:pStyle w:val="Heading1"/>
      </w:pPr>
      <w:bookmarkStart w:id="13" w:name="O_405956"/>
      <w:bookmarkEnd w:id="13"/>
      <w:r w:rsidRPr="009D4C4A">
        <w:t>Competency field</w:t>
      </w:r>
    </w:p>
    <w:p w:rsidR="00000000" w:rsidRPr="009D4C4A" w:rsidP="009D4C4A">
      <w:pPr>
        <w:pStyle w:val="Heading1"/>
      </w:pPr>
      <w:bookmarkStart w:id="14" w:name="O_405955"/>
      <w:bookmarkEnd w:id="14"/>
      <w:r w:rsidRPr="009D4C4A">
        <w:t>Co-requisite units</w:t>
      </w:r>
    </w:p>
    <w:tbl>
      <w:tblPr>
        <w:tblW w:w="0" w:type="auto"/>
        <w:tblLayout w:type="fixed"/>
        <w:tblCellMar>
          <w:left w:w="62" w:type="dxa"/>
          <w:right w:w="62" w:type="dxa"/>
        </w:tblCellMar>
        <w:tblLook w:val="0000"/>
      </w:tblPr>
      <w:tblGrid>
        <w:gridCol w:w="1926"/>
        <w:gridCol w:w="4130"/>
      </w:tblGrid>
      <w:tr w:rsidTr="007D2699">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9D4C4A">
            <w:pPr>
              <w:pStyle w:val="BodyText"/>
              <w:rPr>
                <w:lang w:val="en-NZ"/>
              </w:rPr>
            </w:pPr>
            <w:r w:rsidRPr="009D4C4A">
              <w:t xml:space="preserve">MEA260B </w:t>
            </w:r>
          </w:p>
        </w:tc>
        <w:tc>
          <w:tcPr>
            <w:tcW w:w="4130" w:type="dxa"/>
            <w:tcBorders>
              <w:top w:val="nil"/>
              <w:left w:val="nil"/>
              <w:bottom w:val="nil"/>
              <w:right w:val="nil"/>
            </w:tcBorders>
            <w:tcMar>
              <w:top w:w="0" w:type="dxa"/>
              <w:left w:w="62" w:type="dxa"/>
              <w:bottom w:w="0" w:type="dxa"/>
              <w:right w:w="62" w:type="dxa"/>
            </w:tcMar>
          </w:tcPr>
          <w:p w:rsidR="00000000" w:rsidP="009D4C4A">
            <w:pPr>
              <w:pStyle w:val="BodyText"/>
              <w:rPr>
                <w:lang w:val="en-NZ"/>
              </w:rPr>
            </w:pPr>
            <w:r w:rsidRPr="009D4C4A">
              <w:t>Use electrical test equipment</w:t>
            </w:r>
          </w:p>
        </w:tc>
      </w:tr>
      <w:tr w:rsidTr="007D2699">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9D4C4A">
            <w:pPr>
              <w:pStyle w:val="BodyText"/>
              <w:rPr>
                <w:lang w:val="en-NZ"/>
              </w:rPr>
            </w:pPr>
            <w:r w:rsidRPr="009D4C4A">
              <w:t>MEA261C</w:t>
            </w:r>
          </w:p>
        </w:tc>
        <w:tc>
          <w:tcPr>
            <w:tcW w:w="4130" w:type="dxa"/>
            <w:tcBorders>
              <w:top w:val="nil"/>
              <w:left w:val="nil"/>
              <w:bottom w:val="nil"/>
              <w:right w:val="nil"/>
            </w:tcBorders>
            <w:tcMar>
              <w:top w:w="0" w:type="dxa"/>
              <w:left w:w="62" w:type="dxa"/>
              <w:bottom w:w="0" w:type="dxa"/>
              <w:right w:w="62" w:type="dxa"/>
            </w:tcMar>
          </w:tcPr>
          <w:p w:rsidR="00000000" w:rsidRPr="009D4C4A" w:rsidP="009D4C4A">
            <w:pPr>
              <w:pStyle w:val="BodyText"/>
            </w:pPr>
            <w:r w:rsidRPr="009D4C4A">
              <w:t>Use electronic test equipment</w:t>
            </w:r>
          </w:p>
        </w:tc>
      </w:tr>
    </w:tbl>
    <w:p w:rsidR="00000000" w:rsidRPr="009D4C4A" w:rsidP="009D4C4A">
      <w:pPr>
        <w:pStyle w:val="BodyText"/>
      </w:pPr>
    </w:p>
    <w:p w:rsidR="00000000" w:rsidRPr="009D4C4A" w:rsidP="009D4C4A"/>
    <w:sectPr w:rsidSect="009D4C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C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2699" w:rsidP="007D269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C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699" w:rsidP="009D4C4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D2699" w:rsidP="009D4C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D2699" w:rsidP="009D4C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C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C4A" w:rsidRPr="007D2699" w:rsidP="007D269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C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699" w:rsidRPr="002D2AF8" w:rsidP="009D4C4A">
    <w:pPr>
      <w:pStyle w:val="Header"/>
      <w:framePr w:wrap="around"/>
    </w:pPr>
    <w:r>
      <w:fldChar w:fldCharType="begin"/>
    </w:r>
    <w:r>
      <w:instrText xml:space="preserve"> TITLE   \* MERGEFORMAT </w:instrText>
    </w:r>
    <w:r>
      <w:fldChar w:fldCharType="separate"/>
    </w:r>
    <w:r>
      <w:t>MEA288A Repair or overhaul aircraft audio and visual systems and reproducers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7D2699" w:rsidP="009D4C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AA48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1A9C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0CAF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4C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4C4A"/>
    <w:pPr>
      <w:spacing w:before="360" w:after="60"/>
      <w:outlineLvl w:val="0"/>
    </w:pPr>
    <w:rPr>
      <w:sz w:val="32"/>
    </w:rPr>
  </w:style>
  <w:style w:type="paragraph" w:styleId="Heading2">
    <w:name w:val="heading 2"/>
    <w:basedOn w:val="HeadingBase"/>
    <w:next w:val="BodyText"/>
    <w:link w:val="Heading2Char"/>
    <w:qFormat/>
    <w:rsid w:val="009D4C4A"/>
    <w:pPr>
      <w:keepLines/>
      <w:spacing w:before="240" w:after="120"/>
      <w:outlineLvl w:val="1"/>
    </w:pPr>
    <w:rPr>
      <w:sz w:val="28"/>
      <w:szCs w:val="40"/>
    </w:rPr>
  </w:style>
  <w:style w:type="paragraph" w:styleId="Heading3">
    <w:name w:val="heading 3"/>
    <w:basedOn w:val="HeadingBase"/>
    <w:next w:val="BodyText"/>
    <w:link w:val="Heading3Char"/>
    <w:qFormat/>
    <w:rsid w:val="009D4C4A"/>
    <w:pPr>
      <w:spacing w:before="180" w:after="120"/>
      <w:outlineLvl w:val="2"/>
    </w:pPr>
    <w:rPr>
      <w:spacing w:val="-10"/>
      <w:kern w:val="32"/>
    </w:rPr>
  </w:style>
  <w:style w:type="paragraph" w:styleId="Heading4">
    <w:name w:val="heading 4"/>
    <w:basedOn w:val="HeadingBase"/>
    <w:next w:val="BodyText"/>
    <w:link w:val="Heading4Char"/>
    <w:qFormat/>
    <w:rsid w:val="009D4C4A"/>
    <w:pPr>
      <w:spacing w:before="160" w:after="120"/>
      <w:outlineLvl w:val="3"/>
    </w:pPr>
    <w:rPr>
      <w:sz w:val="22"/>
    </w:rPr>
  </w:style>
  <w:style w:type="paragraph" w:styleId="Heading5">
    <w:name w:val="heading 5"/>
    <w:basedOn w:val="HeadingBase"/>
    <w:next w:val="Normal"/>
    <w:link w:val="Heading5Char"/>
    <w:qFormat/>
    <w:rsid w:val="009D4C4A"/>
    <w:pPr>
      <w:spacing w:before="80"/>
      <w:outlineLvl w:val="4"/>
    </w:pPr>
    <w:rPr>
      <w:color w:val="918585"/>
      <w:sz w:val="20"/>
    </w:rPr>
  </w:style>
  <w:style w:type="paragraph" w:styleId="Heading6">
    <w:name w:val="heading 6"/>
    <w:basedOn w:val="HeadingBase"/>
    <w:next w:val="Normal"/>
    <w:link w:val="Heading6Char"/>
    <w:qFormat/>
    <w:rsid w:val="009D4C4A"/>
    <w:pPr>
      <w:spacing w:before="60"/>
      <w:outlineLvl w:val="5"/>
    </w:pPr>
    <w:rPr>
      <w:color w:val="918585"/>
      <w:sz w:val="20"/>
    </w:rPr>
  </w:style>
  <w:style w:type="paragraph" w:styleId="Heading7">
    <w:name w:val="heading 7"/>
    <w:basedOn w:val="Normal"/>
    <w:next w:val="Normal"/>
    <w:link w:val="Heading7Char"/>
    <w:qFormat/>
    <w:rsid w:val="009D4C4A"/>
    <w:pPr>
      <w:ind w:left="720"/>
      <w:outlineLvl w:val="6"/>
    </w:pPr>
    <w:rPr>
      <w:i/>
    </w:rPr>
  </w:style>
  <w:style w:type="paragraph" w:styleId="Heading8">
    <w:name w:val="heading 8"/>
    <w:basedOn w:val="Normal"/>
    <w:next w:val="Normal"/>
    <w:link w:val="Heading8Char"/>
    <w:qFormat/>
    <w:rsid w:val="009D4C4A"/>
    <w:pPr>
      <w:ind w:left="720"/>
      <w:outlineLvl w:val="7"/>
    </w:pPr>
    <w:rPr>
      <w:i/>
    </w:rPr>
  </w:style>
  <w:style w:type="paragraph" w:styleId="Heading9">
    <w:name w:val="heading 9"/>
    <w:basedOn w:val="Normal"/>
    <w:next w:val="Normal"/>
    <w:link w:val="Heading9Char"/>
    <w:qFormat/>
    <w:rsid w:val="009D4C4A"/>
    <w:pPr>
      <w:ind w:left="720"/>
      <w:outlineLvl w:val="8"/>
    </w:pPr>
    <w:rPr>
      <w:i/>
    </w:rPr>
  </w:style>
  <w:style w:type="character" w:default="1" w:styleId="DefaultParagraphFont">
    <w:name w:val="Default Paragraph Font"/>
    <w:uiPriority w:val="1"/>
    <w:unhideWhenUsed/>
    <w:rsid w:val="009D4C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4C4A"/>
  </w:style>
  <w:style w:type="character" w:customStyle="1" w:styleId="Heading1Char">
    <w:name w:val="Heading 1 Char"/>
    <w:basedOn w:val="DefaultParagraphFont"/>
    <w:link w:val="Heading1"/>
    <w:rsid w:val="009D4C4A"/>
    <w:rPr>
      <w:rFonts w:ascii="Times New Roman" w:eastAsia="Times New Roman" w:hAnsi="Times New Roman" w:cs="Times New Roman"/>
      <w:b/>
      <w:sz w:val="32"/>
      <w:szCs w:val="20"/>
      <w:lang w:eastAsia="en-US"/>
    </w:rPr>
  </w:style>
  <w:style w:type="paragraph" w:styleId="BodyText">
    <w:name w:val="Body Text"/>
    <w:basedOn w:val="Normal"/>
    <w:link w:val="BodyTextChar"/>
    <w:rsid w:val="009D4C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4C4A"/>
    <w:rPr>
      <w:rFonts w:ascii="Times New Roman" w:eastAsia="Times New Roman" w:hAnsi="Times New Roman" w:cs="Times New Roman"/>
      <w:sz w:val="24"/>
      <w:lang w:eastAsia="en-US"/>
    </w:rPr>
  </w:style>
  <w:style w:type="paragraph" w:styleId="Footer">
    <w:name w:val="footer"/>
    <w:basedOn w:val="Normal"/>
    <w:link w:val="FooterChar"/>
    <w:rsid w:val="009D4C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4C4A"/>
    <w:rPr>
      <w:rFonts w:ascii="Times New Roman" w:eastAsia="Times New Roman" w:hAnsi="Times New Roman" w:cs="Times New Roman"/>
      <w:sz w:val="16"/>
      <w:lang w:eastAsia="en-US"/>
    </w:rPr>
  </w:style>
  <w:style w:type="paragraph" w:styleId="List">
    <w:name w:val="List"/>
    <w:basedOn w:val="BodyText"/>
    <w:next w:val="BodyText"/>
    <w:rsid w:val="009D4C4A"/>
    <w:pPr>
      <w:tabs>
        <w:tab w:val="left" w:pos="340"/>
      </w:tabs>
      <w:spacing w:before="60" w:after="60"/>
      <w:ind w:left="340" w:hanging="340"/>
    </w:pPr>
  </w:style>
  <w:style w:type="paragraph" w:styleId="ListBullet">
    <w:name w:val="List Bullet"/>
    <w:basedOn w:val="List"/>
    <w:rsid w:val="009D4C4A"/>
    <w:pPr>
      <w:numPr>
        <w:numId w:val="13"/>
      </w:numPr>
      <w:tabs>
        <w:tab w:val="clear" w:pos="340"/>
      </w:tabs>
      <w:spacing w:before="40" w:after="40"/>
    </w:pPr>
  </w:style>
  <w:style w:type="character" w:customStyle="1" w:styleId="SpecialBold">
    <w:name w:val="Special Bold"/>
    <w:basedOn w:val="DefaultParagraphFont"/>
    <w:rsid w:val="009D4C4A"/>
    <w:rPr>
      <w:b/>
      <w:spacing w:val="0"/>
    </w:rPr>
  </w:style>
  <w:style w:type="paragraph" w:styleId="ListBullet2">
    <w:name w:val="List Bullet 2"/>
    <w:basedOn w:val="List2"/>
    <w:rsid w:val="009D4C4A"/>
    <w:pPr>
      <w:numPr>
        <w:numId w:val="14"/>
      </w:numPr>
      <w:tabs>
        <w:tab w:val="clear" w:pos="680"/>
      </w:tabs>
    </w:pPr>
  </w:style>
  <w:style w:type="paragraph" w:customStyle="1" w:styleId="SuperHeading">
    <w:name w:val="SuperHeading"/>
    <w:basedOn w:val="Normal"/>
    <w:rsid w:val="009D4C4A"/>
    <w:pPr>
      <w:spacing w:before="240" w:after="120"/>
      <w:outlineLvl w:val="0"/>
    </w:pPr>
    <w:rPr>
      <w:rFonts w:ascii="Times New Roman" w:hAnsi="Times New Roman"/>
      <w:b/>
      <w:sz w:val="28"/>
    </w:rPr>
  </w:style>
  <w:style w:type="paragraph" w:customStyle="1" w:styleId="AllowPageBreak">
    <w:name w:val="AllowPageBreak"/>
    <w:rsid w:val="009D4C4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D4C4A"/>
    <w:pPr>
      <w:tabs>
        <w:tab w:val="left" w:pos="680"/>
      </w:tabs>
      <w:spacing w:before="60" w:after="60"/>
      <w:ind w:left="680" w:hanging="340"/>
    </w:pPr>
  </w:style>
  <w:style w:type="character" w:customStyle="1" w:styleId="BoldandItalics">
    <w:name w:val="Bold and Italics"/>
    <w:qFormat/>
    <w:rsid w:val="009D4C4A"/>
    <w:rPr>
      <w:b/>
      <w:i/>
      <w:u w:val="none"/>
    </w:rPr>
  </w:style>
  <w:style w:type="character" w:customStyle="1" w:styleId="Heading2Char">
    <w:name w:val="Heading 2 Char"/>
    <w:basedOn w:val="DefaultParagraphFont"/>
    <w:link w:val="Heading2"/>
    <w:rsid w:val="009D4C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4C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4C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4C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4C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4C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4C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4C4A"/>
    <w:rPr>
      <w:rFonts w:ascii="Courier New" w:eastAsia="Times New Roman" w:hAnsi="Courier New" w:cs="Times New Roman"/>
      <w:i/>
      <w:szCs w:val="20"/>
      <w:lang w:eastAsia="en-US"/>
    </w:rPr>
  </w:style>
  <w:style w:type="paragraph" w:customStyle="1" w:styleId="HeadingBase">
    <w:name w:val="Heading Base"/>
    <w:rsid w:val="009D4C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4C4A"/>
    <w:pPr>
      <w:tabs>
        <w:tab w:val="right" w:leader="dot" w:pos="9072"/>
      </w:tabs>
      <w:ind w:left="567"/>
    </w:pPr>
    <w:rPr>
      <w:szCs w:val="22"/>
    </w:rPr>
  </w:style>
  <w:style w:type="paragraph" w:customStyle="1" w:styleId="TOCBase">
    <w:name w:val="TOC Base"/>
    <w:rsid w:val="009D4C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4C4A"/>
    <w:pPr>
      <w:tabs>
        <w:tab w:val="right" w:leader="dot" w:pos="9072"/>
      </w:tabs>
      <w:spacing w:before="40" w:after="40"/>
      <w:ind w:left="284"/>
    </w:pPr>
    <w:rPr>
      <w:rFonts w:ascii="Times New Roman" w:hAnsi="Times New Roman"/>
    </w:rPr>
  </w:style>
  <w:style w:type="paragraph" w:styleId="TOC1">
    <w:name w:val="toc 1"/>
    <w:basedOn w:val="TOCBase"/>
    <w:next w:val="Normal"/>
    <w:rsid w:val="009D4C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D4C4A"/>
    <w:pPr>
      <w:spacing w:before="5040"/>
      <w:jc w:val="center"/>
    </w:pPr>
    <w:rPr>
      <w:sz w:val="48"/>
      <w:szCs w:val="72"/>
      <w:lang w:val="en-US"/>
    </w:rPr>
  </w:style>
  <w:style w:type="character" w:customStyle="1" w:styleId="TitleChar">
    <w:name w:val="Title Char"/>
    <w:basedOn w:val="DefaultParagraphFont"/>
    <w:link w:val="Title"/>
    <w:rsid w:val="009D4C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4C4A"/>
    <w:pPr>
      <w:tabs>
        <w:tab w:val="left" w:pos="3600"/>
        <w:tab w:val="left" w:pos="3958"/>
      </w:tabs>
    </w:pPr>
  </w:style>
  <w:style w:type="paragraph" w:customStyle="1" w:styleId="Note">
    <w:name w:val="Note"/>
    <w:basedOn w:val="BodyText"/>
    <w:rsid w:val="009D4C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4C4A"/>
    <w:pPr>
      <w:framePr w:wrap="auto" w:hAnchor="text" w:y="6049"/>
    </w:pPr>
    <w:rPr>
      <w:color w:val="000000"/>
      <w:sz w:val="40"/>
    </w:rPr>
  </w:style>
  <w:style w:type="paragraph" w:customStyle="1" w:styleId="TOCTitle">
    <w:name w:val="TOCTitle"/>
    <w:basedOn w:val="Heading1"/>
    <w:rsid w:val="009D4C4A"/>
    <w:pPr>
      <w:spacing w:after="240"/>
      <w:jc w:val="center"/>
      <w:outlineLvl w:val="9"/>
    </w:pPr>
    <w:rPr>
      <w:caps/>
    </w:rPr>
  </w:style>
  <w:style w:type="paragraph" w:customStyle="1" w:styleId="Version">
    <w:name w:val="Version"/>
    <w:rsid w:val="009D4C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4C4A"/>
    <w:pPr>
      <w:keepNext w:val="0"/>
      <w:tabs>
        <w:tab w:val="right" w:pos="4176"/>
      </w:tabs>
      <w:ind w:left="198" w:hanging="198"/>
    </w:pPr>
    <w:rPr>
      <w:rFonts w:ascii="Garamond" w:hAnsi="Garamond"/>
    </w:rPr>
  </w:style>
  <w:style w:type="paragraph" w:styleId="IndexHeading">
    <w:name w:val="index heading"/>
    <w:basedOn w:val="Normal"/>
    <w:next w:val="Index1"/>
    <w:semiHidden/>
    <w:rsid w:val="009D4C4A"/>
    <w:pPr>
      <w:spacing w:before="120" w:after="120"/>
    </w:pPr>
    <w:rPr>
      <w:rFonts w:ascii="Arial" w:hAnsi="Arial"/>
      <w:b/>
      <w:color w:val="918585"/>
      <w:sz w:val="24"/>
    </w:rPr>
  </w:style>
  <w:style w:type="paragraph" w:styleId="Header">
    <w:name w:val="header"/>
    <w:basedOn w:val="Normal"/>
    <w:link w:val="HeaderChar"/>
    <w:rsid w:val="009D4C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4C4A"/>
    <w:rPr>
      <w:rFonts w:ascii="Times New Roman" w:eastAsia="Times New Roman" w:hAnsi="Times New Roman" w:cs="Times New Roman"/>
      <w:sz w:val="16"/>
      <w:szCs w:val="20"/>
      <w:lang w:val="en-GB" w:eastAsia="en-US"/>
    </w:rPr>
  </w:style>
  <w:style w:type="paragraph" w:customStyle="1" w:styleId="Chapter">
    <w:name w:val="Chapter"/>
    <w:basedOn w:val="Normal"/>
    <w:rsid w:val="009D4C4A"/>
    <w:pPr>
      <w:spacing w:before="240"/>
    </w:pPr>
    <w:rPr>
      <w:rFonts w:ascii="Times New Roman" w:hAnsi="Times New Roman"/>
      <w:smallCaps/>
      <w:spacing w:val="80"/>
      <w:sz w:val="28"/>
    </w:rPr>
  </w:style>
  <w:style w:type="paragraph" w:customStyle="1" w:styleId="InChapter">
    <w:name w:val="InChapter"/>
    <w:basedOn w:val="Heading3"/>
    <w:rsid w:val="009D4C4A"/>
    <w:pPr>
      <w:spacing w:after="240"/>
      <w:outlineLvl w:val="9"/>
    </w:pPr>
    <w:rPr>
      <w:noProof/>
    </w:rPr>
  </w:style>
  <w:style w:type="paragraph" w:styleId="Index2">
    <w:name w:val="index 2"/>
    <w:basedOn w:val="Normal"/>
    <w:next w:val="Normal"/>
    <w:semiHidden/>
    <w:rsid w:val="009D4C4A"/>
    <w:pPr>
      <w:tabs>
        <w:tab w:val="right" w:pos="4176"/>
      </w:tabs>
      <w:ind w:left="568" w:hanging="284"/>
    </w:pPr>
    <w:rPr>
      <w:rFonts w:ascii="Garamond" w:hAnsi="Garamond"/>
    </w:rPr>
  </w:style>
  <w:style w:type="paragraph" w:customStyle="1" w:styleId="Byline">
    <w:name w:val="Byline"/>
    <w:rsid w:val="009D4C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4C4A"/>
    <w:pPr>
      <w:tabs>
        <w:tab w:val="clear" w:pos="3600"/>
        <w:tab w:val="clear" w:pos="3958"/>
      </w:tabs>
      <w:jc w:val="right"/>
    </w:pPr>
  </w:style>
  <w:style w:type="character" w:styleId="Emphasis">
    <w:name w:val="Emphasis"/>
    <w:basedOn w:val="DefaultParagraphFont"/>
    <w:qFormat/>
    <w:rsid w:val="009D4C4A"/>
    <w:rPr>
      <w:i/>
    </w:rPr>
  </w:style>
  <w:style w:type="paragraph" w:styleId="Caption">
    <w:name w:val="caption"/>
    <w:basedOn w:val="BodyText"/>
    <w:next w:val="Normal"/>
    <w:qFormat/>
    <w:rsid w:val="009D4C4A"/>
    <w:pPr>
      <w:framePr w:w="2268" w:hSpace="181" w:vSpace="181" w:wrap="around" w:vAnchor="text" w:hAnchor="page" w:x="1135" w:y="285" w:anchorLock="1"/>
    </w:pPr>
    <w:rPr>
      <w:i/>
    </w:rPr>
  </w:style>
  <w:style w:type="paragraph" w:customStyle="1" w:styleId="MiniTOCTitle">
    <w:name w:val="MiniTOCTitle"/>
    <w:basedOn w:val="Heading4"/>
    <w:rsid w:val="009D4C4A"/>
    <w:pPr>
      <w:spacing w:before="240"/>
      <w:outlineLvl w:val="9"/>
    </w:pPr>
    <w:rPr>
      <w:noProof/>
      <w:sz w:val="24"/>
    </w:rPr>
  </w:style>
  <w:style w:type="paragraph" w:customStyle="1" w:styleId="MiniTOCItem">
    <w:name w:val="MiniTOCItem"/>
    <w:basedOn w:val="ListBullet"/>
    <w:rsid w:val="009D4C4A"/>
    <w:pPr>
      <w:numPr>
        <w:numId w:val="0"/>
      </w:numPr>
      <w:tabs>
        <w:tab w:val="right" w:leader="dot" w:pos="6521"/>
      </w:tabs>
      <w:spacing w:before="0" w:after="0"/>
    </w:pPr>
  </w:style>
  <w:style w:type="paragraph" w:customStyle="1" w:styleId="TOFTitle">
    <w:name w:val="TOFTitle"/>
    <w:basedOn w:val="TOCTitle"/>
    <w:rsid w:val="009D4C4A"/>
  </w:style>
  <w:style w:type="paragraph" w:styleId="TableofFigures">
    <w:name w:val="table of figures"/>
    <w:basedOn w:val="Normal"/>
    <w:next w:val="Normal"/>
    <w:semiHidden/>
    <w:rsid w:val="009D4C4A"/>
    <w:pPr>
      <w:tabs>
        <w:tab w:val="right" w:leader="dot" w:pos="9072"/>
      </w:tabs>
      <w:ind w:left="970" w:hanging="403"/>
    </w:pPr>
    <w:rPr>
      <w:rFonts w:ascii="Times New Roman" w:hAnsi="Times New Roman"/>
      <w:b/>
    </w:rPr>
  </w:style>
  <w:style w:type="paragraph" w:styleId="ListNumber">
    <w:name w:val="List Number"/>
    <w:basedOn w:val="List"/>
    <w:rsid w:val="009D4C4A"/>
    <w:pPr>
      <w:numPr>
        <w:numId w:val="11"/>
      </w:numPr>
    </w:pPr>
  </w:style>
  <w:style w:type="character" w:customStyle="1" w:styleId="WingdingSymbols">
    <w:name w:val="Wingding Symbols"/>
    <w:rsid w:val="009D4C4A"/>
    <w:rPr>
      <w:rFonts w:ascii="Wingdings" w:hAnsi="Wingdings"/>
    </w:rPr>
  </w:style>
  <w:style w:type="paragraph" w:customStyle="1" w:styleId="TableHeading">
    <w:name w:val="Table Heading"/>
    <w:basedOn w:val="HeadingBase"/>
    <w:rsid w:val="009D4C4A"/>
    <w:pPr>
      <w:keepLines/>
      <w:pBdr>
        <w:bottom w:val="single" w:sz="6" w:space="1" w:color="918585"/>
      </w:pBdr>
      <w:spacing w:before="240"/>
    </w:pPr>
  </w:style>
  <w:style w:type="character" w:customStyle="1" w:styleId="HotSpot">
    <w:name w:val="HotSpot"/>
    <w:rsid w:val="009D4C4A"/>
    <w:rPr>
      <w:color w:val="0033CC"/>
      <w:u w:val="none"/>
    </w:rPr>
  </w:style>
  <w:style w:type="paragraph" w:customStyle="1" w:styleId="BodyTextRight">
    <w:name w:val="Body Text Right"/>
    <w:basedOn w:val="BodyText"/>
    <w:rsid w:val="009D4C4A"/>
    <w:pPr>
      <w:spacing w:before="0" w:after="0"/>
      <w:jc w:val="right"/>
    </w:pPr>
  </w:style>
  <w:style w:type="paragraph" w:styleId="Index3">
    <w:name w:val="index 3"/>
    <w:basedOn w:val="ListNumber2"/>
    <w:next w:val="Normal"/>
    <w:semiHidden/>
    <w:rsid w:val="009D4C4A"/>
    <w:pPr>
      <w:numPr>
        <w:numId w:val="0"/>
      </w:numPr>
      <w:tabs>
        <w:tab w:val="right" w:leader="dot" w:pos="4176"/>
      </w:tabs>
    </w:pPr>
  </w:style>
  <w:style w:type="paragraph" w:styleId="ListNumber2">
    <w:name w:val="List Number 2"/>
    <w:basedOn w:val="List2"/>
    <w:rsid w:val="009D4C4A"/>
    <w:pPr>
      <w:numPr>
        <w:numId w:val="10"/>
      </w:numPr>
      <w:tabs>
        <w:tab w:val="clear" w:pos="1060"/>
      </w:tabs>
    </w:pPr>
  </w:style>
  <w:style w:type="paragraph" w:customStyle="1" w:styleId="MarginNote">
    <w:name w:val="Margin Note"/>
    <w:basedOn w:val="BodyText"/>
    <w:rsid w:val="009D4C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4C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4C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4C4A"/>
    <w:rPr>
      <w:sz w:val="32"/>
    </w:rPr>
  </w:style>
  <w:style w:type="paragraph" w:customStyle="1" w:styleId="HeadingProcedure">
    <w:name w:val="Heading Procedure"/>
    <w:basedOn w:val="HeadingBase"/>
    <w:next w:val="Normal"/>
    <w:rsid w:val="009D4C4A"/>
    <w:pPr>
      <w:tabs>
        <w:tab w:val="left" w:pos="0"/>
      </w:tabs>
      <w:spacing w:before="120" w:after="60"/>
    </w:pPr>
    <w:rPr>
      <w:i/>
      <w:color w:val="918585"/>
      <w:sz w:val="22"/>
    </w:rPr>
  </w:style>
  <w:style w:type="paragraph" w:customStyle="1" w:styleId="TableBodyText">
    <w:name w:val="Table Body Text"/>
    <w:basedOn w:val="BodyText"/>
    <w:rsid w:val="009D4C4A"/>
    <w:pPr>
      <w:spacing w:before="60" w:after="60"/>
    </w:pPr>
  </w:style>
  <w:style w:type="paragraph" w:styleId="ListContinue">
    <w:name w:val="List Continue"/>
    <w:basedOn w:val="List"/>
    <w:rsid w:val="009D4C4A"/>
    <w:pPr>
      <w:ind w:firstLine="0"/>
    </w:pPr>
  </w:style>
  <w:style w:type="paragraph" w:customStyle="1" w:styleId="ListNote">
    <w:name w:val="List Note"/>
    <w:basedOn w:val="List"/>
    <w:rsid w:val="009D4C4A"/>
    <w:pPr>
      <w:pBdr>
        <w:top w:val="single" w:sz="6" w:space="2" w:color="918585"/>
        <w:bottom w:val="single" w:sz="6" w:space="2" w:color="918585"/>
      </w:pBdr>
      <w:tabs>
        <w:tab w:val="left" w:pos="1021"/>
      </w:tabs>
      <w:ind w:firstLine="0"/>
    </w:pPr>
  </w:style>
  <w:style w:type="paragraph" w:customStyle="1" w:styleId="Warning">
    <w:name w:val="Warning"/>
    <w:basedOn w:val="BodyText"/>
    <w:rsid w:val="009D4C4A"/>
    <w:pPr>
      <w:shd w:val="clear" w:color="auto" w:fill="D9D9D9"/>
      <w:tabs>
        <w:tab w:val="left" w:pos="992"/>
      </w:tabs>
      <w:ind w:left="119" w:right="119"/>
    </w:pPr>
    <w:rPr>
      <w:sz w:val="20"/>
    </w:rPr>
  </w:style>
  <w:style w:type="paragraph" w:customStyle="1" w:styleId="MarginIcons">
    <w:name w:val="Margin Icons"/>
    <w:basedOn w:val="BodyText"/>
    <w:rsid w:val="009D4C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4C4A"/>
    <w:rPr>
      <w:rFonts w:ascii="Courier New" w:hAnsi="Courier New"/>
    </w:rPr>
  </w:style>
  <w:style w:type="paragraph" w:customStyle="1" w:styleId="NoteBullet">
    <w:name w:val="Note Bullet"/>
    <w:basedOn w:val="Note"/>
    <w:rsid w:val="009D4C4A"/>
    <w:pPr>
      <w:tabs>
        <w:tab w:val="clear" w:pos="680"/>
      </w:tabs>
      <w:spacing w:before="60" w:after="60"/>
    </w:pPr>
  </w:style>
  <w:style w:type="paragraph" w:customStyle="1" w:styleId="SubHeading2">
    <w:name w:val="SubHeading2"/>
    <w:basedOn w:val="HeadingBase"/>
    <w:rsid w:val="009D4C4A"/>
    <w:pPr>
      <w:spacing w:before="240" w:after="60"/>
    </w:pPr>
    <w:rPr>
      <w:sz w:val="20"/>
    </w:rPr>
  </w:style>
  <w:style w:type="paragraph" w:customStyle="1" w:styleId="SubHeading1">
    <w:name w:val="SubHeading1"/>
    <w:basedOn w:val="HeadingBase"/>
    <w:rsid w:val="009D4C4A"/>
    <w:pPr>
      <w:spacing w:before="240" w:after="60"/>
    </w:pPr>
    <w:rPr>
      <w:color w:val="918585"/>
      <w:sz w:val="22"/>
    </w:rPr>
  </w:style>
  <w:style w:type="paragraph" w:customStyle="1" w:styleId="SideHeading">
    <w:name w:val="Side Heading"/>
    <w:basedOn w:val="HeadingBase"/>
    <w:rsid w:val="009D4C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4C4A"/>
    <w:pPr>
      <w:numPr>
        <w:numId w:val="12"/>
      </w:numPr>
    </w:pPr>
  </w:style>
  <w:style w:type="paragraph" w:styleId="PlainText">
    <w:name w:val="Plain Text"/>
    <w:basedOn w:val="Normal"/>
    <w:link w:val="PlainTextChar"/>
    <w:rsid w:val="009D4C4A"/>
    <w:rPr>
      <w:sz w:val="20"/>
    </w:rPr>
  </w:style>
  <w:style w:type="character" w:customStyle="1" w:styleId="PlainTextChar">
    <w:name w:val="Plain Text Char"/>
    <w:basedOn w:val="DefaultParagraphFont"/>
    <w:link w:val="PlainText"/>
    <w:rsid w:val="009D4C4A"/>
    <w:rPr>
      <w:rFonts w:ascii="Courier New" w:eastAsia="Times New Roman" w:hAnsi="Courier New" w:cs="Times New Roman"/>
      <w:sz w:val="20"/>
      <w:szCs w:val="20"/>
      <w:lang w:eastAsia="en-US"/>
    </w:rPr>
  </w:style>
  <w:style w:type="character" w:customStyle="1" w:styleId="MenuOption">
    <w:name w:val="Menu Option"/>
    <w:basedOn w:val="DefaultParagraphFont"/>
    <w:rsid w:val="009D4C4A"/>
    <w:rPr>
      <w:b/>
      <w:smallCaps/>
    </w:rPr>
  </w:style>
  <w:style w:type="paragraph" w:customStyle="1" w:styleId="TableListNumber">
    <w:name w:val="Table List Number"/>
    <w:basedOn w:val="ListNumber"/>
    <w:rsid w:val="009D4C4A"/>
    <w:pPr>
      <w:numPr>
        <w:numId w:val="0"/>
      </w:numPr>
    </w:pPr>
  </w:style>
  <w:style w:type="paragraph" w:styleId="TOC4">
    <w:name w:val="toc 4"/>
    <w:basedOn w:val="TOCBase"/>
    <w:next w:val="Normal"/>
    <w:semiHidden/>
    <w:rsid w:val="009D4C4A"/>
    <w:pPr>
      <w:tabs>
        <w:tab w:val="right" w:leader="dot" w:pos="9071"/>
      </w:tabs>
      <w:ind w:left="1701"/>
    </w:pPr>
  </w:style>
  <w:style w:type="paragraph" w:customStyle="1" w:styleId="ListAlpha">
    <w:name w:val="List Alpha"/>
    <w:basedOn w:val="List"/>
    <w:rsid w:val="009D4C4A"/>
    <w:pPr>
      <w:numPr>
        <w:numId w:val="9"/>
      </w:numPr>
    </w:pPr>
  </w:style>
  <w:style w:type="paragraph" w:customStyle="1" w:styleId="ListAlpha2">
    <w:name w:val="List Alpha 2"/>
    <w:basedOn w:val="List2"/>
    <w:rsid w:val="009D4C4A"/>
    <w:pPr>
      <w:numPr>
        <w:numId w:val="8"/>
      </w:numPr>
    </w:pPr>
  </w:style>
  <w:style w:type="paragraph" w:styleId="List3">
    <w:name w:val="List 3"/>
    <w:basedOn w:val="BodyText"/>
    <w:rsid w:val="009D4C4A"/>
    <w:pPr>
      <w:tabs>
        <w:tab w:val="left" w:pos="1021"/>
      </w:tabs>
      <w:spacing w:before="60" w:after="60"/>
      <w:ind w:left="1020" w:hanging="340"/>
    </w:pPr>
  </w:style>
  <w:style w:type="paragraph" w:styleId="List4">
    <w:name w:val="List 4"/>
    <w:basedOn w:val="BodyText"/>
    <w:rsid w:val="009D4C4A"/>
    <w:pPr>
      <w:tabs>
        <w:tab w:val="left" w:pos="1361"/>
      </w:tabs>
      <w:spacing w:before="60" w:after="60"/>
      <w:ind w:left="1361" w:hanging="340"/>
    </w:pPr>
  </w:style>
  <w:style w:type="paragraph" w:styleId="List5">
    <w:name w:val="List 5"/>
    <w:basedOn w:val="BodyText"/>
    <w:rsid w:val="009D4C4A"/>
    <w:pPr>
      <w:tabs>
        <w:tab w:val="left" w:pos="1701"/>
      </w:tabs>
      <w:spacing w:before="60" w:after="60"/>
      <w:ind w:left="1701" w:hanging="340"/>
    </w:pPr>
  </w:style>
  <w:style w:type="paragraph" w:styleId="ListBullet3">
    <w:name w:val="List Bullet 3"/>
    <w:basedOn w:val="List3"/>
    <w:rsid w:val="009D4C4A"/>
    <w:pPr>
      <w:numPr>
        <w:numId w:val="15"/>
      </w:numPr>
      <w:tabs>
        <w:tab w:val="clear" w:pos="1021"/>
      </w:tabs>
      <w:ind w:left="1037" w:hanging="357"/>
    </w:pPr>
  </w:style>
  <w:style w:type="paragraph" w:styleId="ListBullet4">
    <w:name w:val="List Bullet 4"/>
    <w:basedOn w:val="List4"/>
    <w:rsid w:val="009D4C4A"/>
    <w:pPr>
      <w:numPr>
        <w:numId w:val="3"/>
      </w:numPr>
    </w:pPr>
  </w:style>
  <w:style w:type="paragraph" w:styleId="ListBullet5">
    <w:name w:val="List Bullet 5"/>
    <w:basedOn w:val="List5"/>
    <w:rsid w:val="009D4C4A"/>
    <w:pPr>
      <w:numPr>
        <w:numId w:val="4"/>
      </w:numPr>
    </w:pPr>
  </w:style>
  <w:style w:type="paragraph" w:styleId="ListContinue2">
    <w:name w:val="List Continue 2"/>
    <w:basedOn w:val="List2"/>
    <w:rsid w:val="009D4C4A"/>
    <w:pPr>
      <w:ind w:firstLine="0"/>
    </w:pPr>
  </w:style>
  <w:style w:type="paragraph" w:styleId="ListContinue3">
    <w:name w:val="List Continue 3"/>
    <w:basedOn w:val="List3"/>
    <w:rsid w:val="009D4C4A"/>
    <w:pPr>
      <w:ind w:left="1021" w:firstLine="0"/>
    </w:pPr>
  </w:style>
  <w:style w:type="paragraph" w:styleId="ListContinue4">
    <w:name w:val="List Continue 4"/>
    <w:basedOn w:val="List4"/>
    <w:rsid w:val="009D4C4A"/>
    <w:pPr>
      <w:ind w:firstLine="0"/>
    </w:pPr>
  </w:style>
  <w:style w:type="paragraph" w:styleId="ListContinue5">
    <w:name w:val="List Continue 5"/>
    <w:basedOn w:val="List5"/>
    <w:rsid w:val="009D4C4A"/>
    <w:pPr>
      <w:ind w:firstLine="0"/>
    </w:pPr>
  </w:style>
  <w:style w:type="paragraph" w:styleId="ListNumber3">
    <w:name w:val="List Number 3"/>
    <w:basedOn w:val="List3"/>
    <w:rsid w:val="009D4C4A"/>
    <w:pPr>
      <w:numPr>
        <w:numId w:val="5"/>
      </w:numPr>
    </w:pPr>
  </w:style>
  <w:style w:type="paragraph" w:styleId="ListNumber4">
    <w:name w:val="List Number 4"/>
    <w:basedOn w:val="List4"/>
    <w:rsid w:val="009D4C4A"/>
    <w:pPr>
      <w:numPr>
        <w:numId w:val="6"/>
      </w:numPr>
    </w:pPr>
  </w:style>
  <w:style w:type="paragraph" w:styleId="ListNumber5">
    <w:name w:val="List Number 5"/>
    <w:basedOn w:val="List5"/>
    <w:rsid w:val="009D4C4A"/>
    <w:pPr>
      <w:numPr>
        <w:numId w:val="7"/>
      </w:numPr>
    </w:pPr>
  </w:style>
  <w:style w:type="paragraph" w:styleId="BlockText">
    <w:name w:val="Block Text"/>
    <w:basedOn w:val="Normal"/>
    <w:rsid w:val="009D4C4A"/>
    <w:pPr>
      <w:spacing w:after="120"/>
      <w:ind w:left="1440" w:right="1440"/>
    </w:pPr>
  </w:style>
  <w:style w:type="character" w:customStyle="1" w:styleId="Subscript">
    <w:name w:val="Subscript"/>
    <w:basedOn w:val="DefaultParagraphFont"/>
    <w:rsid w:val="009D4C4A"/>
    <w:rPr>
      <w:sz w:val="16"/>
      <w:vertAlign w:val="subscript"/>
    </w:rPr>
  </w:style>
  <w:style w:type="character" w:customStyle="1" w:styleId="Superscript">
    <w:name w:val="Superscript"/>
    <w:basedOn w:val="DefaultParagraphFont"/>
    <w:rsid w:val="009D4C4A"/>
    <w:rPr>
      <w:sz w:val="16"/>
      <w:vertAlign w:val="superscript"/>
    </w:rPr>
  </w:style>
  <w:style w:type="character" w:customStyle="1" w:styleId="Symbols">
    <w:name w:val="Symbols"/>
    <w:basedOn w:val="DefaultParagraphFont"/>
    <w:rsid w:val="009D4C4A"/>
    <w:rPr>
      <w:rFonts w:ascii="Symbol" w:hAnsi="Symbol"/>
    </w:rPr>
  </w:style>
  <w:style w:type="character" w:customStyle="1" w:styleId="MenuOptions">
    <w:name w:val="Menu Options"/>
    <w:basedOn w:val="DefaultParagraphFont"/>
    <w:rsid w:val="009D4C4A"/>
    <w:rPr>
      <w:rFonts w:ascii="Arial Narrow" w:hAnsi="Arial Narrow"/>
      <w:smallCaps/>
    </w:rPr>
  </w:style>
  <w:style w:type="character" w:customStyle="1" w:styleId="Buttons">
    <w:name w:val="Buttons"/>
    <w:basedOn w:val="DefaultParagraphFont"/>
    <w:rsid w:val="009D4C4A"/>
    <w:rPr>
      <w:b/>
    </w:rPr>
  </w:style>
  <w:style w:type="character" w:customStyle="1" w:styleId="Underlined">
    <w:name w:val="Underlined"/>
    <w:basedOn w:val="DefaultParagraphFont"/>
    <w:rsid w:val="009D4C4A"/>
    <w:rPr>
      <w:u w:val="single"/>
    </w:rPr>
  </w:style>
  <w:style w:type="paragraph" w:customStyle="1" w:styleId="TableBodyTextRight">
    <w:name w:val="Table Body Text Right"/>
    <w:basedOn w:val="TableBodyText"/>
    <w:rsid w:val="009D4C4A"/>
    <w:pPr>
      <w:widowControl w:val="0"/>
      <w:autoSpaceDE w:val="0"/>
      <w:autoSpaceDN w:val="0"/>
      <w:adjustRightInd w:val="0"/>
      <w:jc w:val="right"/>
    </w:pPr>
    <w:rPr>
      <w:rFonts w:cs="Arial"/>
      <w:szCs w:val="18"/>
    </w:rPr>
  </w:style>
  <w:style w:type="paragraph" w:customStyle="1" w:styleId="CopyrightText">
    <w:name w:val="Copyright Text"/>
    <w:basedOn w:val="BodyText"/>
    <w:rsid w:val="009D4C4A"/>
    <w:rPr>
      <w:sz w:val="18"/>
    </w:rPr>
  </w:style>
  <w:style w:type="paragraph" w:customStyle="1" w:styleId="BodySmallRight">
    <w:name w:val="Body Small Right"/>
    <w:basedOn w:val="BodyTextRight"/>
    <w:rsid w:val="009D4C4A"/>
    <w:rPr>
      <w:sz w:val="18"/>
      <w:szCs w:val="18"/>
    </w:rPr>
  </w:style>
  <w:style w:type="paragraph" w:customStyle="1" w:styleId="MarginEdition">
    <w:name w:val="Margin Edition"/>
    <w:basedOn w:val="MarginNote"/>
    <w:rsid w:val="009D4C4A"/>
    <w:pPr>
      <w:spacing w:before="0" w:after="0"/>
    </w:pPr>
    <w:rPr>
      <w:rFonts w:ascii="Times New Roman" w:hAnsi="Times New Roman"/>
      <w:color w:val="999999"/>
    </w:rPr>
  </w:style>
  <w:style w:type="paragraph" w:customStyle="1" w:styleId="Spacer">
    <w:name w:val="Spacer"/>
    <w:basedOn w:val="Normal"/>
    <w:rsid w:val="009D4C4A"/>
    <w:rPr>
      <w:sz w:val="2"/>
      <w:szCs w:val="2"/>
    </w:rPr>
  </w:style>
  <w:style w:type="character" w:customStyle="1" w:styleId="Small">
    <w:name w:val="Small"/>
    <w:basedOn w:val="DefaultParagraphFont"/>
    <w:rsid w:val="009D4C4A"/>
    <w:rPr>
      <w:sz w:val="16"/>
    </w:rPr>
  </w:style>
  <w:style w:type="paragraph" w:customStyle="1" w:styleId="WideTable">
    <w:name w:val="Wide Table"/>
    <w:basedOn w:val="Normal"/>
    <w:rsid w:val="009D4C4A"/>
    <w:pPr>
      <w:ind w:left="-1418"/>
    </w:pPr>
    <w:rPr>
      <w:sz w:val="2"/>
      <w:szCs w:val="2"/>
    </w:rPr>
  </w:style>
  <w:style w:type="character" w:styleId="PageNumber">
    <w:name w:val="page number"/>
    <w:basedOn w:val="DefaultParagraphFont"/>
    <w:rsid w:val="009D4C4A"/>
  </w:style>
  <w:style w:type="paragraph" w:styleId="Quote">
    <w:name w:val="Quote"/>
    <w:basedOn w:val="Heading1"/>
    <w:link w:val="QuoteChar"/>
    <w:qFormat/>
    <w:rsid w:val="009D4C4A"/>
    <w:rPr>
      <w:b w:val="0"/>
      <w:sz w:val="72"/>
      <w:szCs w:val="72"/>
      <w:lang w:val="en-NZ"/>
    </w:rPr>
  </w:style>
  <w:style w:type="character" w:customStyle="1" w:styleId="QuoteChar">
    <w:name w:val="Quote Char"/>
    <w:basedOn w:val="DefaultParagraphFont"/>
    <w:link w:val="Quote"/>
    <w:rsid w:val="009D4C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4C4A"/>
    <w:pPr>
      <w:pageBreakBefore/>
    </w:pPr>
  </w:style>
  <w:style w:type="paragraph" w:customStyle="1" w:styleId="Border">
    <w:name w:val="Border"/>
    <w:basedOn w:val="Normal"/>
    <w:qFormat/>
    <w:rsid w:val="009D4C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4C4A"/>
    <w:rPr>
      <w:b/>
      <w:bCs/>
      <w:i/>
      <w:iCs/>
      <w:color w:val="auto"/>
    </w:rPr>
  </w:style>
  <w:style w:type="paragraph" w:styleId="IntenseQuote">
    <w:name w:val="Intense Quote"/>
    <w:basedOn w:val="Normal"/>
    <w:next w:val="Normal"/>
    <w:link w:val="IntenseQuoteChar"/>
    <w:uiPriority w:val="30"/>
    <w:qFormat/>
    <w:rsid w:val="009D4C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4C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4C4A"/>
    <w:rPr>
      <w:smallCaps/>
      <w:color w:val="auto"/>
      <w:u w:val="single"/>
    </w:rPr>
  </w:style>
  <w:style w:type="character" w:styleId="IntenseReference">
    <w:name w:val="Intense Reference"/>
    <w:basedOn w:val="DefaultParagraphFont"/>
    <w:uiPriority w:val="32"/>
    <w:qFormat/>
    <w:rsid w:val="009D4C4A"/>
    <w:rPr>
      <w:b/>
      <w:bCs/>
      <w:smallCaps/>
      <w:color w:val="auto"/>
      <w:spacing w:val="5"/>
      <w:u w:val="single"/>
    </w:rPr>
  </w:style>
  <w:style w:type="paragraph" w:customStyle="1" w:styleId="2ColumnHeading">
    <w:name w:val="2Column Heading"/>
    <w:basedOn w:val="BodyText"/>
    <w:qFormat/>
    <w:rsid w:val="009D4C4A"/>
    <w:pPr>
      <w:spacing w:after="60"/>
      <w:ind w:left="-2268"/>
    </w:pPr>
    <w:rPr>
      <w:b/>
    </w:rPr>
  </w:style>
  <w:style w:type="paragraph" w:customStyle="1" w:styleId="Heading1TOC">
    <w:name w:val="Heading1 TOC"/>
    <w:basedOn w:val="Normal"/>
    <w:qFormat/>
    <w:rsid w:val="009D4C4A"/>
    <w:pPr>
      <w:spacing w:before="240" w:after="120"/>
    </w:pPr>
    <w:rPr>
      <w:rFonts w:ascii="Times New Roman" w:hAnsi="Times New Roman"/>
      <w:b/>
      <w:sz w:val="32"/>
    </w:rPr>
  </w:style>
  <w:style w:type="paragraph" w:customStyle="1" w:styleId="Heading2TOC">
    <w:name w:val="Heading2 TOC"/>
    <w:basedOn w:val="Normal"/>
    <w:qFormat/>
    <w:rsid w:val="009D4C4A"/>
    <w:pPr>
      <w:spacing w:before="240" w:after="60"/>
    </w:pPr>
    <w:rPr>
      <w:rFonts w:ascii="Times New Roman" w:hAnsi="Times New Roman"/>
      <w:b/>
      <w:sz w:val="28"/>
    </w:rPr>
  </w:style>
  <w:style w:type="character" w:customStyle="1" w:styleId="Underline">
    <w:name w:val="Underline"/>
    <w:basedOn w:val="DefaultParagraphFont"/>
    <w:qFormat/>
    <w:rsid w:val="009D4C4A"/>
    <w:rPr>
      <w:u w:val="single"/>
    </w:rPr>
  </w:style>
  <w:style w:type="paragraph" w:styleId="BalloonText">
    <w:name w:val="Balloon Text"/>
    <w:basedOn w:val="Normal"/>
    <w:link w:val="BalloonTextChar"/>
    <w:rsid w:val="009D4C4A"/>
    <w:rPr>
      <w:rFonts w:ascii="Tahoma" w:hAnsi="Tahoma" w:cs="Tahoma"/>
      <w:sz w:val="16"/>
      <w:szCs w:val="16"/>
    </w:rPr>
  </w:style>
  <w:style w:type="character" w:customStyle="1" w:styleId="BalloonTextChar">
    <w:name w:val="Balloon Text Char"/>
    <w:basedOn w:val="DefaultParagraphFont"/>
    <w:link w:val="BalloonText"/>
    <w:rsid w:val="009D4C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4C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4C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4C4A"/>
    <w:rPr>
      <w:b/>
      <w:color w:val="660033"/>
      <w:spacing w:val="0"/>
    </w:rPr>
  </w:style>
  <w:style w:type="paragraph" w:customStyle="1" w:styleId="Nameditemlist">
    <w:name w:val="Named item list"/>
    <w:basedOn w:val="BodyText"/>
    <w:qFormat/>
    <w:rsid w:val="009D4C4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1303</Words>
  <Characters>8160</Characters>
  <Application>Microsoft Office Word</Application>
  <DocSecurity>0</DocSecurity>
  <Lines>247</Lines>
  <Paragraphs>122</Paragraphs>
  <ScaleCrop>false</ScaleCrop>
  <Company>Author-it Software Corporation Ltd.</Company>
  <LinksUpToDate>false</LinksUpToDate>
  <CharactersWithSpaces>9381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MEA288A Repair or overhaul aircraft audio and visual systems and reproducers</dc:title>
  <dc:subject>Approved</dc:subject>
  <dc:creator>Manufacturing Skills Australia</dc:creator>
  <cp:keywords>Revision Number: 2</cp:keywords>
  <dc:description>Copyright © 1996-2007 Author-it Software Corporation Ltd., all rights reserved.</dc:description>
  <cp:lastModifiedBy>TPCMS</cp:lastModifiedBy>
  <cp:revision>3</cp:revision>
  <dcterms:created xsi:type="dcterms:W3CDTF">2012-10-05T17:40:00Z</dcterms:created>
  <dcterms:modified xsi:type="dcterms:W3CDTF">2012-10-05T17:40:00Z</dcterms:modified>
</cp:coreProperties>
</file>