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403" w:rsidP="006D7403">
      <w:pPr>
        <w:pStyle w:val="Title"/>
      </w:pPr>
      <w:r>
        <w:fldChar w:fldCharType="begin"/>
      </w:r>
      <w:r>
        <w:instrText xml:space="preserve"> TITLE   \* MERGEFORMAT </w:instrText>
      </w:r>
      <w:r>
        <w:fldChar w:fldCharType="separate"/>
      </w:r>
      <w:r>
        <w:t>MEA262B Modify/repair aircraft component single layer printed circuit boards</w:t>
      </w:r>
      <w:r>
        <w:fldChar w:fldCharType="end"/>
      </w:r>
    </w:p>
    <w:p w:rsidR="006D7403" w:rsidP="006D7403">
      <w:pPr>
        <w:pStyle w:val="Version"/>
        <w:sectPr w:rsidSect="002C6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C6B27" w:rsidP="002C6B27">
      <w:pPr>
        <w:pStyle w:val="SuperHeading"/>
      </w:pPr>
      <w:r w:rsidRPr="002C6B27">
        <w:t>MEA262B Modify/repair aircraft component single layer printed circuit boards</w:t>
      </w:r>
    </w:p>
    <w:p w:rsidR="00000000" w:rsidRPr="002C6B27" w:rsidP="002C6B27">
      <w:pPr>
        <w:pStyle w:val="Heading1"/>
      </w:pPr>
      <w:bookmarkStart w:id="1" w:name="O_400563"/>
      <w:bookmarkEnd w:id="1"/>
      <w:r w:rsidRPr="002C6B27">
        <w:t>Modification History</w:t>
      </w:r>
    </w:p>
    <w:p w:rsidR="00000000" w:rsidRPr="002C6B27" w:rsidP="002C6B27">
      <w:pPr>
        <w:pStyle w:val="BodyText"/>
      </w:pPr>
      <w:r w:rsidRPr="002C6B27">
        <w:t>Minor formatting and editorial changes made. Missing knowledge requirements reinstated.</w:t>
      </w:r>
    </w:p>
    <w:p w:rsidR="00000000" w:rsidRPr="002C6B27" w:rsidP="002C6B27">
      <w:pPr>
        <w:pStyle w:val="AllowPageBreak"/>
      </w:pPr>
    </w:p>
    <w:p w:rsidR="00000000" w:rsidRPr="002C6B27" w:rsidP="002C6B27">
      <w:pPr>
        <w:pStyle w:val="Heading1"/>
      </w:pPr>
      <w:bookmarkStart w:id="2" w:name="O_400559"/>
      <w:bookmarkEnd w:id="2"/>
      <w:r w:rsidRPr="002C6B27">
        <w:t>Unit Descriptor</w:t>
      </w:r>
    </w:p>
    <w:tbl>
      <w:tblPr>
        <w:tblW w:w="0" w:type="auto"/>
        <w:tblLayout w:type="fixed"/>
        <w:tblCellMar>
          <w:left w:w="62" w:type="dxa"/>
          <w:right w:w="62" w:type="dxa"/>
        </w:tblCellMar>
        <w:tblLook w:val="0000"/>
      </w:tblPr>
      <w:tblGrid>
        <w:gridCol w:w="8550"/>
      </w:tblGrid>
      <w:tr w:rsidTr="006D7403">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This unit of competency is part of the Avionic Certificate IV training pathways. It covers the competencies required to modify or repair single layer printed circuit boards. The unit is used in workplaces that operate under the airworthiness regulatory sys</w:t>
            </w:r>
            <w:r w:rsidRPr="002C6B27">
              <w:t xml:space="preserve">tems of the ADF and CASA. </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3" w:name="O_400572"/>
      <w:bookmarkEnd w:id="3"/>
      <w:r w:rsidRPr="002C6B27">
        <w:t>Application of the Unit</w:t>
      </w:r>
    </w:p>
    <w:tbl>
      <w:tblPr>
        <w:tblW w:w="0" w:type="auto"/>
        <w:tblLayout w:type="fixed"/>
        <w:tblCellMar>
          <w:left w:w="62" w:type="dxa"/>
          <w:right w:w="62" w:type="dxa"/>
        </w:tblCellMar>
        <w:tblLook w:val="0000"/>
      </w:tblPr>
      <w:tblGrid>
        <w:gridCol w:w="8280"/>
      </w:tblGrid>
      <w:tr w:rsidTr="006D740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 xml:space="preserve">This unit requires application of hand skills  including high reliability hand soldering and knowledge of standard practices and techniques in the repair of single layer printed circuit </w:t>
            </w:r>
            <w:r w:rsidRPr="002C6B27">
              <w:t>boards.</w:t>
            </w:r>
          </w:p>
          <w:p w:rsidR="00000000" w:rsidRPr="002C6B27" w:rsidP="002C6B27">
            <w:pPr>
              <w:pStyle w:val="BodyText"/>
            </w:pPr>
            <w:r w:rsidRPr="002C6B27">
              <w:t>Applications include circuit boards from aircraft avionic components that are repaired in aviation workshops.</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4" w:name="O_400564"/>
      <w:bookmarkEnd w:id="4"/>
      <w:r w:rsidRPr="002C6B27">
        <w:t>Licensing/Regulatory Information</w:t>
      </w:r>
    </w:p>
    <w:p w:rsidR="00000000" w:rsidRPr="002C6B27" w:rsidP="002C6B27">
      <w:pPr>
        <w:pStyle w:val="BodyText"/>
      </w:pPr>
      <w:r w:rsidRPr="002C6B27">
        <w:t>Not applicable.</w:t>
      </w:r>
    </w:p>
    <w:p w:rsidR="00000000" w:rsidRPr="002C6B27" w:rsidP="002C6B27">
      <w:pPr>
        <w:pStyle w:val="AllowPageBreak"/>
      </w:pPr>
    </w:p>
    <w:p w:rsidR="00000000" w:rsidRPr="002C6B27" w:rsidP="002C6B27">
      <w:pPr>
        <w:pStyle w:val="Heading1"/>
      </w:pPr>
      <w:bookmarkStart w:id="5" w:name="O_400562"/>
      <w:bookmarkEnd w:id="5"/>
      <w:r w:rsidRPr="002C6B27">
        <w:t>Pre-Requisites</w:t>
      </w:r>
    </w:p>
    <w:tbl>
      <w:tblPr>
        <w:tblW w:w="0" w:type="auto"/>
        <w:tblLayout w:type="fixed"/>
        <w:tblCellMar>
          <w:left w:w="62" w:type="dxa"/>
          <w:right w:w="62" w:type="dxa"/>
        </w:tblCellMar>
        <w:tblLook w:val="0000"/>
      </w:tblPr>
      <w:tblGrid>
        <w:gridCol w:w="1926"/>
        <w:gridCol w:w="6624"/>
      </w:tblGrid>
      <w:tr w:rsidTr="006D740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C6B27">
            <w:pPr>
              <w:pStyle w:val="BodyText"/>
              <w:rPr>
                <w:lang w:val="en-NZ"/>
              </w:rPr>
            </w:pPr>
            <w:r w:rsidRPr="002C6B27">
              <w:t>MEA260B</w:t>
            </w:r>
          </w:p>
        </w:tc>
        <w:tc>
          <w:tcPr>
            <w:tcW w:w="6624" w:type="dxa"/>
            <w:tcBorders>
              <w:top w:val="nil"/>
              <w:left w:val="nil"/>
              <w:bottom w:val="nil"/>
              <w:right w:val="nil"/>
            </w:tcBorders>
            <w:tcMar>
              <w:top w:w="0" w:type="dxa"/>
              <w:left w:w="62" w:type="dxa"/>
              <w:bottom w:w="0" w:type="dxa"/>
              <w:right w:w="62" w:type="dxa"/>
            </w:tcMar>
          </w:tcPr>
          <w:p w:rsidR="00000000" w:rsidP="002C6B27">
            <w:pPr>
              <w:pStyle w:val="BodyText"/>
              <w:rPr>
                <w:lang w:val="en-NZ"/>
              </w:rPr>
            </w:pPr>
            <w:r w:rsidRPr="002C6B27">
              <w:t>Use electrical test equipment</w:t>
            </w:r>
          </w:p>
        </w:tc>
      </w:tr>
      <w:tr w:rsidTr="006D740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C6B27">
            <w:pPr>
              <w:pStyle w:val="BodyText"/>
              <w:rPr>
                <w:lang w:val="en-NZ"/>
              </w:rPr>
            </w:pPr>
            <w:r w:rsidRPr="002C6B27">
              <w:t>MEA261C</w:t>
            </w:r>
          </w:p>
        </w:tc>
        <w:tc>
          <w:tcPr>
            <w:tcW w:w="6624"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Use electronic test equipment</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6" w:name="O_400567"/>
      <w:bookmarkEnd w:id="6"/>
      <w:r w:rsidRPr="002C6B27">
        <w:t>Employability Skills Information</w:t>
      </w:r>
    </w:p>
    <w:tbl>
      <w:tblPr>
        <w:tblW w:w="0" w:type="auto"/>
        <w:tblLayout w:type="fixed"/>
        <w:tblCellMar>
          <w:left w:w="62" w:type="dxa"/>
          <w:right w:w="62" w:type="dxa"/>
        </w:tblCellMar>
        <w:tblLook w:val="0000"/>
      </w:tblPr>
      <w:tblGrid>
        <w:gridCol w:w="5720"/>
      </w:tblGrid>
      <w:tr w:rsidTr="006D740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This unit contains employability skills.</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7" w:name="O_400568"/>
      <w:bookmarkEnd w:id="7"/>
      <w:r w:rsidRPr="002C6B27">
        <w:t>Elements and Performance Criteria Pre-Content</w:t>
      </w:r>
    </w:p>
    <w:tbl>
      <w:tblPr>
        <w:tblW w:w="9360" w:type="dxa"/>
        <w:tblLayout w:type="fixed"/>
        <w:tblCellMar>
          <w:left w:w="62" w:type="dxa"/>
          <w:right w:w="62" w:type="dxa"/>
        </w:tblCellMar>
        <w:tblLook w:val="0000"/>
      </w:tblPr>
      <w:tblGrid>
        <w:gridCol w:w="2583"/>
        <w:gridCol w:w="6777"/>
      </w:tblGrid>
      <w:tr w:rsidTr="006D7403">
        <w:tblPrEx>
          <w:tblW w:w="9360" w:type="dxa"/>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t>Elements describe the essential outcomes of a unit of competency.</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r w:rsidRPr="002C6B27">
              <w:t>Performance criteria describe the performance needed to demonstrate achievement of the element. Where bold italicised text is used, further information is detailed in the required skills and</w:t>
            </w:r>
            <w:r w:rsidRPr="002C6B27">
              <w:t xml:space="preserve"> knowledge section and the range statement. Assessment of performance is to be consistent with the evidence guide.</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8" w:name="O_400569"/>
      <w:bookmarkEnd w:id="8"/>
      <w:r w:rsidRPr="002C6B27">
        <w:t>Elements and Performance Criteria</w:t>
      </w:r>
    </w:p>
    <w:tbl>
      <w:tblPr>
        <w:tblW w:w="0" w:type="auto"/>
        <w:tblCellMar>
          <w:left w:w="62" w:type="dxa"/>
          <w:right w:w="62" w:type="dxa"/>
        </w:tblCellMar>
        <w:tblLook w:val="0000"/>
      </w:tblPr>
      <w:tblGrid>
        <w:gridCol w:w="1913"/>
        <w:gridCol w:w="7283"/>
      </w:tblGrid>
      <w:tr w:rsidTr="006D7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B27">
            <w:pPr>
              <w:pStyle w:val="List"/>
              <w:rPr>
                <w:lang w:val="en-NZ"/>
              </w:rPr>
            </w:pPr>
            <w:r w:rsidRPr="002C6B27">
              <w:t>1.</w:t>
            </w:r>
            <w:r w:rsidRPr="002C6B27">
              <w:tab/>
              <w:t>Inspect single 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2C6B27" w:rsidP="002C6B27">
            <w:pPr>
              <w:pStyle w:val="List2"/>
            </w:pPr>
            <w:r w:rsidRPr="002C6B27">
              <w:t>1.1.</w:t>
            </w:r>
            <w:r w:rsidRPr="002C6B27">
              <w:tab/>
              <w:t>Relevant ma</w:t>
            </w:r>
            <w:r w:rsidRPr="002C6B27">
              <w:t>intenance documentation, including component defect reports where applicable, is interpreted and matched by part and serial number</w:t>
            </w:r>
          </w:p>
          <w:p w:rsidR="00000000" w:rsidRPr="002C6B27" w:rsidP="002C6B27">
            <w:pPr>
              <w:pStyle w:val="List2"/>
            </w:pPr>
            <w:r w:rsidRPr="002C6B27">
              <w:t>1.2.</w:t>
            </w:r>
            <w:r w:rsidRPr="002C6B27">
              <w:tab/>
              <w:t>Preparation of work area and circuit card assemblies is appropriate to allow for effective detailed inspection of all su</w:t>
            </w:r>
            <w:r w:rsidRPr="002C6B27">
              <w:t xml:space="preserve">bstrate, circuit tracks, edge connectors and </w:t>
            </w:r>
            <w:r w:rsidRPr="002C6B27">
              <w:rPr>
                <w:rStyle w:val="BoldandItalics"/>
              </w:rPr>
              <w:t>attached components</w:t>
            </w:r>
            <w:r w:rsidRPr="002C6B27">
              <w:t>, taking into account any static discharge procedures</w:t>
            </w:r>
          </w:p>
          <w:p w:rsidR="00000000" w:rsidRPr="002C6B27" w:rsidP="002C6B27">
            <w:pPr>
              <w:pStyle w:val="List2"/>
            </w:pPr>
            <w:r w:rsidRPr="002C6B27">
              <w:t>1.3.</w:t>
            </w:r>
            <w:r w:rsidRPr="002C6B27">
              <w:tab/>
              <w:t>Circuit card assemblies are visually or physically inspected for physical integrity of substrate, circuit tracks, edge connectors and</w:t>
            </w:r>
            <w:r w:rsidRPr="002C6B27">
              <w:t xml:space="preserve"> attached components</w:t>
            </w:r>
          </w:p>
          <w:p w:rsidR="00000000" w:rsidRPr="002C6B27" w:rsidP="002C6B27">
            <w:pPr>
              <w:pStyle w:val="List2"/>
            </w:pPr>
            <w:r w:rsidRPr="002C6B27">
              <w:t>1.4.</w:t>
            </w:r>
            <w:r w:rsidRPr="002C6B27">
              <w:tab/>
              <w:t>Modification status is established to assist in determining repair requirements</w:t>
            </w:r>
          </w:p>
          <w:p w:rsidR="00000000" w:rsidP="002C6B27">
            <w:pPr>
              <w:pStyle w:val="List2"/>
              <w:rPr>
                <w:lang w:val="en-NZ"/>
              </w:rPr>
            </w:pPr>
            <w:r w:rsidRPr="002C6B27">
              <w:t>1.5.</w:t>
            </w:r>
            <w:r w:rsidRPr="002C6B27">
              <w:tab/>
              <w:t>Defects are correctly identified and reported</w:t>
            </w:r>
          </w:p>
        </w:tc>
      </w:tr>
      <w:tr w:rsidTr="006D7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B27">
            <w:pPr>
              <w:pStyle w:val="List"/>
              <w:rPr>
                <w:lang w:val="en-NZ"/>
              </w:rPr>
            </w:pPr>
            <w:r w:rsidRPr="002C6B27">
              <w:t>2.</w:t>
            </w:r>
            <w:r w:rsidRPr="002C6B27">
              <w:tab/>
              <w:t>Test single 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2C6B27" w:rsidP="002C6B27">
            <w:pPr>
              <w:pStyle w:val="List2"/>
            </w:pPr>
            <w:r w:rsidRPr="002C6B27">
              <w:t>2.1.</w:t>
            </w:r>
            <w:r w:rsidRPr="002C6B27">
              <w:tab/>
            </w:r>
            <w:r w:rsidRPr="002C6B27">
              <w:t>Circuit card assemblies are correctly prepared and connected to the appropriate test facility in accordance with approved procedures, or circuit card assemblies are correctly prepared and connected in situ to allow required test procedures to be performed</w:t>
            </w:r>
          </w:p>
          <w:p w:rsidR="00000000" w:rsidRPr="002C6B27" w:rsidP="002C6B27">
            <w:pPr>
              <w:pStyle w:val="List2"/>
            </w:pPr>
            <w:r w:rsidRPr="002C6B27">
              <w:t>2.2.</w:t>
            </w:r>
            <w:r w:rsidRPr="002C6B27">
              <w:tab/>
              <w:t>Circuit card assemblies are functionally tested in accordance with normal trade practice and approved maintenance documentation for evidence of serviceability or malfunction</w:t>
            </w:r>
          </w:p>
          <w:p w:rsidR="00000000" w:rsidP="002C6B27">
            <w:pPr>
              <w:pStyle w:val="List2"/>
              <w:rPr>
                <w:lang w:val="en-NZ"/>
              </w:rPr>
            </w:pPr>
            <w:r w:rsidRPr="002C6B27">
              <w:t>2.3.</w:t>
            </w:r>
            <w:r w:rsidRPr="002C6B27">
              <w:tab/>
              <w:t>Circuit card assemblies, attached hardware and electronic components are</w:t>
            </w:r>
            <w:r w:rsidRPr="002C6B27">
              <w:t xml:space="preserve"> electronically and/or physically adjusted/aligned in accordance with maintenance manuals or other prescribed procedures</w:t>
            </w:r>
          </w:p>
        </w:tc>
      </w:tr>
      <w:tr w:rsidTr="006D7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B27">
            <w:pPr>
              <w:pStyle w:val="List"/>
              <w:rPr>
                <w:lang w:val="en-NZ"/>
              </w:rPr>
            </w:pPr>
            <w:r w:rsidRPr="002C6B27">
              <w:t>3.</w:t>
            </w:r>
            <w:r w:rsidRPr="002C6B27">
              <w:tab/>
              <w:t>Troubleshoot single 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2C6B27" w:rsidP="002C6B27">
            <w:pPr>
              <w:pStyle w:val="List2"/>
            </w:pPr>
            <w:r w:rsidRPr="002C6B27">
              <w:t>3.1.</w:t>
            </w:r>
            <w:r w:rsidRPr="002C6B27">
              <w:tab/>
              <w:t>Maintenance documentation, physical inspection and t</w:t>
            </w:r>
            <w:r w:rsidRPr="002C6B27">
              <w:t>est results are used, where applicable, to assist in fault determination</w:t>
            </w:r>
          </w:p>
          <w:p w:rsidR="00000000" w:rsidRPr="002C6B27" w:rsidP="002C6B27">
            <w:pPr>
              <w:pStyle w:val="List2"/>
            </w:pPr>
            <w:r w:rsidRPr="002C6B27">
              <w:t>3.2.</w:t>
            </w:r>
            <w:r w:rsidRPr="002C6B27">
              <w:tab/>
              <w:t>Maintenance manual fault diagnosis guides, logical processes and test equipment are used appropriately to ensure efficient and accurate troubleshooting</w:t>
            </w:r>
          </w:p>
          <w:p w:rsidR="00000000" w:rsidRPr="002C6B27" w:rsidP="002C6B27">
            <w:pPr>
              <w:pStyle w:val="List2"/>
            </w:pPr>
            <w:r w:rsidRPr="002C6B27">
              <w:t>3.3.</w:t>
            </w:r>
            <w:r w:rsidRPr="002C6B27">
              <w:tab/>
              <w:t xml:space="preserve">Component faults are </w:t>
            </w:r>
            <w:r w:rsidRPr="002C6B27">
              <w:t>located and the causes of the faults are clearly identified and recorded in maintenance documentation, where required</w:t>
            </w:r>
          </w:p>
          <w:p w:rsidR="00000000" w:rsidP="002C6B27">
            <w:pPr>
              <w:pStyle w:val="List2"/>
              <w:rPr>
                <w:lang w:val="en-NZ"/>
              </w:rPr>
            </w:pPr>
            <w:r w:rsidRPr="002C6B27">
              <w:t>3.4.</w:t>
            </w:r>
            <w:r w:rsidRPr="002C6B27">
              <w:tab/>
              <w:t>Rectification requirements are determined</w:t>
            </w:r>
          </w:p>
        </w:tc>
      </w:tr>
      <w:tr w:rsidTr="006D7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B27">
            <w:pPr>
              <w:pStyle w:val="List"/>
              <w:rPr>
                <w:lang w:val="en-NZ"/>
              </w:rPr>
            </w:pPr>
            <w:r w:rsidRPr="002C6B27">
              <w:t>4.</w:t>
            </w:r>
            <w:r w:rsidRPr="002C6B27">
              <w:tab/>
              <w:t>Dismantle single 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2C6B27" w:rsidP="002C6B27">
            <w:pPr>
              <w:pStyle w:val="List2"/>
            </w:pPr>
            <w:r w:rsidRPr="002C6B27">
              <w:t>4.1.</w:t>
            </w:r>
            <w:r w:rsidRPr="002C6B27">
              <w:tab/>
              <w:t>Conformal/p</w:t>
            </w:r>
            <w:r w:rsidRPr="002C6B27">
              <w:t>rotective coatings are removed from the circuit card assembly to the extent required to effect necessary repairs and in accordance with maintenance manuals, industry or enterprise standards as applicable</w:t>
            </w:r>
          </w:p>
          <w:p w:rsidR="00000000" w:rsidRPr="002C6B27" w:rsidP="002C6B27">
            <w:pPr>
              <w:pStyle w:val="List2"/>
            </w:pPr>
            <w:r w:rsidRPr="002C6B27">
              <w:t>4.2.</w:t>
            </w:r>
            <w:r w:rsidRPr="002C6B27">
              <w:tab/>
              <w:t>Appropriate OHS precautions are observed at all</w:t>
            </w:r>
            <w:r w:rsidRPr="002C6B27">
              <w:t xml:space="preserve"> times during maintenance procedure</w:t>
            </w:r>
          </w:p>
          <w:p w:rsidR="00000000" w:rsidRPr="002C6B27" w:rsidP="002C6B27">
            <w:pPr>
              <w:pStyle w:val="List2"/>
            </w:pPr>
            <w:r w:rsidRPr="002C6B27">
              <w:t>4.3.</w:t>
            </w:r>
            <w:r w:rsidRPr="002C6B27">
              <w:tab/>
              <w:t>Circuit card assembly is dismantled to the extent necessary to allow repair of all identified faults</w:t>
            </w:r>
          </w:p>
          <w:p w:rsidR="00000000" w:rsidRPr="002C6B27" w:rsidP="002C6B27">
            <w:pPr>
              <w:pStyle w:val="List2"/>
            </w:pPr>
            <w:r w:rsidRPr="002C6B27">
              <w:t>4.4.</w:t>
            </w:r>
            <w:r w:rsidRPr="002C6B27">
              <w:tab/>
              <w:t>Parts for processing are correctly tagged and despatched</w:t>
            </w:r>
          </w:p>
          <w:p w:rsidR="00000000" w:rsidRPr="002C6B27" w:rsidP="002C6B27">
            <w:pPr>
              <w:pStyle w:val="List2"/>
            </w:pPr>
            <w:r w:rsidRPr="002C6B27">
              <w:t>4.5.</w:t>
            </w:r>
            <w:r w:rsidRPr="002C6B27">
              <w:tab/>
              <w:t>Parts for retention and re-fitment are correctl</w:t>
            </w:r>
            <w:r w:rsidRPr="002C6B27">
              <w:t>y packaged and stored in accordance with approved procedures to avoid physical and electrostatic damage</w:t>
            </w:r>
          </w:p>
          <w:p w:rsidR="00000000" w:rsidP="002C6B27">
            <w:pPr>
              <w:pStyle w:val="List2"/>
              <w:rPr>
                <w:lang w:val="en-NZ"/>
              </w:rPr>
            </w:pPr>
            <w:r w:rsidRPr="002C6B27">
              <w:t>4.6.</w:t>
            </w:r>
            <w:r w:rsidRPr="002C6B27">
              <w:tab/>
              <w:t>Parts for disposal are correctly packaged and processed to accord with statutory requirements pertaining to dangerous goods</w:t>
            </w:r>
          </w:p>
        </w:tc>
      </w:tr>
      <w:tr w:rsidTr="006D74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6B27">
            <w:pPr>
              <w:pStyle w:val="List"/>
              <w:rPr>
                <w:lang w:val="en-NZ"/>
              </w:rPr>
            </w:pPr>
            <w:r w:rsidRPr="002C6B27">
              <w:t>5.</w:t>
            </w:r>
            <w:r w:rsidRPr="002C6B27">
              <w:tab/>
            </w:r>
            <w:r w:rsidRPr="002C6B27">
              <w:t>Assemble single 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2C6B27" w:rsidP="002C6B27">
            <w:pPr>
              <w:pStyle w:val="List2"/>
            </w:pPr>
            <w:r w:rsidRPr="002C6B27">
              <w:t>5.1.</w:t>
            </w:r>
            <w:r w:rsidRPr="002C6B27">
              <w:tab/>
              <w:t>Parts removed for access, and replacement parts, are collected ensuring appropriate modification status, component tolerances and assembly configuration is maintained</w:t>
            </w:r>
          </w:p>
          <w:p w:rsidR="00000000" w:rsidRPr="002C6B27" w:rsidP="002C6B27">
            <w:pPr>
              <w:pStyle w:val="List2"/>
            </w:pPr>
            <w:r w:rsidRPr="002C6B27">
              <w:t>5.2.</w:t>
            </w:r>
            <w:r w:rsidRPr="002C6B27">
              <w:tab/>
              <w:t>Printed c</w:t>
            </w:r>
            <w:r w:rsidRPr="002C6B27">
              <w:t>ircuit card and associated components are assembled in accordance with maintenance manuals, and all electrical joints meet the approved standard of the equipment manufacturer, or industry standard, as appropriate</w:t>
            </w:r>
          </w:p>
          <w:p w:rsidR="00000000" w:rsidRPr="002C6B27" w:rsidP="002C6B27">
            <w:pPr>
              <w:pStyle w:val="List2"/>
            </w:pPr>
            <w:r w:rsidRPr="002C6B27">
              <w:t>5.3.Circuit substrate material, circuit tra</w:t>
            </w:r>
            <w:r w:rsidRPr="002C6B27">
              <w:t>cks, edge connectors and through-hole eyelets are reworked, as necessary, to restore printed circuit card to a serviceable condition</w:t>
            </w:r>
          </w:p>
          <w:p w:rsidR="00000000" w:rsidRPr="002C6B27" w:rsidP="002C6B27">
            <w:pPr>
              <w:pStyle w:val="List2"/>
            </w:pPr>
            <w:r w:rsidRPr="002C6B27">
              <w:t>5.4.</w:t>
            </w:r>
            <w:r w:rsidRPr="002C6B27">
              <w:tab/>
              <w:t>Any conformal/protective coatings removed are replaced to the approved standard of the equipment manufacturer, or indu</w:t>
            </w:r>
            <w:r w:rsidRPr="002C6B27">
              <w:t>stry standard, as appropriate</w:t>
            </w:r>
          </w:p>
          <w:p w:rsidR="00000000" w:rsidRPr="002C6B27" w:rsidP="002C6B27">
            <w:pPr>
              <w:pStyle w:val="List2"/>
            </w:pPr>
            <w:r w:rsidRPr="002C6B27">
              <w:t>5.5.Rework techniques are in accordance with industry approval procedures and relevant OHS requirements are observed</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9" w:name="O_400560"/>
      <w:bookmarkEnd w:id="9"/>
      <w:r w:rsidRPr="002C6B27">
        <w:t>Required Skills and Knowledge</w:t>
      </w:r>
    </w:p>
    <w:tbl>
      <w:tblPr>
        <w:tblW w:w="9450" w:type="dxa"/>
        <w:tblLayout w:type="fixed"/>
        <w:tblCellMar>
          <w:left w:w="62" w:type="dxa"/>
          <w:right w:w="62" w:type="dxa"/>
        </w:tblCellMar>
        <w:tblLook w:val="0000"/>
      </w:tblPr>
      <w:tblGrid>
        <w:gridCol w:w="9450"/>
      </w:tblGrid>
      <w:tr w:rsidTr="006D74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C6B27">
            <w:pPr>
              <w:pStyle w:val="BodyText"/>
              <w:rPr>
                <w:lang w:val="en-NZ"/>
              </w:rPr>
            </w:pPr>
            <w:r w:rsidRPr="002C6B27">
              <w:rPr>
                <w:rStyle w:val="SpecialBold"/>
              </w:rPr>
              <w:t>Required skills</w:t>
            </w:r>
          </w:p>
        </w:tc>
      </w:tr>
      <w:tr w:rsidTr="006D74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Look for evidence that confirms skills in:</w:t>
            </w:r>
          </w:p>
          <w:p w:rsidR="00000000" w:rsidRPr="002C6B27" w:rsidP="002C6B27">
            <w:pPr>
              <w:pStyle w:val="ListBullet"/>
            </w:pPr>
            <w:r w:rsidRPr="002C6B27">
              <w:t>applying relevant OHS practices</w:t>
            </w:r>
          </w:p>
          <w:p w:rsidR="00000000" w:rsidRPr="002C6B27" w:rsidP="002C6B27">
            <w:pPr>
              <w:pStyle w:val="ListBullet"/>
            </w:pPr>
            <w:r w:rsidRPr="002C6B27">
              <w:t>using approved repair procedures and processes relating to single and double sided circuit cards</w:t>
            </w:r>
          </w:p>
          <w:p w:rsidR="00000000" w:rsidRPr="002C6B27" w:rsidP="002C6B27">
            <w:pPr>
              <w:pStyle w:val="ListBullet"/>
            </w:pPr>
            <w:r w:rsidRPr="002C6B27">
              <w:t xml:space="preserve">recognising unacceptable soldered connections, damage circuit card components, circuit tracks integrity, substrate damage and </w:t>
            </w:r>
            <w:r w:rsidRPr="002C6B27">
              <w:t>edge connector condition</w:t>
            </w:r>
          </w:p>
          <w:p w:rsidR="00000000" w:rsidRPr="002C6B27" w:rsidP="002C6B27">
            <w:pPr>
              <w:pStyle w:val="ListBullet"/>
            </w:pPr>
            <w:r w:rsidRPr="002C6B27">
              <w:t>applying static-safe work area practices</w:t>
            </w:r>
          </w:p>
          <w:p w:rsidR="00000000" w:rsidRPr="002C6B27" w:rsidP="002C6B27">
            <w:pPr>
              <w:pStyle w:val="ListBullet"/>
            </w:pPr>
            <w:r w:rsidRPr="002C6B27">
              <w:t>reworking unacceptable PCB soldered connections, via acceptable de-soldering and soldering techniques</w:t>
            </w:r>
          </w:p>
          <w:p w:rsidR="00000000" w:rsidRPr="002C6B27" w:rsidP="002C6B27">
            <w:pPr>
              <w:pStyle w:val="ListBullet"/>
            </w:pPr>
            <w:r w:rsidRPr="002C6B27">
              <w:t>disassembling and assembling PCB cards to approved industry standards and prescribed spe</w:t>
            </w:r>
            <w:r w:rsidRPr="002C6B27">
              <w:t>cifications</w:t>
            </w:r>
          </w:p>
          <w:p w:rsidR="00000000" w:rsidRPr="002C6B27" w:rsidP="002C6B27">
            <w:pPr>
              <w:pStyle w:val="ListBullet"/>
            </w:pPr>
            <w:r w:rsidRPr="002C6B27">
              <w:t>performing PCB tests using relevant test equipment and processes to isolate PCB track faults and assess serviceability state post-repair</w:t>
            </w:r>
          </w:p>
          <w:p w:rsidR="00000000" w:rsidP="002C6B27">
            <w:pPr>
              <w:pStyle w:val="ListBullet"/>
              <w:rPr>
                <w:lang w:val="en-NZ"/>
              </w:rPr>
            </w:pPr>
            <w:r w:rsidRPr="002C6B27">
              <w:t>correctly disassembling, preparing repair area, reworking the card to industry standards, replacing faulted</w:t>
            </w:r>
            <w:r w:rsidRPr="002C6B27">
              <w:t xml:space="preserve"> components and assembling card for post-repair inspection and testing</w:t>
            </w:r>
          </w:p>
        </w:tc>
      </w:tr>
      <w:tr w:rsidTr="006D74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C6B27">
            <w:pPr>
              <w:pStyle w:val="BodyText"/>
              <w:rPr>
                <w:lang w:val="en-NZ"/>
              </w:rPr>
            </w:pPr>
            <w:r w:rsidRPr="002C6B27">
              <w:rPr>
                <w:rStyle w:val="SpecialBold"/>
              </w:rPr>
              <w:t>Required knowledge</w:t>
            </w:r>
          </w:p>
        </w:tc>
      </w:tr>
      <w:tr w:rsidTr="006D740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C6B27" w:rsidP="002C6B27">
            <w:pPr>
              <w:pStyle w:val="BodyText"/>
            </w:pPr>
            <w:r w:rsidRPr="002C6B27">
              <w:t>Look for evidence that confirms knowledge of:</w:t>
            </w:r>
          </w:p>
          <w:p w:rsidR="00000000" w:rsidRPr="002C6B27" w:rsidP="002C6B27">
            <w:pPr>
              <w:pStyle w:val="ListBullet"/>
            </w:pPr>
            <w:r w:rsidRPr="002C6B27">
              <w:t>component operation</w:t>
            </w:r>
          </w:p>
          <w:p w:rsidR="00000000" w:rsidRPr="002C6B27" w:rsidP="002C6B27">
            <w:pPr>
              <w:pStyle w:val="ListBullet"/>
            </w:pPr>
            <w:r w:rsidRPr="002C6B27">
              <w:t>basic principles/functions relating to electrical and electronic components on PCBs</w:t>
            </w:r>
          </w:p>
          <w:p w:rsidR="00000000" w:rsidRPr="002C6B27" w:rsidP="002C6B27">
            <w:pPr>
              <w:pStyle w:val="ListBullet"/>
            </w:pPr>
            <w:r w:rsidRPr="002C6B27">
              <w:t>substrate materials</w:t>
            </w:r>
          </w:p>
          <w:p w:rsidR="00000000" w:rsidRPr="002C6B27" w:rsidP="002C6B27">
            <w:pPr>
              <w:pStyle w:val="ListBullet"/>
            </w:pPr>
            <w:r w:rsidRPr="002C6B27">
              <w:t>types of conformal coating</w:t>
            </w:r>
          </w:p>
          <w:p w:rsidR="00000000" w:rsidRPr="002C6B27" w:rsidP="002C6B27">
            <w:pPr>
              <w:pStyle w:val="ListBullet"/>
            </w:pPr>
            <w:r w:rsidRPr="002C6B27">
              <w:t>types of soldering equipment and solders used in track repair and component assembly</w:t>
            </w:r>
          </w:p>
          <w:p w:rsidR="00000000" w:rsidRPr="002C6B27" w:rsidP="002C6B27">
            <w:pPr>
              <w:pStyle w:val="ListBullet"/>
            </w:pPr>
            <w:r w:rsidRPr="002C6B27">
              <w:t>how to obtain MSDS</w:t>
            </w:r>
          </w:p>
          <w:p w:rsidR="00000000" w:rsidRPr="002C6B27" w:rsidP="002C6B27">
            <w:pPr>
              <w:pStyle w:val="ListBullet"/>
            </w:pPr>
            <w:r w:rsidRPr="002C6B27">
              <w:t>OHS procedures</w:t>
            </w:r>
          </w:p>
          <w:p w:rsidR="00000000" w:rsidRPr="002C6B27" w:rsidP="002C6B27">
            <w:pPr>
              <w:pStyle w:val="ListBullet"/>
            </w:pPr>
            <w:r w:rsidRPr="002C6B27">
              <w:t>relevant maintenance manuals</w:t>
            </w:r>
          </w:p>
          <w:p w:rsidR="00000000" w:rsidRPr="002C6B27" w:rsidP="002C6B27">
            <w:pPr>
              <w:pStyle w:val="ListBullet"/>
            </w:pPr>
            <w:r w:rsidRPr="002C6B27">
              <w:t>relevant regulatory requirements and standard procedures</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10" w:name="O_400566"/>
      <w:bookmarkEnd w:id="10"/>
      <w:r w:rsidRPr="002C6B27">
        <w:t>Evidence Guide</w:t>
      </w:r>
    </w:p>
    <w:tbl>
      <w:tblPr>
        <w:tblW w:w="9570" w:type="dxa"/>
        <w:tblLayout w:type="fixed"/>
        <w:tblCellMar>
          <w:left w:w="62" w:type="dxa"/>
          <w:right w:w="62" w:type="dxa"/>
        </w:tblCellMar>
        <w:tblLook w:val="0000"/>
      </w:tblPr>
      <w:tblGrid>
        <w:gridCol w:w="3908"/>
        <w:gridCol w:w="5662"/>
      </w:tblGrid>
      <w:tr w:rsidTr="006D74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t>The Evidence Guide provides advice on assessment and must be read in conjunction with the performance criteria, required skills and knowledge, range statement and the Assessment Guidelines for the Training Package.</w:t>
            </w:r>
          </w:p>
        </w:tc>
      </w:tr>
      <w:tr w:rsidTr="006D7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t>A person who demonstrates competency in this unit must be able to repair single layer circuit boards in accordance with procedures and standards while applying all relevant safety precautions.</w:t>
            </w:r>
          </w:p>
        </w:tc>
      </w:tr>
      <w:tr w:rsidTr="006D7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Critical aspects for assessment and evi</w:t>
            </w:r>
            <w:r w:rsidRPr="002C6B27">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r w:rsidRPr="002C6B27">
              <w:t>It is essential that substrate abrasion and rebuilding techniques, and precautions associated with handling and assembly of electrostatic and temperature sensitive devices are fully observed, understood</w:t>
            </w:r>
            <w:r w:rsidRPr="002C6B27">
              <w:t xml:space="preserve"> and complied with. A high level of awareness of safety precautions associated with beryllium materials and use of fluxes and solvents is to be demonstrated.</w:t>
            </w:r>
          </w:p>
          <w:p w:rsidR="00000000" w:rsidRPr="002C6B27" w:rsidP="002C6B27">
            <w:pPr>
              <w:pStyle w:val="BodyText"/>
            </w:pPr>
            <w:r w:rsidRPr="002C6B27">
              <w:t>Evidence of transferability of skills and knowledge related to single layer printed circuit card a</w:t>
            </w:r>
            <w:r w:rsidRPr="002C6B27">
              <w:t>ssembly and repair is essential before undertaking any action. This may be demonstrated through application of the techniques involved across a representative range of circuit card substrate materials and attached components. The work plan should take acco</w:t>
            </w:r>
            <w:r w:rsidRPr="002C6B27">
              <w:t>unt of applicable safety and quality requirements in accordance with the industry and regulatory standards. Use of high precision, high reliability soldering techniques and handling of components, including application of anti-static equipment, must be dem</w:t>
            </w:r>
            <w:r w:rsidRPr="002C6B27">
              <w:t>onstrated.</w:t>
            </w:r>
          </w:p>
          <w:p w:rsidR="00000000" w:rsidP="002C6B27">
            <w:pPr>
              <w:pStyle w:val="BodyText"/>
              <w:rPr>
                <w:lang w:val="en-NZ"/>
              </w:rPr>
            </w:pPr>
            <w:r w:rsidRPr="002C6B27">
              <w:t>A person cannot be assessed as competent until it can be demonstrated to the satisfaction of the workplace assessor that the relevant elements of the unit of competency are being achieved under routine supervision on a representative range of ca</w:t>
            </w:r>
            <w:r w:rsidRPr="002C6B27">
              <w:t>rds with various substrate materials and components. This shall be established via the records in the Log of Industrial Experience and Achievement or, where appropriate, an equivalent Industry Evidence Guide.</w:t>
            </w:r>
          </w:p>
        </w:tc>
      </w:tr>
      <w:tr w:rsidTr="006D7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Context of and specific resources for assessme</w:t>
            </w:r>
            <w:r w:rsidRPr="002C6B27">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t>Competency should be assessed in the work environment or simulated work environment, using tools and equipment specified in maintenance manuals. It is also expected that general and special purpose test equipment found in most routine situations would b</w:t>
            </w:r>
            <w:r w:rsidRPr="002C6B27">
              <w:t>e used where appropriate.</w:t>
            </w:r>
          </w:p>
        </w:tc>
      </w:tr>
      <w:tr w:rsidTr="006D7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p>
        </w:tc>
      </w:tr>
      <w:tr w:rsidTr="006D74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11" w:name="O_400561"/>
      <w:bookmarkEnd w:id="11"/>
      <w:r w:rsidRPr="002C6B27">
        <w:t>Range Statement</w:t>
      </w:r>
    </w:p>
    <w:tbl>
      <w:tblPr>
        <w:tblW w:w="9360" w:type="dxa"/>
        <w:tblLayout w:type="fixed"/>
        <w:tblCellMar>
          <w:left w:w="62" w:type="dxa"/>
          <w:right w:w="62" w:type="dxa"/>
        </w:tblCellMar>
        <w:tblLook w:val="0000"/>
      </w:tblPr>
      <w:tblGrid>
        <w:gridCol w:w="3507"/>
        <w:gridCol w:w="5853"/>
      </w:tblGrid>
      <w:tr w:rsidTr="006D740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t>The range statement relates to the unit of competency as a whole. It allows for different work environments and situations that may affect performance. Bold italicised wording, if used in the performance criteria, is detailed below. Essential operating con</w:t>
            </w:r>
            <w:r w:rsidRPr="002C6B27">
              <w:t>ditions that may be present with training and assessment (depending on the work situation, needs of the candidate, accessibility of the item, and local industry and regional contexts) may also be included.</w:t>
            </w:r>
          </w:p>
        </w:tc>
      </w:tr>
      <w:tr w:rsidTr="006D7403">
        <w:tblPrEx>
          <w:tblW w:w="936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Circuit card components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r w:rsidRPr="002C6B27">
              <w:t>Attached components incl</w:t>
            </w:r>
            <w:r w:rsidRPr="002C6B27">
              <w:t>ude:</w:t>
            </w:r>
          </w:p>
          <w:p w:rsidR="00000000" w:rsidP="002C6B27">
            <w:pPr>
              <w:pStyle w:val="ListBullet"/>
              <w:rPr>
                <w:lang w:val="en-NZ"/>
              </w:rPr>
            </w:pPr>
            <w:r w:rsidRPr="002C6B27">
              <w:t>capacitors, resistors, wires, semiconductors, inductors, transformers, switches, connectors, multi-pin ICs, terminal posts and heat-sink materials and will include electrostatic sensitive devices</w:t>
            </w:r>
          </w:p>
        </w:tc>
      </w:tr>
      <w:tr w:rsidTr="006D7403">
        <w:tblPrEx>
          <w:tblW w:w="936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Application</w:t>
            </w:r>
            <w:r w:rsidRPr="002C6B27">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r w:rsidRPr="002C6B27">
              <w:t>Application of this unit may relate to:</w:t>
            </w:r>
          </w:p>
          <w:p w:rsidR="00000000" w:rsidRPr="002C6B27" w:rsidP="002C6B27">
            <w:pPr>
              <w:pStyle w:val="ListBullet"/>
            </w:pPr>
            <w:r w:rsidRPr="002C6B27">
              <w:t>scheduled or unscheduled maintenance activities</w:t>
            </w:r>
          </w:p>
          <w:p w:rsidR="00000000" w:rsidRPr="002C6B27" w:rsidP="002C6B27">
            <w:pPr>
              <w:pStyle w:val="ListBullet"/>
            </w:pPr>
            <w:r w:rsidRPr="002C6B27">
              <w:t>individual or team-related activities</w:t>
            </w:r>
          </w:p>
          <w:p w:rsidR="00000000" w:rsidP="002C6B27">
            <w:pPr>
              <w:pStyle w:val="ListBullet"/>
              <w:rPr>
                <w:lang w:val="en-NZ"/>
              </w:rPr>
            </w:pPr>
            <w:r w:rsidRPr="002C6B27">
              <w:t xml:space="preserve">single layer printed circuit card assemblies with substrates made from fibreglass, phenolic, composite fibre and epoxy resins and coatings that are from a wide range of </w:t>
            </w:r>
            <w:r w:rsidRPr="002C6B27">
              <w:t>aircraft systems</w:t>
            </w:r>
          </w:p>
        </w:tc>
      </w:tr>
      <w:tr w:rsidTr="006D7403">
        <w:tblPrEx>
          <w:tblW w:w="936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B27">
            <w:pPr>
              <w:pStyle w:val="BodyText"/>
              <w:rPr>
                <w:lang w:val="en-NZ"/>
              </w:rPr>
            </w:pPr>
            <w:r w:rsidRPr="002C6B27">
              <w:rPr>
                <w:rStyle w:val="SpecialBold"/>
              </w:rPr>
              <w:t>Procedures and standards</w:t>
            </w:r>
            <w:r w:rsidRPr="002C6B27">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B27" w:rsidP="002C6B27">
            <w:pPr>
              <w:pStyle w:val="BodyText"/>
            </w:pPr>
            <w:r w:rsidRPr="002C6B27">
              <w:t>Procedures and standards for repair of printed circuit card assemblies include:</w:t>
            </w:r>
          </w:p>
          <w:p w:rsidR="00000000" w:rsidRPr="002C6B27" w:rsidP="002C6B27">
            <w:pPr>
              <w:pStyle w:val="ListBullet"/>
            </w:pPr>
            <w:r w:rsidRPr="002C6B27">
              <w:t>a range of general engineering hand skills in addition to specific high reliability soldering skills</w:t>
            </w:r>
          </w:p>
          <w:p w:rsidR="00000000" w:rsidRPr="002C6B27" w:rsidP="002C6B27">
            <w:pPr>
              <w:pStyle w:val="ListBullet"/>
            </w:pPr>
            <w:r w:rsidRPr="002C6B27">
              <w:t>standards applicable in a give</w:t>
            </w:r>
            <w:r w:rsidRPr="002C6B27">
              <w:t>n situation will be defined by equipment manufacturers and/or regulatory authorities and the enterprise</w:t>
            </w:r>
          </w:p>
        </w:tc>
      </w:tr>
    </w:tbl>
    <w:p w:rsidR="00000000" w:rsidRPr="002C6B27" w:rsidP="002C6B27">
      <w:pPr>
        <w:pStyle w:val="BodyText"/>
      </w:pPr>
    </w:p>
    <w:p w:rsidR="00000000" w:rsidRPr="002C6B27" w:rsidP="002C6B27">
      <w:pPr>
        <w:pStyle w:val="AllowPageBreak"/>
      </w:pPr>
    </w:p>
    <w:p w:rsidR="00000000" w:rsidRPr="002C6B27" w:rsidP="002C6B27">
      <w:pPr>
        <w:pStyle w:val="Heading1"/>
      </w:pPr>
      <w:bookmarkStart w:id="12" w:name="O_400558"/>
      <w:bookmarkEnd w:id="12"/>
      <w:r w:rsidRPr="002C6B27">
        <w:t>Unit Sector(s)</w:t>
      </w:r>
    </w:p>
    <w:p w:rsidR="00000000" w:rsidRPr="002C6B27" w:rsidP="002C6B27">
      <w:pPr>
        <w:pStyle w:val="BodyText"/>
      </w:pPr>
      <w:r w:rsidRPr="002C6B27">
        <w:t>Aviation maintenance</w:t>
      </w:r>
    </w:p>
    <w:p w:rsidR="00000000" w:rsidRPr="002C6B27" w:rsidP="002C6B27">
      <w:pPr>
        <w:pStyle w:val="AllowPageBreak"/>
      </w:pPr>
    </w:p>
    <w:p w:rsidR="00000000" w:rsidRPr="002C6B27" w:rsidP="002C6B27">
      <w:pPr>
        <w:pStyle w:val="Heading1"/>
      </w:pPr>
      <w:bookmarkStart w:id="13" w:name="O_400571"/>
      <w:bookmarkEnd w:id="13"/>
      <w:r w:rsidRPr="002C6B27">
        <w:t>Competency field</w:t>
      </w:r>
    </w:p>
    <w:p w:rsidR="00000000" w:rsidRPr="002C6B27" w:rsidP="002C6B27">
      <w:pPr>
        <w:pStyle w:val="Heading1"/>
      </w:pPr>
      <w:bookmarkStart w:id="14" w:name="O_400570"/>
      <w:bookmarkEnd w:id="14"/>
      <w:r w:rsidRPr="002C6B27">
        <w:t>Co-requisite units</w:t>
      </w:r>
    </w:p>
    <w:p w:rsidR="00000000" w:rsidRPr="002C6B27" w:rsidP="002C6B27">
      <w:pPr>
        <w:pStyle w:val="BodyText"/>
      </w:pPr>
      <w:r w:rsidRPr="002C6B27">
        <w:t>Not applicable</w:t>
      </w:r>
    </w:p>
    <w:p w:rsidR="00000000" w:rsidRPr="002C6B27" w:rsidP="002C6B27"/>
    <w:sectPr w:rsidSect="002C6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rsidRPr="006D7403" w:rsidP="006D7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3" w:rsidP="002C6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7403" w:rsidP="002C6B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7403" w:rsidP="002C6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rsidRPr="006D7403" w:rsidP="006D74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03" w:rsidRPr="002D2AF8" w:rsidP="002C6B27">
    <w:pPr>
      <w:pStyle w:val="Header"/>
      <w:framePr w:wrap="around"/>
    </w:pPr>
    <w:r>
      <w:fldChar w:fldCharType="begin"/>
    </w:r>
    <w:r>
      <w:instrText xml:space="preserve"> TITLE   \* MERGEFORMAT </w:instrText>
    </w:r>
    <w:r>
      <w:fldChar w:fldCharType="separate"/>
    </w:r>
    <w:r>
      <w:t>MEA262B Modify/repair aircraft component single 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D7403" w:rsidP="002C6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940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F85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B27"/>
    <w:pPr>
      <w:spacing w:before="360" w:after="60"/>
      <w:outlineLvl w:val="0"/>
    </w:pPr>
    <w:rPr>
      <w:sz w:val="32"/>
    </w:rPr>
  </w:style>
  <w:style w:type="paragraph" w:styleId="Heading2">
    <w:name w:val="heading 2"/>
    <w:basedOn w:val="HeadingBase"/>
    <w:next w:val="BodyText"/>
    <w:link w:val="Heading2Char"/>
    <w:qFormat/>
    <w:rsid w:val="002C6B27"/>
    <w:pPr>
      <w:keepLines/>
      <w:spacing w:before="240" w:after="120"/>
      <w:outlineLvl w:val="1"/>
    </w:pPr>
    <w:rPr>
      <w:sz w:val="28"/>
      <w:szCs w:val="40"/>
    </w:rPr>
  </w:style>
  <w:style w:type="paragraph" w:styleId="Heading3">
    <w:name w:val="heading 3"/>
    <w:basedOn w:val="HeadingBase"/>
    <w:next w:val="BodyText"/>
    <w:link w:val="Heading3Char"/>
    <w:qFormat/>
    <w:rsid w:val="002C6B27"/>
    <w:pPr>
      <w:spacing w:before="180" w:after="120"/>
      <w:outlineLvl w:val="2"/>
    </w:pPr>
    <w:rPr>
      <w:spacing w:val="-10"/>
      <w:kern w:val="32"/>
    </w:rPr>
  </w:style>
  <w:style w:type="paragraph" w:styleId="Heading4">
    <w:name w:val="heading 4"/>
    <w:basedOn w:val="HeadingBase"/>
    <w:next w:val="BodyText"/>
    <w:link w:val="Heading4Char"/>
    <w:qFormat/>
    <w:rsid w:val="002C6B27"/>
    <w:pPr>
      <w:spacing w:before="160" w:after="120"/>
      <w:outlineLvl w:val="3"/>
    </w:pPr>
    <w:rPr>
      <w:sz w:val="22"/>
    </w:rPr>
  </w:style>
  <w:style w:type="paragraph" w:styleId="Heading5">
    <w:name w:val="heading 5"/>
    <w:basedOn w:val="HeadingBase"/>
    <w:next w:val="Normal"/>
    <w:link w:val="Heading5Char"/>
    <w:qFormat/>
    <w:rsid w:val="002C6B27"/>
    <w:pPr>
      <w:spacing w:before="80"/>
      <w:outlineLvl w:val="4"/>
    </w:pPr>
    <w:rPr>
      <w:color w:val="918585"/>
      <w:sz w:val="20"/>
    </w:rPr>
  </w:style>
  <w:style w:type="paragraph" w:styleId="Heading6">
    <w:name w:val="heading 6"/>
    <w:basedOn w:val="HeadingBase"/>
    <w:next w:val="Normal"/>
    <w:link w:val="Heading6Char"/>
    <w:qFormat/>
    <w:rsid w:val="002C6B27"/>
    <w:pPr>
      <w:spacing w:before="60"/>
      <w:outlineLvl w:val="5"/>
    </w:pPr>
    <w:rPr>
      <w:color w:val="918585"/>
      <w:sz w:val="20"/>
    </w:rPr>
  </w:style>
  <w:style w:type="paragraph" w:styleId="Heading7">
    <w:name w:val="heading 7"/>
    <w:basedOn w:val="Normal"/>
    <w:next w:val="Normal"/>
    <w:link w:val="Heading7Char"/>
    <w:qFormat/>
    <w:rsid w:val="002C6B27"/>
    <w:pPr>
      <w:ind w:left="720"/>
      <w:outlineLvl w:val="6"/>
    </w:pPr>
    <w:rPr>
      <w:i/>
    </w:rPr>
  </w:style>
  <w:style w:type="paragraph" w:styleId="Heading8">
    <w:name w:val="heading 8"/>
    <w:basedOn w:val="Normal"/>
    <w:next w:val="Normal"/>
    <w:link w:val="Heading8Char"/>
    <w:qFormat/>
    <w:rsid w:val="002C6B27"/>
    <w:pPr>
      <w:ind w:left="720"/>
      <w:outlineLvl w:val="7"/>
    </w:pPr>
    <w:rPr>
      <w:i/>
    </w:rPr>
  </w:style>
  <w:style w:type="paragraph" w:styleId="Heading9">
    <w:name w:val="heading 9"/>
    <w:basedOn w:val="Normal"/>
    <w:next w:val="Normal"/>
    <w:link w:val="Heading9Char"/>
    <w:qFormat/>
    <w:rsid w:val="002C6B27"/>
    <w:pPr>
      <w:ind w:left="720"/>
      <w:outlineLvl w:val="8"/>
    </w:pPr>
    <w:rPr>
      <w:i/>
    </w:rPr>
  </w:style>
  <w:style w:type="character" w:default="1" w:styleId="DefaultParagraphFont">
    <w:name w:val="Default Paragraph Font"/>
    <w:uiPriority w:val="1"/>
    <w:unhideWhenUsed/>
    <w:rsid w:val="002C6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B27"/>
  </w:style>
  <w:style w:type="character" w:customStyle="1" w:styleId="Heading1Char">
    <w:name w:val="Heading 1 Char"/>
    <w:basedOn w:val="DefaultParagraphFont"/>
    <w:link w:val="Heading1"/>
    <w:rsid w:val="002C6B27"/>
    <w:rPr>
      <w:rFonts w:ascii="Times New Roman" w:eastAsia="Times New Roman" w:hAnsi="Times New Roman" w:cs="Times New Roman"/>
      <w:b/>
      <w:sz w:val="32"/>
      <w:szCs w:val="20"/>
      <w:lang w:eastAsia="en-US"/>
    </w:rPr>
  </w:style>
  <w:style w:type="paragraph" w:styleId="BodyText">
    <w:name w:val="Body Text"/>
    <w:basedOn w:val="Normal"/>
    <w:link w:val="BodyTextChar"/>
    <w:rsid w:val="002C6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B27"/>
    <w:rPr>
      <w:rFonts w:ascii="Times New Roman" w:eastAsia="Times New Roman" w:hAnsi="Times New Roman" w:cs="Times New Roman"/>
      <w:sz w:val="24"/>
      <w:lang w:eastAsia="en-US"/>
    </w:rPr>
  </w:style>
  <w:style w:type="paragraph" w:styleId="List">
    <w:name w:val="List"/>
    <w:basedOn w:val="BodyText"/>
    <w:next w:val="BodyText"/>
    <w:rsid w:val="002C6B27"/>
    <w:pPr>
      <w:tabs>
        <w:tab w:val="left" w:pos="340"/>
      </w:tabs>
      <w:spacing w:before="60" w:after="60"/>
      <w:ind w:left="340" w:hanging="340"/>
    </w:pPr>
  </w:style>
  <w:style w:type="paragraph" w:styleId="ListBullet">
    <w:name w:val="List Bullet"/>
    <w:basedOn w:val="List"/>
    <w:rsid w:val="002C6B27"/>
    <w:pPr>
      <w:numPr>
        <w:numId w:val="12"/>
      </w:numPr>
      <w:tabs>
        <w:tab w:val="clear" w:pos="340"/>
      </w:tabs>
      <w:spacing w:before="40" w:after="40"/>
    </w:pPr>
  </w:style>
  <w:style w:type="character" w:customStyle="1" w:styleId="SpecialBold">
    <w:name w:val="Special Bold"/>
    <w:basedOn w:val="DefaultParagraphFont"/>
    <w:rsid w:val="002C6B27"/>
    <w:rPr>
      <w:b/>
      <w:spacing w:val="0"/>
    </w:rPr>
  </w:style>
  <w:style w:type="paragraph" w:customStyle="1" w:styleId="SuperHeading">
    <w:name w:val="SuperHeading"/>
    <w:basedOn w:val="Normal"/>
    <w:rsid w:val="002C6B27"/>
    <w:pPr>
      <w:spacing w:before="240" w:after="120"/>
      <w:outlineLvl w:val="0"/>
    </w:pPr>
    <w:rPr>
      <w:rFonts w:ascii="Times New Roman" w:hAnsi="Times New Roman"/>
      <w:b/>
      <w:sz w:val="32"/>
    </w:rPr>
  </w:style>
  <w:style w:type="paragraph" w:customStyle="1" w:styleId="AllowPageBreak">
    <w:name w:val="AllowPageBreak"/>
    <w:rsid w:val="002C6B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B27"/>
    <w:pPr>
      <w:tabs>
        <w:tab w:val="left" w:pos="680"/>
      </w:tabs>
      <w:spacing w:before="60" w:after="60"/>
      <w:ind w:left="680" w:hanging="340"/>
    </w:pPr>
  </w:style>
  <w:style w:type="character" w:customStyle="1" w:styleId="BoldandItalics">
    <w:name w:val="Bold and Italics"/>
    <w:qFormat/>
    <w:rsid w:val="002C6B27"/>
    <w:rPr>
      <w:b/>
      <w:i/>
      <w:u w:val="none"/>
    </w:rPr>
  </w:style>
  <w:style w:type="character" w:customStyle="1" w:styleId="Heading2Char">
    <w:name w:val="Heading 2 Char"/>
    <w:basedOn w:val="DefaultParagraphFont"/>
    <w:link w:val="Heading2"/>
    <w:rsid w:val="002C6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B27"/>
    <w:rPr>
      <w:rFonts w:ascii="Courier New" w:eastAsia="Times New Roman" w:hAnsi="Courier New" w:cs="Times New Roman"/>
      <w:i/>
      <w:szCs w:val="20"/>
      <w:lang w:eastAsia="en-US"/>
    </w:rPr>
  </w:style>
  <w:style w:type="paragraph" w:customStyle="1" w:styleId="HeadingBase">
    <w:name w:val="Heading Base"/>
    <w:rsid w:val="002C6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B27"/>
    <w:pPr>
      <w:tabs>
        <w:tab w:val="right" w:leader="dot" w:pos="9072"/>
      </w:tabs>
      <w:ind w:left="567"/>
    </w:pPr>
    <w:rPr>
      <w:szCs w:val="22"/>
    </w:rPr>
  </w:style>
  <w:style w:type="paragraph" w:customStyle="1" w:styleId="TOCBase">
    <w:name w:val="TOC Base"/>
    <w:rsid w:val="002C6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B27"/>
    <w:pPr>
      <w:tabs>
        <w:tab w:val="right" w:leader="dot" w:pos="9072"/>
      </w:tabs>
      <w:spacing w:before="40" w:after="40"/>
      <w:ind w:left="284"/>
    </w:pPr>
    <w:rPr>
      <w:rFonts w:ascii="Times New Roman" w:hAnsi="Times New Roman"/>
    </w:rPr>
  </w:style>
  <w:style w:type="paragraph" w:styleId="TOC1">
    <w:name w:val="toc 1"/>
    <w:basedOn w:val="TOCBase"/>
    <w:next w:val="Normal"/>
    <w:rsid w:val="002C6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B27"/>
    <w:rPr>
      <w:rFonts w:ascii="Times New Roman" w:eastAsia="Times New Roman" w:hAnsi="Times New Roman" w:cs="Times New Roman"/>
      <w:sz w:val="16"/>
      <w:lang w:eastAsia="en-US"/>
    </w:rPr>
  </w:style>
  <w:style w:type="paragraph" w:styleId="Title">
    <w:name w:val="Title"/>
    <w:basedOn w:val="HeadingBase"/>
    <w:link w:val="TitleChar"/>
    <w:qFormat/>
    <w:rsid w:val="002C6B27"/>
    <w:pPr>
      <w:spacing w:before="5040"/>
      <w:jc w:val="center"/>
    </w:pPr>
    <w:rPr>
      <w:sz w:val="48"/>
      <w:szCs w:val="72"/>
      <w:lang w:val="en-US"/>
    </w:rPr>
  </w:style>
  <w:style w:type="character" w:customStyle="1" w:styleId="TitleChar">
    <w:name w:val="Title Char"/>
    <w:basedOn w:val="DefaultParagraphFont"/>
    <w:link w:val="Title"/>
    <w:rsid w:val="002C6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B27"/>
    <w:pPr>
      <w:tabs>
        <w:tab w:val="left" w:pos="3600"/>
        <w:tab w:val="left" w:pos="3958"/>
      </w:tabs>
    </w:pPr>
  </w:style>
  <w:style w:type="paragraph" w:customStyle="1" w:styleId="Note">
    <w:name w:val="Note"/>
    <w:basedOn w:val="BodyText"/>
    <w:rsid w:val="002C6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B27"/>
    <w:pPr>
      <w:framePr w:wrap="auto" w:hAnchor="text" w:y="6049"/>
    </w:pPr>
    <w:rPr>
      <w:color w:val="000000"/>
      <w:sz w:val="40"/>
    </w:rPr>
  </w:style>
  <w:style w:type="paragraph" w:customStyle="1" w:styleId="TOCTitle">
    <w:name w:val="TOCTitle"/>
    <w:basedOn w:val="Heading1"/>
    <w:rsid w:val="002C6B27"/>
    <w:pPr>
      <w:spacing w:after="240"/>
      <w:jc w:val="center"/>
      <w:outlineLvl w:val="9"/>
    </w:pPr>
    <w:rPr>
      <w:caps/>
    </w:rPr>
  </w:style>
  <w:style w:type="paragraph" w:customStyle="1" w:styleId="Version">
    <w:name w:val="Version"/>
    <w:rsid w:val="002C6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B27"/>
    <w:pPr>
      <w:numPr>
        <w:numId w:val="13"/>
      </w:numPr>
      <w:tabs>
        <w:tab w:val="clear" w:pos="680"/>
      </w:tabs>
    </w:pPr>
  </w:style>
  <w:style w:type="paragraph" w:styleId="Index1">
    <w:name w:val="index 1"/>
    <w:basedOn w:val="Normal"/>
    <w:next w:val="Normal"/>
    <w:semiHidden/>
    <w:rsid w:val="002C6B27"/>
    <w:pPr>
      <w:keepNext w:val="0"/>
      <w:tabs>
        <w:tab w:val="right" w:pos="4176"/>
      </w:tabs>
      <w:ind w:left="198" w:hanging="198"/>
    </w:pPr>
    <w:rPr>
      <w:rFonts w:ascii="Garamond" w:hAnsi="Garamond"/>
    </w:rPr>
  </w:style>
  <w:style w:type="paragraph" w:styleId="IndexHeading">
    <w:name w:val="index heading"/>
    <w:basedOn w:val="Normal"/>
    <w:next w:val="Index1"/>
    <w:semiHidden/>
    <w:rsid w:val="002C6B27"/>
    <w:pPr>
      <w:spacing w:before="120" w:after="120"/>
    </w:pPr>
    <w:rPr>
      <w:rFonts w:ascii="Arial" w:hAnsi="Arial"/>
      <w:b/>
      <w:color w:val="918585"/>
      <w:sz w:val="24"/>
    </w:rPr>
  </w:style>
  <w:style w:type="paragraph" w:styleId="Header">
    <w:name w:val="header"/>
    <w:basedOn w:val="Normal"/>
    <w:link w:val="HeaderChar"/>
    <w:rsid w:val="002C6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B27"/>
    <w:rPr>
      <w:rFonts w:ascii="Times New Roman" w:eastAsia="Times New Roman" w:hAnsi="Times New Roman" w:cs="Times New Roman"/>
      <w:sz w:val="16"/>
      <w:szCs w:val="20"/>
      <w:lang w:val="en-GB" w:eastAsia="en-US"/>
    </w:rPr>
  </w:style>
  <w:style w:type="paragraph" w:customStyle="1" w:styleId="Chapter">
    <w:name w:val="Chapter"/>
    <w:basedOn w:val="Normal"/>
    <w:rsid w:val="002C6B27"/>
    <w:pPr>
      <w:spacing w:before="240"/>
    </w:pPr>
    <w:rPr>
      <w:rFonts w:ascii="Times New Roman" w:hAnsi="Times New Roman"/>
      <w:smallCaps/>
      <w:spacing w:val="80"/>
      <w:sz w:val="28"/>
    </w:rPr>
  </w:style>
  <w:style w:type="paragraph" w:customStyle="1" w:styleId="InChapter">
    <w:name w:val="InChapter"/>
    <w:basedOn w:val="Heading3"/>
    <w:rsid w:val="002C6B27"/>
    <w:pPr>
      <w:spacing w:after="240"/>
      <w:outlineLvl w:val="9"/>
    </w:pPr>
    <w:rPr>
      <w:noProof/>
    </w:rPr>
  </w:style>
  <w:style w:type="paragraph" w:styleId="Index2">
    <w:name w:val="index 2"/>
    <w:basedOn w:val="Normal"/>
    <w:next w:val="Normal"/>
    <w:semiHidden/>
    <w:rsid w:val="002C6B27"/>
    <w:pPr>
      <w:tabs>
        <w:tab w:val="right" w:pos="4176"/>
      </w:tabs>
      <w:ind w:left="568" w:hanging="284"/>
    </w:pPr>
    <w:rPr>
      <w:rFonts w:ascii="Garamond" w:hAnsi="Garamond"/>
    </w:rPr>
  </w:style>
  <w:style w:type="paragraph" w:customStyle="1" w:styleId="Byline">
    <w:name w:val="Byline"/>
    <w:rsid w:val="002C6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B27"/>
    <w:pPr>
      <w:tabs>
        <w:tab w:val="clear" w:pos="3600"/>
        <w:tab w:val="clear" w:pos="3958"/>
      </w:tabs>
      <w:jc w:val="right"/>
    </w:pPr>
  </w:style>
  <w:style w:type="character" w:styleId="Emphasis">
    <w:name w:val="Emphasis"/>
    <w:basedOn w:val="DefaultParagraphFont"/>
    <w:qFormat/>
    <w:rsid w:val="002C6B27"/>
    <w:rPr>
      <w:i/>
    </w:rPr>
  </w:style>
  <w:style w:type="paragraph" w:styleId="Caption">
    <w:name w:val="caption"/>
    <w:basedOn w:val="BodyText"/>
    <w:next w:val="Normal"/>
    <w:qFormat/>
    <w:rsid w:val="002C6B27"/>
    <w:pPr>
      <w:framePr w:w="2268" w:hSpace="181" w:vSpace="181" w:wrap="around" w:vAnchor="text" w:hAnchor="page" w:x="1135" w:y="285" w:anchorLock="1"/>
    </w:pPr>
    <w:rPr>
      <w:i/>
    </w:rPr>
  </w:style>
  <w:style w:type="paragraph" w:customStyle="1" w:styleId="MiniTOCTitle">
    <w:name w:val="MiniTOCTitle"/>
    <w:basedOn w:val="Heading4"/>
    <w:rsid w:val="002C6B27"/>
    <w:pPr>
      <w:spacing w:before="240"/>
      <w:outlineLvl w:val="9"/>
    </w:pPr>
    <w:rPr>
      <w:noProof/>
      <w:sz w:val="24"/>
    </w:rPr>
  </w:style>
  <w:style w:type="paragraph" w:customStyle="1" w:styleId="MiniTOCItem">
    <w:name w:val="MiniTOCItem"/>
    <w:basedOn w:val="ListBullet"/>
    <w:rsid w:val="002C6B27"/>
    <w:pPr>
      <w:numPr>
        <w:numId w:val="0"/>
      </w:numPr>
      <w:tabs>
        <w:tab w:val="right" w:leader="dot" w:pos="6521"/>
      </w:tabs>
      <w:spacing w:before="0" w:after="0"/>
    </w:pPr>
  </w:style>
  <w:style w:type="paragraph" w:customStyle="1" w:styleId="TOFTitle">
    <w:name w:val="TOFTitle"/>
    <w:basedOn w:val="TOCTitle"/>
    <w:rsid w:val="002C6B27"/>
  </w:style>
  <w:style w:type="paragraph" w:styleId="TableofFigures">
    <w:name w:val="table of figures"/>
    <w:basedOn w:val="Normal"/>
    <w:next w:val="Normal"/>
    <w:semiHidden/>
    <w:rsid w:val="002C6B27"/>
    <w:pPr>
      <w:tabs>
        <w:tab w:val="right" w:leader="dot" w:pos="9072"/>
      </w:tabs>
      <w:ind w:left="970" w:hanging="403"/>
    </w:pPr>
    <w:rPr>
      <w:rFonts w:ascii="Times New Roman" w:hAnsi="Times New Roman"/>
      <w:b/>
    </w:rPr>
  </w:style>
  <w:style w:type="paragraph" w:styleId="ListNumber">
    <w:name w:val="List Number"/>
    <w:basedOn w:val="List"/>
    <w:rsid w:val="002C6B27"/>
    <w:pPr>
      <w:numPr>
        <w:numId w:val="10"/>
      </w:numPr>
    </w:pPr>
  </w:style>
  <w:style w:type="character" w:customStyle="1" w:styleId="WingdingSymbols">
    <w:name w:val="Wingding Symbols"/>
    <w:rsid w:val="002C6B27"/>
    <w:rPr>
      <w:rFonts w:ascii="Wingdings" w:hAnsi="Wingdings"/>
    </w:rPr>
  </w:style>
  <w:style w:type="paragraph" w:customStyle="1" w:styleId="TableHeading">
    <w:name w:val="Table Heading"/>
    <w:basedOn w:val="HeadingBase"/>
    <w:rsid w:val="002C6B27"/>
    <w:pPr>
      <w:keepLines/>
      <w:pBdr>
        <w:bottom w:val="single" w:sz="6" w:space="1" w:color="918585"/>
      </w:pBdr>
      <w:spacing w:before="240"/>
    </w:pPr>
  </w:style>
  <w:style w:type="character" w:customStyle="1" w:styleId="HotSpot">
    <w:name w:val="HotSpot"/>
    <w:rsid w:val="002C6B27"/>
    <w:rPr>
      <w:color w:val="0033CC"/>
      <w:u w:val="none"/>
    </w:rPr>
  </w:style>
  <w:style w:type="paragraph" w:customStyle="1" w:styleId="BodyTextRight">
    <w:name w:val="Body Text Right"/>
    <w:basedOn w:val="BodyText"/>
    <w:rsid w:val="002C6B27"/>
    <w:pPr>
      <w:spacing w:before="0" w:after="0"/>
      <w:jc w:val="right"/>
    </w:pPr>
  </w:style>
  <w:style w:type="paragraph" w:styleId="Index3">
    <w:name w:val="index 3"/>
    <w:basedOn w:val="ListNumber2"/>
    <w:next w:val="Normal"/>
    <w:semiHidden/>
    <w:rsid w:val="002C6B27"/>
    <w:pPr>
      <w:numPr>
        <w:numId w:val="0"/>
      </w:numPr>
      <w:tabs>
        <w:tab w:val="right" w:leader="dot" w:pos="4176"/>
      </w:tabs>
    </w:pPr>
  </w:style>
  <w:style w:type="paragraph" w:styleId="ListNumber2">
    <w:name w:val="List Number 2"/>
    <w:basedOn w:val="List2"/>
    <w:rsid w:val="002C6B27"/>
    <w:pPr>
      <w:numPr>
        <w:numId w:val="9"/>
      </w:numPr>
      <w:tabs>
        <w:tab w:val="clear" w:pos="1060"/>
      </w:tabs>
    </w:pPr>
  </w:style>
  <w:style w:type="paragraph" w:customStyle="1" w:styleId="MarginNote">
    <w:name w:val="Margin Note"/>
    <w:basedOn w:val="BodyText"/>
    <w:rsid w:val="002C6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B27"/>
    <w:rPr>
      <w:sz w:val="32"/>
    </w:rPr>
  </w:style>
  <w:style w:type="paragraph" w:customStyle="1" w:styleId="HeadingProcedure">
    <w:name w:val="Heading Procedure"/>
    <w:basedOn w:val="HeadingBase"/>
    <w:next w:val="Normal"/>
    <w:rsid w:val="002C6B27"/>
    <w:pPr>
      <w:tabs>
        <w:tab w:val="left" w:pos="0"/>
      </w:tabs>
      <w:spacing w:before="120" w:after="60"/>
    </w:pPr>
    <w:rPr>
      <w:i/>
      <w:color w:val="918585"/>
      <w:sz w:val="22"/>
    </w:rPr>
  </w:style>
  <w:style w:type="paragraph" w:customStyle="1" w:styleId="TableBodyText">
    <w:name w:val="Table Body Text"/>
    <w:basedOn w:val="BodyText"/>
    <w:rsid w:val="002C6B27"/>
    <w:pPr>
      <w:spacing w:before="60" w:after="60"/>
    </w:pPr>
  </w:style>
  <w:style w:type="paragraph" w:styleId="ListContinue">
    <w:name w:val="List Continue"/>
    <w:basedOn w:val="List"/>
    <w:rsid w:val="002C6B27"/>
    <w:pPr>
      <w:ind w:firstLine="0"/>
    </w:pPr>
  </w:style>
  <w:style w:type="paragraph" w:customStyle="1" w:styleId="ListNote">
    <w:name w:val="List Note"/>
    <w:basedOn w:val="List"/>
    <w:rsid w:val="002C6B27"/>
    <w:pPr>
      <w:pBdr>
        <w:top w:val="single" w:sz="6" w:space="2" w:color="918585"/>
        <w:bottom w:val="single" w:sz="6" w:space="2" w:color="918585"/>
      </w:pBdr>
      <w:tabs>
        <w:tab w:val="left" w:pos="1021"/>
      </w:tabs>
      <w:ind w:firstLine="0"/>
    </w:pPr>
  </w:style>
  <w:style w:type="paragraph" w:customStyle="1" w:styleId="Warning">
    <w:name w:val="Warning"/>
    <w:basedOn w:val="BodyText"/>
    <w:rsid w:val="002C6B27"/>
    <w:pPr>
      <w:shd w:val="clear" w:color="auto" w:fill="D9D9D9"/>
      <w:tabs>
        <w:tab w:val="left" w:pos="992"/>
      </w:tabs>
      <w:ind w:left="119" w:right="119"/>
    </w:pPr>
    <w:rPr>
      <w:sz w:val="20"/>
    </w:rPr>
  </w:style>
  <w:style w:type="paragraph" w:customStyle="1" w:styleId="MarginIcons">
    <w:name w:val="Margin Icons"/>
    <w:basedOn w:val="BodyText"/>
    <w:rsid w:val="002C6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B27"/>
    <w:rPr>
      <w:rFonts w:ascii="Courier New" w:hAnsi="Courier New"/>
    </w:rPr>
  </w:style>
  <w:style w:type="paragraph" w:customStyle="1" w:styleId="NoteBullet">
    <w:name w:val="Note Bullet"/>
    <w:basedOn w:val="Note"/>
    <w:rsid w:val="002C6B27"/>
    <w:pPr>
      <w:tabs>
        <w:tab w:val="clear" w:pos="680"/>
      </w:tabs>
      <w:spacing w:before="60" w:after="60"/>
    </w:pPr>
  </w:style>
  <w:style w:type="paragraph" w:customStyle="1" w:styleId="SubHeading2">
    <w:name w:val="SubHeading2"/>
    <w:basedOn w:val="HeadingBase"/>
    <w:rsid w:val="002C6B27"/>
    <w:pPr>
      <w:spacing w:before="240" w:after="60"/>
    </w:pPr>
    <w:rPr>
      <w:sz w:val="20"/>
    </w:rPr>
  </w:style>
  <w:style w:type="paragraph" w:customStyle="1" w:styleId="SubHeading1">
    <w:name w:val="SubHeading1"/>
    <w:basedOn w:val="HeadingBase"/>
    <w:rsid w:val="002C6B27"/>
    <w:pPr>
      <w:spacing w:before="240" w:after="60"/>
    </w:pPr>
    <w:rPr>
      <w:color w:val="918585"/>
      <w:sz w:val="22"/>
    </w:rPr>
  </w:style>
  <w:style w:type="paragraph" w:customStyle="1" w:styleId="SideHeading">
    <w:name w:val="Side Heading"/>
    <w:basedOn w:val="HeadingBase"/>
    <w:rsid w:val="002C6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B27"/>
    <w:pPr>
      <w:tabs>
        <w:tab w:val="num" w:pos="360"/>
      </w:tabs>
    </w:pPr>
  </w:style>
  <w:style w:type="paragraph" w:styleId="PlainText">
    <w:name w:val="Plain Text"/>
    <w:basedOn w:val="Normal"/>
    <w:link w:val="PlainTextChar"/>
    <w:rsid w:val="002C6B27"/>
    <w:rPr>
      <w:sz w:val="20"/>
    </w:rPr>
  </w:style>
  <w:style w:type="character" w:customStyle="1" w:styleId="PlainTextChar">
    <w:name w:val="Plain Text Char"/>
    <w:basedOn w:val="DefaultParagraphFont"/>
    <w:link w:val="PlainText"/>
    <w:rsid w:val="002C6B27"/>
    <w:rPr>
      <w:rFonts w:ascii="Courier New" w:eastAsia="Times New Roman" w:hAnsi="Courier New" w:cs="Times New Roman"/>
      <w:sz w:val="20"/>
      <w:szCs w:val="20"/>
      <w:lang w:eastAsia="en-US"/>
    </w:rPr>
  </w:style>
  <w:style w:type="character" w:customStyle="1" w:styleId="MenuOption">
    <w:name w:val="Menu Option"/>
    <w:basedOn w:val="DefaultParagraphFont"/>
    <w:rsid w:val="002C6B27"/>
    <w:rPr>
      <w:b/>
      <w:smallCaps/>
    </w:rPr>
  </w:style>
  <w:style w:type="paragraph" w:customStyle="1" w:styleId="TableListNumber">
    <w:name w:val="Table List Number"/>
    <w:basedOn w:val="ListNumber"/>
    <w:rsid w:val="002C6B27"/>
    <w:pPr>
      <w:numPr>
        <w:numId w:val="0"/>
      </w:numPr>
    </w:pPr>
  </w:style>
  <w:style w:type="paragraph" w:styleId="TOC4">
    <w:name w:val="toc 4"/>
    <w:basedOn w:val="TOCBase"/>
    <w:next w:val="Normal"/>
    <w:semiHidden/>
    <w:rsid w:val="002C6B27"/>
    <w:pPr>
      <w:tabs>
        <w:tab w:val="right" w:leader="dot" w:pos="9071"/>
      </w:tabs>
      <w:ind w:left="1701"/>
    </w:pPr>
  </w:style>
  <w:style w:type="paragraph" w:customStyle="1" w:styleId="ListAlpha">
    <w:name w:val="List Alpha"/>
    <w:basedOn w:val="List"/>
    <w:rsid w:val="002C6B27"/>
    <w:pPr>
      <w:numPr>
        <w:numId w:val="8"/>
      </w:numPr>
    </w:pPr>
  </w:style>
  <w:style w:type="paragraph" w:customStyle="1" w:styleId="ListAlpha2">
    <w:name w:val="List Alpha 2"/>
    <w:basedOn w:val="List2"/>
    <w:rsid w:val="002C6B27"/>
    <w:pPr>
      <w:numPr>
        <w:numId w:val="7"/>
      </w:numPr>
    </w:pPr>
  </w:style>
  <w:style w:type="paragraph" w:styleId="List3">
    <w:name w:val="List 3"/>
    <w:basedOn w:val="BodyText"/>
    <w:rsid w:val="002C6B27"/>
    <w:pPr>
      <w:tabs>
        <w:tab w:val="left" w:pos="1021"/>
      </w:tabs>
      <w:spacing w:before="60" w:after="60"/>
      <w:ind w:left="1020" w:hanging="340"/>
    </w:pPr>
  </w:style>
  <w:style w:type="paragraph" w:styleId="List4">
    <w:name w:val="List 4"/>
    <w:basedOn w:val="BodyText"/>
    <w:rsid w:val="002C6B27"/>
    <w:pPr>
      <w:tabs>
        <w:tab w:val="left" w:pos="1361"/>
      </w:tabs>
      <w:spacing w:before="60" w:after="60"/>
      <w:ind w:left="1361" w:hanging="340"/>
    </w:pPr>
  </w:style>
  <w:style w:type="paragraph" w:styleId="List5">
    <w:name w:val="List 5"/>
    <w:basedOn w:val="BodyText"/>
    <w:rsid w:val="002C6B27"/>
    <w:pPr>
      <w:tabs>
        <w:tab w:val="left" w:pos="1701"/>
      </w:tabs>
      <w:spacing w:before="60" w:after="60"/>
      <w:ind w:left="1701" w:hanging="340"/>
    </w:pPr>
  </w:style>
  <w:style w:type="paragraph" w:styleId="ListBullet3">
    <w:name w:val="List Bullet 3"/>
    <w:basedOn w:val="List3"/>
    <w:rsid w:val="002C6B27"/>
    <w:pPr>
      <w:numPr>
        <w:numId w:val="14"/>
      </w:numPr>
      <w:tabs>
        <w:tab w:val="clear" w:pos="1021"/>
      </w:tabs>
      <w:ind w:left="1037" w:hanging="357"/>
    </w:pPr>
  </w:style>
  <w:style w:type="paragraph" w:styleId="ListBullet4">
    <w:name w:val="List Bullet 4"/>
    <w:basedOn w:val="List4"/>
    <w:rsid w:val="002C6B27"/>
    <w:pPr>
      <w:numPr>
        <w:numId w:val="2"/>
      </w:numPr>
    </w:pPr>
  </w:style>
  <w:style w:type="paragraph" w:styleId="ListBullet5">
    <w:name w:val="List Bullet 5"/>
    <w:basedOn w:val="List5"/>
    <w:rsid w:val="002C6B27"/>
    <w:pPr>
      <w:numPr>
        <w:numId w:val="3"/>
      </w:numPr>
    </w:pPr>
  </w:style>
  <w:style w:type="paragraph" w:styleId="ListContinue2">
    <w:name w:val="List Continue 2"/>
    <w:basedOn w:val="List2"/>
    <w:rsid w:val="002C6B27"/>
    <w:pPr>
      <w:ind w:firstLine="0"/>
    </w:pPr>
  </w:style>
  <w:style w:type="paragraph" w:styleId="ListContinue3">
    <w:name w:val="List Continue 3"/>
    <w:basedOn w:val="List3"/>
    <w:rsid w:val="002C6B27"/>
    <w:pPr>
      <w:ind w:left="1021" w:firstLine="0"/>
    </w:pPr>
  </w:style>
  <w:style w:type="paragraph" w:styleId="ListContinue4">
    <w:name w:val="List Continue 4"/>
    <w:basedOn w:val="List4"/>
    <w:rsid w:val="002C6B27"/>
    <w:pPr>
      <w:ind w:firstLine="0"/>
    </w:pPr>
  </w:style>
  <w:style w:type="paragraph" w:styleId="ListContinue5">
    <w:name w:val="List Continue 5"/>
    <w:basedOn w:val="List5"/>
    <w:rsid w:val="002C6B27"/>
    <w:pPr>
      <w:ind w:firstLine="0"/>
    </w:pPr>
  </w:style>
  <w:style w:type="paragraph" w:styleId="ListNumber3">
    <w:name w:val="List Number 3"/>
    <w:basedOn w:val="List3"/>
    <w:rsid w:val="002C6B27"/>
    <w:pPr>
      <w:numPr>
        <w:numId w:val="4"/>
      </w:numPr>
    </w:pPr>
  </w:style>
  <w:style w:type="paragraph" w:styleId="ListNumber4">
    <w:name w:val="List Number 4"/>
    <w:basedOn w:val="List4"/>
    <w:rsid w:val="002C6B27"/>
    <w:pPr>
      <w:numPr>
        <w:numId w:val="5"/>
      </w:numPr>
    </w:pPr>
  </w:style>
  <w:style w:type="paragraph" w:styleId="ListNumber5">
    <w:name w:val="List Number 5"/>
    <w:basedOn w:val="List5"/>
    <w:rsid w:val="002C6B27"/>
    <w:pPr>
      <w:numPr>
        <w:numId w:val="6"/>
      </w:numPr>
    </w:pPr>
  </w:style>
  <w:style w:type="paragraph" w:styleId="BlockText">
    <w:name w:val="Block Text"/>
    <w:basedOn w:val="Normal"/>
    <w:rsid w:val="002C6B27"/>
    <w:pPr>
      <w:spacing w:after="120"/>
      <w:ind w:left="1440" w:right="1440"/>
    </w:pPr>
  </w:style>
  <w:style w:type="character" w:customStyle="1" w:styleId="Subscript">
    <w:name w:val="Subscript"/>
    <w:basedOn w:val="DefaultParagraphFont"/>
    <w:rsid w:val="002C6B27"/>
    <w:rPr>
      <w:sz w:val="16"/>
      <w:vertAlign w:val="subscript"/>
    </w:rPr>
  </w:style>
  <w:style w:type="character" w:customStyle="1" w:styleId="Superscript">
    <w:name w:val="Superscript"/>
    <w:basedOn w:val="DefaultParagraphFont"/>
    <w:rsid w:val="002C6B27"/>
    <w:rPr>
      <w:sz w:val="16"/>
      <w:vertAlign w:val="superscript"/>
    </w:rPr>
  </w:style>
  <w:style w:type="character" w:customStyle="1" w:styleId="Symbols">
    <w:name w:val="Symbols"/>
    <w:basedOn w:val="DefaultParagraphFont"/>
    <w:rsid w:val="002C6B27"/>
    <w:rPr>
      <w:rFonts w:ascii="Symbol" w:hAnsi="Symbol"/>
    </w:rPr>
  </w:style>
  <w:style w:type="character" w:customStyle="1" w:styleId="MenuOptions">
    <w:name w:val="Menu Options"/>
    <w:basedOn w:val="DefaultParagraphFont"/>
    <w:rsid w:val="002C6B27"/>
    <w:rPr>
      <w:rFonts w:ascii="Arial Narrow" w:hAnsi="Arial Narrow"/>
      <w:smallCaps/>
    </w:rPr>
  </w:style>
  <w:style w:type="character" w:customStyle="1" w:styleId="Buttons">
    <w:name w:val="Buttons"/>
    <w:basedOn w:val="DefaultParagraphFont"/>
    <w:rsid w:val="002C6B27"/>
    <w:rPr>
      <w:b/>
    </w:rPr>
  </w:style>
  <w:style w:type="character" w:customStyle="1" w:styleId="Underlined">
    <w:name w:val="Underlined"/>
    <w:basedOn w:val="DefaultParagraphFont"/>
    <w:rsid w:val="002C6B27"/>
    <w:rPr>
      <w:u w:val="single"/>
    </w:rPr>
  </w:style>
  <w:style w:type="paragraph" w:customStyle="1" w:styleId="TableBodyTextRight">
    <w:name w:val="Table Body Text Right"/>
    <w:basedOn w:val="TableBodyText"/>
    <w:rsid w:val="002C6B27"/>
    <w:pPr>
      <w:widowControl w:val="0"/>
      <w:autoSpaceDE w:val="0"/>
      <w:autoSpaceDN w:val="0"/>
      <w:adjustRightInd w:val="0"/>
      <w:jc w:val="right"/>
    </w:pPr>
    <w:rPr>
      <w:rFonts w:cs="Arial"/>
      <w:szCs w:val="18"/>
    </w:rPr>
  </w:style>
  <w:style w:type="paragraph" w:customStyle="1" w:styleId="CopyrightText">
    <w:name w:val="Copyright Text"/>
    <w:basedOn w:val="BodyText"/>
    <w:rsid w:val="002C6B27"/>
    <w:rPr>
      <w:sz w:val="18"/>
    </w:rPr>
  </w:style>
  <w:style w:type="paragraph" w:customStyle="1" w:styleId="BodySmallRight">
    <w:name w:val="Body Small Right"/>
    <w:basedOn w:val="BodyTextRight"/>
    <w:rsid w:val="002C6B27"/>
    <w:rPr>
      <w:sz w:val="18"/>
      <w:szCs w:val="18"/>
    </w:rPr>
  </w:style>
  <w:style w:type="paragraph" w:customStyle="1" w:styleId="MarginEdition">
    <w:name w:val="Margin Edition"/>
    <w:basedOn w:val="MarginNote"/>
    <w:rsid w:val="002C6B27"/>
    <w:pPr>
      <w:spacing w:before="0" w:after="0"/>
    </w:pPr>
    <w:rPr>
      <w:rFonts w:ascii="Times New Roman" w:hAnsi="Times New Roman"/>
      <w:color w:val="999999"/>
    </w:rPr>
  </w:style>
  <w:style w:type="paragraph" w:customStyle="1" w:styleId="Spacer">
    <w:name w:val="Spacer"/>
    <w:basedOn w:val="Normal"/>
    <w:rsid w:val="002C6B27"/>
    <w:rPr>
      <w:sz w:val="2"/>
      <w:szCs w:val="2"/>
    </w:rPr>
  </w:style>
  <w:style w:type="character" w:customStyle="1" w:styleId="Small">
    <w:name w:val="Small"/>
    <w:basedOn w:val="DefaultParagraphFont"/>
    <w:rsid w:val="002C6B27"/>
    <w:rPr>
      <w:sz w:val="16"/>
    </w:rPr>
  </w:style>
  <w:style w:type="paragraph" w:customStyle="1" w:styleId="WideTable">
    <w:name w:val="Wide Table"/>
    <w:basedOn w:val="Normal"/>
    <w:rsid w:val="002C6B27"/>
    <w:pPr>
      <w:ind w:left="-1418"/>
    </w:pPr>
    <w:rPr>
      <w:sz w:val="2"/>
      <w:szCs w:val="2"/>
    </w:rPr>
  </w:style>
  <w:style w:type="character" w:styleId="PageNumber">
    <w:name w:val="page number"/>
    <w:basedOn w:val="DefaultParagraphFont"/>
    <w:rsid w:val="002C6B27"/>
  </w:style>
  <w:style w:type="paragraph" w:styleId="Quote">
    <w:name w:val="Quote"/>
    <w:basedOn w:val="Heading1"/>
    <w:link w:val="QuoteChar"/>
    <w:qFormat/>
    <w:rsid w:val="002C6B27"/>
    <w:rPr>
      <w:b w:val="0"/>
      <w:sz w:val="72"/>
      <w:szCs w:val="72"/>
      <w:lang w:val="en-NZ"/>
    </w:rPr>
  </w:style>
  <w:style w:type="character" w:customStyle="1" w:styleId="QuoteChar">
    <w:name w:val="Quote Char"/>
    <w:basedOn w:val="DefaultParagraphFont"/>
    <w:link w:val="Quote"/>
    <w:rsid w:val="002C6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B27"/>
    <w:pPr>
      <w:pageBreakBefore/>
    </w:pPr>
  </w:style>
  <w:style w:type="paragraph" w:customStyle="1" w:styleId="Border">
    <w:name w:val="Border"/>
    <w:basedOn w:val="Normal"/>
    <w:qFormat/>
    <w:rsid w:val="002C6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B27"/>
    <w:rPr>
      <w:b/>
      <w:bCs/>
      <w:i/>
      <w:iCs/>
      <w:color w:val="auto"/>
    </w:rPr>
  </w:style>
  <w:style w:type="paragraph" w:styleId="IntenseQuote">
    <w:name w:val="Intense Quote"/>
    <w:basedOn w:val="Normal"/>
    <w:next w:val="Normal"/>
    <w:link w:val="IntenseQuoteChar"/>
    <w:uiPriority w:val="30"/>
    <w:qFormat/>
    <w:rsid w:val="002C6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B27"/>
    <w:rPr>
      <w:smallCaps/>
      <w:color w:val="auto"/>
      <w:u w:val="single"/>
    </w:rPr>
  </w:style>
  <w:style w:type="character" w:styleId="IntenseReference">
    <w:name w:val="Intense Reference"/>
    <w:basedOn w:val="DefaultParagraphFont"/>
    <w:uiPriority w:val="32"/>
    <w:qFormat/>
    <w:rsid w:val="002C6B27"/>
    <w:rPr>
      <w:b/>
      <w:bCs/>
      <w:smallCaps/>
      <w:color w:val="auto"/>
      <w:spacing w:val="5"/>
      <w:u w:val="single"/>
    </w:rPr>
  </w:style>
  <w:style w:type="paragraph" w:customStyle="1" w:styleId="2ColumnHeading">
    <w:name w:val="2Column Heading"/>
    <w:basedOn w:val="BodyText"/>
    <w:qFormat/>
    <w:rsid w:val="002C6B27"/>
    <w:pPr>
      <w:spacing w:after="60"/>
      <w:ind w:left="-2268"/>
    </w:pPr>
    <w:rPr>
      <w:b/>
    </w:rPr>
  </w:style>
  <w:style w:type="paragraph" w:customStyle="1" w:styleId="Heading1TOC">
    <w:name w:val="Heading1 TOC"/>
    <w:basedOn w:val="Normal"/>
    <w:qFormat/>
    <w:rsid w:val="002C6B27"/>
    <w:pPr>
      <w:spacing w:before="240" w:after="120"/>
    </w:pPr>
    <w:rPr>
      <w:rFonts w:ascii="Times New Roman" w:hAnsi="Times New Roman"/>
      <w:b/>
      <w:sz w:val="32"/>
    </w:rPr>
  </w:style>
  <w:style w:type="paragraph" w:customStyle="1" w:styleId="Heading2TOC">
    <w:name w:val="Heading2 TOC"/>
    <w:basedOn w:val="Normal"/>
    <w:qFormat/>
    <w:rsid w:val="002C6B27"/>
    <w:pPr>
      <w:spacing w:before="240" w:after="60"/>
    </w:pPr>
    <w:rPr>
      <w:rFonts w:ascii="Times New Roman" w:hAnsi="Times New Roman"/>
      <w:b/>
      <w:sz w:val="28"/>
    </w:rPr>
  </w:style>
  <w:style w:type="character" w:customStyle="1" w:styleId="Underline">
    <w:name w:val="Underline"/>
    <w:basedOn w:val="DefaultParagraphFont"/>
    <w:qFormat/>
    <w:rsid w:val="002C6B27"/>
    <w:rPr>
      <w:u w:val="single"/>
    </w:rPr>
  </w:style>
  <w:style w:type="paragraph" w:styleId="BalloonText">
    <w:name w:val="Balloon Text"/>
    <w:basedOn w:val="Normal"/>
    <w:link w:val="BalloonTextChar"/>
    <w:rsid w:val="002C6B27"/>
    <w:rPr>
      <w:rFonts w:ascii="Tahoma" w:hAnsi="Tahoma" w:cs="Tahoma"/>
      <w:sz w:val="16"/>
      <w:szCs w:val="16"/>
    </w:rPr>
  </w:style>
  <w:style w:type="character" w:customStyle="1" w:styleId="BalloonTextChar">
    <w:name w:val="Balloon Text Char"/>
    <w:basedOn w:val="DefaultParagraphFont"/>
    <w:link w:val="BalloonText"/>
    <w:rsid w:val="002C6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B27"/>
    <w:rPr>
      <w:b/>
      <w:color w:val="660033"/>
      <w:spacing w:val="0"/>
    </w:rPr>
  </w:style>
  <w:style w:type="paragraph" w:customStyle="1" w:styleId="Nameditemlist">
    <w:name w:val="Named item list"/>
    <w:basedOn w:val="BodyText"/>
    <w:qFormat/>
    <w:rsid w:val="002C6B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9122</Characters>
  <Application>Microsoft Office Word</Application>
  <DocSecurity>0</DocSecurity>
  <Lines>240</Lines>
  <Paragraphs>104</Paragraphs>
  <ScaleCrop>false</ScaleCrop>
  <Company>Author-it Software Corporation Ltd.</Company>
  <LinksUpToDate>false</LinksUpToDate>
  <CharactersWithSpaces>10474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MEA262B Modify/repair aircraft component single layer printed circuit boards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2013-10-25T06:01:00Z</dcterms:created>
  <dcterms:modified xsi:type="dcterms:W3CDTF">2013-10-25T06:01:00Z</dcterms:modified>
</cp:coreProperties>
</file>