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C17" w:rsidP="00536C17">
      <w:pPr>
        <w:pStyle w:val="Title"/>
      </w:pPr>
      <w:r>
        <w:fldChar w:fldCharType="begin"/>
      </w:r>
      <w:r>
        <w:instrText xml:space="preserve"> TITLE   \* MERGEFORMAT </w:instrText>
      </w:r>
      <w:r>
        <w:fldChar w:fldCharType="separate"/>
      </w:r>
      <w:r>
        <w:t>MEA261C Use electronic test equipment</w:t>
      </w:r>
      <w:r>
        <w:fldChar w:fldCharType="end"/>
      </w:r>
    </w:p>
    <w:p w:rsidR="00536C17" w:rsidP="00536C17">
      <w:pPr>
        <w:pStyle w:val="Version"/>
        <w:sectPr w:rsidSect="00366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6AF7" w:rsidP="00366AF7">
      <w:pPr>
        <w:pStyle w:val="SuperHeading"/>
      </w:pPr>
      <w:r w:rsidRPr="00366AF7">
        <w:t>MEA261C Use electronic test equipment</w:t>
      </w:r>
    </w:p>
    <w:p w:rsidR="00000000" w:rsidRPr="00366AF7" w:rsidP="00366AF7">
      <w:pPr>
        <w:pStyle w:val="SuperHeading"/>
      </w:pPr>
    </w:p>
    <w:p w:rsidR="00000000" w:rsidRPr="00366AF7" w:rsidP="00366AF7">
      <w:pPr>
        <w:pStyle w:val="Heading1"/>
      </w:pPr>
      <w:bookmarkStart w:id="1" w:name="O_400532"/>
      <w:bookmarkEnd w:id="1"/>
      <w:r w:rsidRPr="00366AF7">
        <w:t>Modification History</w:t>
      </w:r>
    </w:p>
    <w:p w:rsidR="00000000" w:rsidRPr="00366AF7" w:rsidP="00366AF7">
      <w:pPr>
        <w:pStyle w:val="BodyText"/>
      </w:pPr>
      <w:r w:rsidRPr="00366AF7">
        <w:t>Minor formatting and editorial changes made. Prerequisite unit version code updated.</w:t>
      </w:r>
    </w:p>
    <w:p w:rsidR="00000000" w:rsidRPr="00366AF7" w:rsidP="00366AF7">
      <w:pPr>
        <w:pStyle w:val="AllowPageBreak"/>
      </w:pPr>
    </w:p>
    <w:p w:rsidR="00000000" w:rsidRPr="00366AF7" w:rsidP="00366AF7">
      <w:pPr>
        <w:pStyle w:val="Heading1"/>
      </w:pPr>
      <w:bookmarkStart w:id="2" w:name="O_400528"/>
      <w:bookmarkEnd w:id="2"/>
      <w:r w:rsidRPr="00366AF7">
        <w:t>Unit Descriptor</w:t>
      </w:r>
    </w:p>
    <w:tbl>
      <w:tblPr>
        <w:tblW w:w="0" w:type="auto"/>
        <w:tblLayout w:type="fixed"/>
        <w:tblCellMar>
          <w:left w:w="62" w:type="dxa"/>
          <w:right w:w="62" w:type="dxa"/>
        </w:tblCellMar>
        <w:tblLook w:val="0000"/>
      </w:tblPr>
      <w:tblGrid>
        <w:gridCol w:w="8100"/>
      </w:tblGrid>
      <w:tr w:rsidTr="00536C17">
        <w:tblPrEx>
          <w:tblW w:w="0" w:type="auto"/>
          <w:tblLayout w:type="fixed"/>
          <w:tblCellMar>
            <w:left w:w="62" w:type="dxa"/>
            <w:right w:w="62" w:type="dxa"/>
          </w:tblCellMar>
          <w:tblLook w:val="0000"/>
        </w:tblPrEx>
        <w:trPr>
          <w:tblHeader/>
        </w:trPr>
        <w:tc>
          <w:tcPr>
            <w:tcW w:w="8100"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This unit of competency is part of Avionic C</w:t>
            </w:r>
            <w:r w:rsidRPr="00366AF7">
              <w:t xml:space="preserve">ertificate IV training pathways. It covers the competencies required to correctly use electronic test equipment. The unit is used in workplaces that operate under the airworthiness regulatory systems of the ADF and CASA. </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3" w:name="O_400541"/>
      <w:bookmarkEnd w:id="3"/>
      <w:r w:rsidRPr="00366AF7">
        <w:t>Application of the Unit</w:t>
      </w:r>
    </w:p>
    <w:tbl>
      <w:tblPr>
        <w:tblW w:w="0" w:type="auto"/>
        <w:tblLayout w:type="fixed"/>
        <w:tblCellMar>
          <w:left w:w="62" w:type="dxa"/>
          <w:right w:w="62" w:type="dxa"/>
        </w:tblCellMar>
        <w:tblLook w:val="0000"/>
      </w:tblPr>
      <w:tblGrid>
        <w:gridCol w:w="8460"/>
      </w:tblGrid>
      <w:tr w:rsidTr="00536C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This unit requires application of skills in the use of electronic test equipment to measure electronic circuit parameters and test performance.</w:t>
            </w:r>
          </w:p>
          <w:p w:rsidR="00000000" w:rsidRPr="00366AF7" w:rsidP="00366AF7">
            <w:pPr>
              <w:pStyle w:val="BodyText"/>
            </w:pPr>
            <w:r w:rsidRPr="00366AF7">
              <w:t>Applications include aircraft components both in the hangar and workshop.</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4" w:name="O_400533"/>
      <w:bookmarkEnd w:id="4"/>
      <w:r w:rsidRPr="00366AF7">
        <w:t>Licensing/Regulatory Information</w:t>
      </w:r>
    </w:p>
    <w:p w:rsidR="00000000" w:rsidRPr="00366AF7" w:rsidP="00366AF7">
      <w:pPr>
        <w:pStyle w:val="BodyText"/>
      </w:pPr>
      <w:r w:rsidRPr="00366AF7">
        <w:t>Not applicable.</w:t>
      </w:r>
    </w:p>
    <w:p w:rsidR="00000000" w:rsidRPr="00366AF7" w:rsidP="00366AF7">
      <w:pPr>
        <w:pStyle w:val="AllowPageBreak"/>
      </w:pPr>
    </w:p>
    <w:p w:rsidR="00000000" w:rsidRPr="00366AF7" w:rsidP="00366AF7">
      <w:pPr>
        <w:pStyle w:val="Heading1"/>
      </w:pPr>
      <w:bookmarkStart w:id="5" w:name="O_400531"/>
      <w:bookmarkEnd w:id="5"/>
      <w:r w:rsidRPr="00366AF7">
        <w:t>Pre-Requisites</w:t>
      </w:r>
    </w:p>
    <w:tbl>
      <w:tblPr>
        <w:tblW w:w="0" w:type="auto"/>
        <w:tblLayout w:type="fixed"/>
        <w:tblCellMar>
          <w:left w:w="62" w:type="dxa"/>
          <w:right w:w="62" w:type="dxa"/>
        </w:tblCellMar>
        <w:tblLook w:val="0000"/>
      </w:tblPr>
      <w:tblGrid>
        <w:gridCol w:w="1914"/>
        <w:gridCol w:w="6636"/>
      </w:tblGrid>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MEA101B</w:t>
            </w:r>
          </w:p>
        </w:tc>
        <w:tc>
          <w:tcPr>
            <w:tcW w:w="6636"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Interpret occupational health and safety practices in aviation maintenance</w:t>
            </w:r>
          </w:p>
        </w:tc>
      </w:tr>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MEA103B</w:t>
            </w:r>
          </w:p>
        </w:tc>
        <w:tc>
          <w:tcPr>
            <w:tcW w:w="6636"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Plan and organise aviation maintenance work activity</w:t>
            </w:r>
          </w:p>
        </w:tc>
      </w:tr>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MEA105C</w:t>
            </w:r>
          </w:p>
        </w:tc>
        <w:tc>
          <w:tcPr>
            <w:tcW w:w="6636"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Apply quality standards applicable to aviation maintenance processes</w:t>
            </w:r>
          </w:p>
        </w:tc>
      </w:tr>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MEA107B</w:t>
            </w:r>
          </w:p>
        </w:tc>
        <w:tc>
          <w:tcPr>
            <w:tcW w:w="6636"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Interpret and use aviation maintenance industry manuals and specifications</w:t>
            </w:r>
          </w:p>
        </w:tc>
      </w:tr>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MEA108B</w:t>
            </w:r>
          </w:p>
        </w:tc>
        <w:tc>
          <w:tcPr>
            <w:tcW w:w="6636"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Complete aviation maintenance industry documentation</w:t>
            </w:r>
          </w:p>
        </w:tc>
      </w:tr>
      <w:tr w:rsidTr="00536C1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t>MEA109B</w:t>
            </w:r>
          </w:p>
        </w:tc>
        <w:tc>
          <w:tcPr>
            <w:tcW w:w="6636"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Perform basic hand skills, stand</w:t>
            </w:r>
            <w:r w:rsidRPr="00366AF7">
              <w:t>ard trade practices and fundamentals in aviation maintenance</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6" w:name="O_400536"/>
      <w:bookmarkEnd w:id="6"/>
      <w:r w:rsidRPr="00366AF7">
        <w:t>Employability Skills Information</w:t>
      </w:r>
    </w:p>
    <w:tbl>
      <w:tblPr>
        <w:tblW w:w="0" w:type="auto"/>
        <w:tblLayout w:type="fixed"/>
        <w:tblCellMar>
          <w:left w:w="62" w:type="dxa"/>
          <w:right w:w="62" w:type="dxa"/>
        </w:tblCellMar>
        <w:tblLook w:val="0000"/>
      </w:tblPr>
      <w:tblGrid>
        <w:gridCol w:w="5720"/>
      </w:tblGrid>
      <w:tr w:rsidTr="00536C1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This unit contains employability skills.</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7" w:name="O_400537"/>
      <w:bookmarkEnd w:id="7"/>
      <w:r w:rsidRPr="00366AF7">
        <w:t>Elements and Performance Criteria Pre-Content</w:t>
      </w:r>
    </w:p>
    <w:tbl>
      <w:tblPr>
        <w:tblW w:w="9360" w:type="dxa"/>
        <w:tblLayout w:type="fixed"/>
        <w:tblCellMar>
          <w:left w:w="62" w:type="dxa"/>
          <w:right w:w="62" w:type="dxa"/>
        </w:tblCellMar>
        <w:tblLook w:val="0000"/>
      </w:tblPr>
      <w:tblGrid>
        <w:gridCol w:w="2550"/>
        <w:gridCol w:w="6810"/>
      </w:tblGrid>
      <w:tr w:rsidTr="00536C17">
        <w:tblPrEx>
          <w:tblW w:w="9360" w:type="dxa"/>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Elements describe the essential outcomes of a unit of competency.</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r w:rsidRPr="00366AF7">
              <w:t>Performance criteria describe the performance needed to demonstrate achievement of the element. Where bold italicised text is used, further information is detailed in the required skills and</w:t>
            </w:r>
            <w:r w:rsidRPr="00366AF7">
              <w:t xml:space="preserve"> knowledge section and the range statement. Assessment of performance is to be consistent with the evidence guide.</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8" w:name="O_400538"/>
      <w:bookmarkEnd w:id="8"/>
      <w:r w:rsidRPr="00366AF7">
        <w:t>Elements and Performance Criteria</w:t>
      </w:r>
    </w:p>
    <w:tbl>
      <w:tblPr>
        <w:tblW w:w="0" w:type="auto"/>
        <w:tblCellMar>
          <w:left w:w="62" w:type="dxa"/>
          <w:right w:w="62" w:type="dxa"/>
        </w:tblCellMar>
        <w:tblLook w:val="0000"/>
      </w:tblPr>
      <w:tblGrid>
        <w:gridCol w:w="1916"/>
        <w:gridCol w:w="7280"/>
      </w:tblGrid>
      <w:tr w:rsidTr="00536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AF7">
            <w:pPr>
              <w:pStyle w:val="List"/>
              <w:rPr>
                <w:lang w:val="en-NZ"/>
              </w:rPr>
            </w:pPr>
            <w:r w:rsidRPr="00366AF7">
              <w:t>1.</w:t>
            </w:r>
            <w:r w:rsidRPr="00366AF7">
              <w:tab/>
              <w:t>Select required test equipment</w:t>
            </w:r>
          </w:p>
        </w:tc>
        <w:tc>
          <w:tcPr>
            <w:tcW w:w="0" w:type="auto"/>
            <w:tcBorders>
              <w:top w:val="nil"/>
              <w:left w:val="nil"/>
              <w:bottom w:val="nil"/>
              <w:right w:val="nil"/>
            </w:tcBorders>
            <w:tcMar>
              <w:top w:w="0" w:type="dxa"/>
              <w:left w:w="62" w:type="dxa"/>
              <w:bottom w:w="0" w:type="dxa"/>
              <w:right w:w="62" w:type="dxa"/>
            </w:tcMar>
          </w:tcPr>
          <w:p w:rsidR="00000000" w:rsidRPr="00366AF7" w:rsidP="00366AF7">
            <w:pPr>
              <w:pStyle w:val="List2"/>
            </w:pPr>
            <w:r w:rsidRPr="00366AF7">
              <w:t>1.1.</w:t>
            </w:r>
            <w:r w:rsidRPr="00366AF7">
              <w:tab/>
              <w:t>System/component test requirements are identified</w:t>
            </w:r>
          </w:p>
          <w:p w:rsidR="00000000" w:rsidP="00366AF7">
            <w:pPr>
              <w:pStyle w:val="List2"/>
              <w:rPr>
                <w:lang w:val="en-NZ"/>
              </w:rPr>
            </w:pPr>
            <w:r w:rsidRPr="00366AF7">
              <w:t>1.2.</w:t>
            </w:r>
            <w:r w:rsidRPr="00366AF7">
              <w:tab/>
              <w:t>Appropriate test equipment is selected</w:t>
            </w:r>
          </w:p>
        </w:tc>
      </w:tr>
      <w:tr w:rsidTr="00536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AF7">
            <w:pPr>
              <w:pStyle w:val="List"/>
              <w:rPr>
                <w:lang w:val="en-NZ"/>
              </w:rPr>
            </w:pPr>
            <w:r w:rsidRPr="00366AF7">
              <w:t>2.</w:t>
            </w:r>
            <w:r w:rsidRPr="00366AF7">
              <w:tab/>
              <w:t>Prepare test equipment for use</w:t>
            </w:r>
          </w:p>
        </w:tc>
        <w:tc>
          <w:tcPr>
            <w:tcW w:w="0" w:type="auto"/>
            <w:tcBorders>
              <w:top w:val="nil"/>
              <w:left w:val="nil"/>
              <w:bottom w:val="nil"/>
              <w:right w:val="nil"/>
            </w:tcBorders>
            <w:tcMar>
              <w:top w:w="0" w:type="dxa"/>
              <w:left w:w="62" w:type="dxa"/>
              <w:bottom w:w="0" w:type="dxa"/>
              <w:right w:w="62" w:type="dxa"/>
            </w:tcMar>
          </w:tcPr>
          <w:p w:rsidR="00000000" w:rsidRPr="00366AF7" w:rsidP="00366AF7">
            <w:pPr>
              <w:pStyle w:val="List2"/>
            </w:pPr>
            <w:r w:rsidRPr="00366AF7">
              <w:t>2.1.</w:t>
            </w:r>
            <w:r w:rsidRPr="00366AF7">
              <w:tab/>
            </w:r>
            <w:r w:rsidRPr="00366AF7">
              <w:rPr>
                <w:rStyle w:val="BoldandItalics"/>
              </w:rPr>
              <w:t>Test equipment</w:t>
            </w:r>
            <w:r w:rsidRPr="00366AF7">
              <w:t xml:space="preserve"> is checked for serviceability and applicable leads are fitted, where required</w:t>
            </w:r>
          </w:p>
          <w:p w:rsidR="00000000" w:rsidP="00366AF7">
            <w:pPr>
              <w:pStyle w:val="List2"/>
              <w:rPr>
                <w:lang w:val="en-NZ"/>
              </w:rPr>
            </w:pPr>
            <w:r w:rsidRPr="00366AF7">
              <w:t>2.2.</w:t>
            </w:r>
            <w:r w:rsidRPr="00366AF7">
              <w:tab/>
              <w:t>Applicable function and range of measurement is selected, as required</w:t>
            </w:r>
          </w:p>
        </w:tc>
      </w:tr>
      <w:tr w:rsidTr="00536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AF7">
            <w:pPr>
              <w:pStyle w:val="List"/>
              <w:rPr>
                <w:lang w:val="en-NZ"/>
              </w:rPr>
            </w:pPr>
            <w:r w:rsidRPr="00366AF7">
              <w:t>3.</w:t>
            </w:r>
            <w:r w:rsidRPr="00366AF7">
              <w:tab/>
              <w:t>Test system or component</w:t>
            </w:r>
          </w:p>
        </w:tc>
        <w:tc>
          <w:tcPr>
            <w:tcW w:w="0" w:type="auto"/>
            <w:tcBorders>
              <w:top w:val="nil"/>
              <w:left w:val="nil"/>
              <w:bottom w:val="nil"/>
              <w:right w:val="nil"/>
            </w:tcBorders>
            <w:tcMar>
              <w:top w:w="0" w:type="dxa"/>
              <w:left w:w="62" w:type="dxa"/>
              <w:bottom w:w="0" w:type="dxa"/>
              <w:right w:w="62" w:type="dxa"/>
            </w:tcMar>
          </w:tcPr>
          <w:p w:rsidR="00000000" w:rsidRPr="00366AF7" w:rsidP="00366AF7">
            <w:pPr>
              <w:pStyle w:val="List2"/>
            </w:pPr>
            <w:r w:rsidRPr="00366AF7">
              <w:t>3.1.</w:t>
            </w:r>
            <w:r w:rsidRPr="00366AF7">
              <w:tab/>
              <w:t>Test points and polarity are determined</w:t>
            </w:r>
          </w:p>
          <w:p w:rsidR="00000000" w:rsidRPr="00366AF7" w:rsidP="00366AF7">
            <w:pPr>
              <w:pStyle w:val="List2"/>
            </w:pPr>
            <w:r w:rsidRPr="00366AF7">
              <w:t>3.2.</w:t>
            </w:r>
            <w:r w:rsidRPr="00366AF7">
              <w:tab/>
              <w:t>Required parameters are measured with the test equipment</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9" w:name="O_400529"/>
      <w:bookmarkEnd w:id="9"/>
      <w:r w:rsidRPr="00366AF7">
        <w:t>Required Skills and Knowledge</w:t>
      </w:r>
    </w:p>
    <w:tbl>
      <w:tblPr>
        <w:tblW w:w="9450" w:type="dxa"/>
        <w:tblLayout w:type="fixed"/>
        <w:tblCellMar>
          <w:left w:w="62" w:type="dxa"/>
          <w:right w:w="62" w:type="dxa"/>
        </w:tblCellMar>
        <w:tblLook w:val="0000"/>
      </w:tblPr>
      <w:tblGrid>
        <w:gridCol w:w="9450"/>
      </w:tblGrid>
      <w:tr w:rsidTr="00536C1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rPr>
                <w:rStyle w:val="SpecialBold"/>
              </w:rPr>
              <w:t>Required skills</w:t>
            </w:r>
          </w:p>
        </w:tc>
      </w:tr>
      <w:tr w:rsidTr="00536C1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Look for evidence that confirms skills in:</w:t>
            </w:r>
          </w:p>
          <w:p w:rsidR="00000000" w:rsidRPr="00366AF7" w:rsidP="00366AF7">
            <w:pPr>
              <w:pStyle w:val="ListBullet"/>
            </w:pPr>
            <w:r w:rsidRPr="00366AF7">
              <w:t>applying relevant OHS practices</w:t>
            </w:r>
          </w:p>
          <w:p w:rsidR="00000000" w:rsidRPr="00366AF7" w:rsidP="00366AF7">
            <w:pPr>
              <w:pStyle w:val="ListBullet"/>
            </w:pPr>
            <w:r w:rsidRPr="00366AF7">
              <w:t>methods of connection of test equipment to components or circuits</w:t>
            </w:r>
          </w:p>
          <w:p w:rsidR="00000000" w:rsidP="00366AF7">
            <w:pPr>
              <w:pStyle w:val="ListBullet"/>
              <w:rPr>
                <w:lang w:val="en-NZ"/>
              </w:rPr>
            </w:pPr>
            <w:r w:rsidRPr="00366AF7">
              <w:t>methods used to determine polarity and applicable connection points for measurement or testing</w:t>
            </w:r>
          </w:p>
        </w:tc>
      </w:tr>
      <w:tr w:rsidTr="00536C1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66AF7">
            <w:pPr>
              <w:pStyle w:val="BodyText"/>
              <w:rPr>
                <w:lang w:val="en-NZ"/>
              </w:rPr>
            </w:pPr>
            <w:r w:rsidRPr="00366AF7">
              <w:rPr>
                <w:rStyle w:val="SpecialBold"/>
              </w:rPr>
              <w:t>Required knowledge</w:t>
            </w:r>
          </w:p>
        </w:tc>
      </w:tr>
      <w:tr w:rsidTr="00536C1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66AF7" w:rsidP="00366AF7">
            <w:pPr>
              <w:pStyle w:val="BodyText"/>
            </w:pPr>
            <w:r w:rsidRPr="00366AF7">
              <w:t xml:space="preserve">Look for evidence that confirms knowledge </w:t>
            </w:r>
            <w:r w:rsidRPr="00366AF7">
              <w:t>of:</w:t>
            </w:r>
          </w:p>
          <w:p w:rsidR="00000000" w:rsidRPr="00366AF7" w:rsidP="00366AF7">
            <w:pPr>
              <w:pStyle w:val="ListBullet"/>
            </w:pPr>
            <w:r w:rsidRPr="00366AF7">
              <w:t>the construction, calibration for use and testing for seviceability of:</w:t>
            </w:r>
          </w:p>
          <w:p w:rsidR="00000000" w:rsidRPr="00366AF7" w:rsidP="00366AF7">
            <w:pPr>
              <w:pStyle w:val="ListBullet2"/>
            </w:pPr>
            <w:r w:rsidRPr="00366AF7">
              <w:t>electronic multimeters</w:t>
            </w:r>
          </w:p>
          <w:p w:rsidR="00000000" w:rsidRPr="00366AF7" w:rsidP="00366AF7">
            <w:pPr>
              <w:pStyle w:val="ListBullet2"/>
            </w:pPr>
            <w:r w:rsidRPr="00366AF7">
              <w:t xml:space="preserve">phase-angle voltmeters </w:t>
            </w:r>
          </w:p>
          <w:p w:rsidR="00000000" w:rsidRPr="00366AF7" w:rsidP="00366AF7">
            <w:pPr>
              <w:pStyle w:val="ListBullet2"/>
            </w:pPr>
            <w:r w:rsidRPr="00366AF7">
              <w:t>oscilloscopes (dual differential, differential, delayed time base and storage)</w:t>
            </w:r>
          </w:p>
          <w:p w:rsidR="00000000" w:rsidRPr="00366AF7" w:rsidP="00366AF7">
            <w:pPr>
              <w:pStyle w:val="ListBullet2"/>
            </w:pPr>
            <w:r w:rsidRPr="00366AF7">
              <w:t>current probes</w:t>
            </w:r>
          </w:p>
          <w:p w:rsidR="00000000" w:rsidRPr="00366AF7" w:rsidP="00366AF7">
            <w:pPr>
              <w:pStyle w:val="ListBullet2"/>
            </w:pPr>
            <w:r w:rsidRPr="00366AF7">
              <w:t>logic and discrete component testers</w:t>
            </w:r>
          </w:p>
          <w:p w:rsidR="00000000" w:rsidRPr="00366AF7" w:rsidP="00366AF7">
            <w:pPr>
              <w:pStyle w:val="ListBullet2"/>
            </w:pPr>
            <w:r w:rsidRPr="00366AF7">
              <w:t>electronic component substitution boxes and miscellaneous test adapters</w:t>
            </w:r>
          </w:p>
          <w:p w:rsidR="00000000" w:rsidRPr="00366AF7" w:rsidP="00366AF7">
            <w:pPr>
              <w:pStyle w:val="ListBullet"/>
            </w:pPr>
            <w:r w:rsidRPr="00366AF7">
              <w:t>use of selectors and scale adjustment of each item of test equipment to ensure accurate measurement of applicable parameters</w:t>
            </w:r>
          </w:p>
          <w:p w:rsidR="00000000" w:rsidRPr="00366AF7" w:rsidP="00366AF7">
            <w:pPr>
              <w:pStyle w:val="ListBullet"/>
            </w:pPr>
            <w:r w:rsidRPr="00366AF7">
              <w:t xml:space="preserve">high speed oscilloscope techniques, probe calibration and </w:t>
            </w:r>
            <w:r w:rsidRPr="00366AF7">
              <w:t>CRO safety precautions</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10" w:name="O_400535"/>
      <w:bookmarkEnd w:id="10"/>
      <w:r w:rsidRPr="00366AF7">
        <w:t>Evidence Guide</w:t>
      </w:r>
    </w:p>
    <w:tbl>
      <w:tblPr>
        <w:tblW w:w="9570" w:type="dxa"/>
        <w:tblLayout w:type="fixed"/>
        <w:tblCellMar>
          <w:left w:w="62" w:type="dxa"/>
          <w:right w:w="62" w:type="dxa"/>
        </w:tblCellMar>
        <w:tblLook w:val="0000"/>
      </w:tblPr>
      <w:tblGrid>
        <w:gridCol w:w="3908"/>
        <w:gridCol w:w="5662"/>
      </w:tblGrid>
      <w:tr w:rsidTr="00536C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 xml:space="preserve">The Evidence Guide provides advice on assessment and must be read in conjunction with the performance criteria, required skills and knowledge, </w:t>
            </w:r>
            <w:r w:rsidRPr="00366AF7">
              <w:t>range statement and the Assessment Guidelines for the Training Package.</w:t>
            </w:r>
          </w:p>
        </w:tc>
      </w:tr>
      <w:tr w:rsidTr="00536C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A person who demonstrates competency in this unit must be able to use electronic test equipment to measure electronic circuit parameters while observing all re</w:t>
            </w:r>
            <w:r w:rsidRPr="00366AF7">
              <w:t>levant safety precautions.</w:t>
            </w:r>
          </w:p>
        </w:tc>
      </w:tr>
      <w:tr w:rsidTr="00536C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r w:rsidRPr="00366AF7">
              <w:t>The underlying skills inherent in this unit should be transferable into all areas that require the use of electronic test equipment as listed in the Range Statement. It is essential that the general aspects of electronic test equipment selection, preparati</w:t>
            </w:r>
            <w:r w:rsidRPr="00366AF7">
              <w:t>on for use and safe application to a representative range of measurement and testing tasks are clearly understood.</w:t>
            </w:r>
          </w:p>
          <w:p w:rsidR="00000000" w:rsidRPr="00366AF7" w:rsidP="00366AF7">
            <w:pPr>
              <w:pStyle w:val="BodyText"/>
            </w:pPr>
            <w:r w:rsidRPr="00366AF7">
              <w:t>Evidence of knowledge about the selection and use of the range of test equipment listed in the Range Statement, and of the methods used to id</w:t>
            </w:r>
            <w:r w:rsidRPr="00366AF7">
              <w:t>entify applicable polarity and connection to components and circuits for required measurement or testing.</w:t>
            </w:r>
          </w:p>
          <w:p w:rsidR="00000000" w:rsidP="00366AF7">
            <w:pPr>
              <w:pStyle w:val="BodyText"/>
              <w:rPr>
                <w:lang w:val="en-NZ"/>
              </w:rPr>
            </w:pPr>
            <w:r w:rsidRPr="00366AF7">
              <w:t xml:space="preserve">A person cannot be assessed as competent until it can be demonstrated to the satisfaction of the workplace assessor that the relevant elements of the </w:t>
            </w:r>
            <w:r w:rsidRPr="00366AF7">
              <w:t>unit of competency are being achieved under routine supervision, with each item of test equipment in Groups 1 to 6 in the Range Statement having been used to measure electronic circuit parameters and test performance (Group 2 may be omitted if not applicab</w:t>
            </w:r>
            <w:r w:rsidRPr="00366AF7">
              <w:t>le to enterprise). This shall be established via the records in the Log of Industrial Experience and Achievement or, where appropriate, an equivalent Industry Evidence Guide.</w:t>
            </w:r>
          </w:p>
        </w:tc>
      </w:tr>
      <w:tr w:rsidTr="00536C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Competency should be assessed i</w:t>
            </w:r>
            <w:r w:rsidRPr="00366AF7">
              <w:t>n the work environment, or simulated work environment, using electronic test equipment specified in maintenance documentation. It is also expected that applicable test equipment can be selected on the basis of general trade knowledge where specific test eq</w:t>
            </w:r>
            <w:r w:rsidRPr="00366AF7">
              <w:t>uipment is not specified.</w:t>
            </w:r>
          </w:p>
        </w:tc>
      </w:tr>
      <w:tr w:rsidTr="00536C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p>
        </w:tc>
      </w:tr>
      <w:tr w:rsidTr="00536C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11" w:name="O_400530"/>
      <w:bookmarkEnd w:id="11"/>
      <w:r w:rsidRPr="00366AF7">
        <w:t>Range Statement</w:t>
      </w:r>
    </w:p>
    <w:tbl>
      <w:tblPr>
        <w:tblW w:w="9360" w:type="dxa"/>
        <w:tblLayout w:type="fixed"/>
        <w:tblCellMar>
          <w:left w:w="62" w:type="dxa"/>
          <w:right w:w="62" w:type="dxa"/>
        </w:tblCellMar>
        <w:tblLook w:val="0000"/>
      </w:tblPr>
      <w:tblGrid>
        <w:gridCol w:w="3500"/>
        <w:gridCol w:w="5860"/>
      </w:tblGrid>
      <w:tr w:rsidTr="00536C17">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The range statement relates to the unit of competency as a whole. It allows for different work environments and situations that may af</w:t>
            </w:r>
            <w:r w:rsidRPr="00366AF7">
              <w:t>fect performance. Bold italicised wording, if used in the performance criteria, is detailed below. Essential operating conditions that may be present with training and assessment (depending on the work situation, needs of the candidate, accessibility of th</w:t>
            </w:r>
            <w:r w:rsidRPr="00366AF7">
              <w:t>e item, and local industry and regional contexts) may also be included.</w:t>
            </w:r>
          </w:p>
        </w:tc>
      </w:tr>
      <w:tr w:rsidTr="00536C17">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Note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t>Range statements listed below are numbered to facilitate specification of the assessment requirements included in the Evidence Guide</w:t>
            </w:r>
          </w:p>
        </w:tc>
      </w:tr>
      <w:tr w:rsidTr="00536C17">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Electronic test equipment</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r w:rsidRPr="00366AF7">
              <w:t>Test equipment includes:</w:t>
            </w:r>
          </w:p>
          <w:p w:rsidR="00000000" w:rsidRPr="00366AF7" w:rsidP="00366AF7">
            <w:pPr>
              <w:pStyle w:val="BodyText"/>
            </w:pPr>
            <w:r w:rsidRPr="00366AF7">
              <w:t>1.</w:t>
            </w:r>
            <w:r w:rsidRPr="00366AF7">
              <w:tab/>
              <w:t>Electronic multimeters</w:t>
            </w:r>
          </w:p>
          <w:p w:rsidR="00000000" w:rsidRPr="00366AF7" w:rsidP="00366AF7">
            <w:pPr>
              <w:pStyle w:val="BodyText"/>
            </w:pPr>
            <w:r w:rsidRPr="00366AF7">
              <w:t>2.</w:t>
            </w:r>
            <w:r w:rsidRPr="00366AF7">
              <w:tab/>
              <w:t>Phase-angle voltmeters (where applicable to enterprise)</w:t>
            </w:r>
          </w:p>
          <w:p w:rsidR="00000000" w:rsidRPr="00366AF7" w:rsidP="00366AF7">
            <w:pPr>
              <w:pStyle w:val="BodyText"/>
            </w:pPr>
            <w:r w:rsidRPr="00366AF7">
              <w:t>3.</w:t>
            </w:r>
            <w:r w:rsidRPr="00366AF7">
              <w:tab/>
              <w:t>Oscilloscopes (dual differential, differential, delayed time base, storage)</w:t>
            </w:r>
          </w:p>
          <w:p w:rsidR="00000000" w:rsidRPr="00366AF7" w:rsidP="00366AF7">
            <w:pPr>
              <w:pStyle w:val="BodyText"/>
            </w:pPr>
            <w:r w:rsidRPr="00366AF7">
              <w:t>4.</w:t>
            </w:r>
            <w:r w:rsidRPr="00366AF7">
              <w:tab/>
              <w:t>Current probes</w:t>
            </w:r>
          </w:p>
          <w:p w:rsidR="00000000" w:rsidRPr="00366AF7" w:rsidP="00366AF7">
            <w:pPr>
              <w:pStyle w:val="BodyText"/>
            </w:pPr>
            <w:r w:rsidRPr="00366AF7">
              <w:t>5.</w:t>
            </w:r>
            <w:r w:rsidRPr="00366AF7">
              <w:tab/>
              <w:t>Logic and discrete component testers</w:t>
            </w:r>
          </w:p>
          <w:p w:rsidR="00000000" w:rsidP="00366AF7">
            <w:pPr>
              <w:pStyle w:val="BodyText"/>
              <w:rPr>
                <w:lang w:val="en-NZ"/>
              </w:rPr>
            </w:pPr>
            <w:r w:rsidRPr="00366AF7">
              <w:t>6.</w:t>
            </w:r>
            <w:r w:rsidRPr="00366AF7">
              <w:tab/>
              <w:t>Electr</w:t>
            </w:r>
            <w:r w:rsidRPr="00366AF7">
              <w:t>onic component substitution boxes and miscellaneous test adapters</w:t>
            </w:r>
          </w:p>
        </w:tc>
      </w:tr>
      <w:tr w:rsidTr="00536C17">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Application</w:t>
            </w:r>
            <w:r w:rsidRPr="00366AF7">
              <w:t xml:space="preserve"> </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r w:rsidRPr="00366AF7">
              <w:t>Application of this unit may relate to:</w:t>
            </w:r>
          </w:p>
          <w:p w:rsidR="00000000" w:rsidRPr="00366AF7" w:rsidP="00366AF7">
            <w:pPr>
              <w:pStyle w:val="ListBullet"/>
            </w:pPr>
            <w:r w:rsidRPr="00366AF7">
              <w:t>scheduled or unscheduled maintenance activities</w:t>
            </w:r>
          </w:p>
          <w:p w:rsidR="00000000" w:rsidP="00366AF7">
            <w:pPr>
              <w:pStyle w:val="ListBullet"/>
              <w:rPr>
                <w:lang w:val="en-NZ"/>
              </w:rPr>
            </w:pPr>
            <w:r w:rsidRPr="00366AF7">
              <w:t>individual or team-related activities</w:t>
            </w:r>
          </w:p>
        </w:tc>
      </w:tr>
      <w:tr w:rsidTr="00536C17">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AF7">
            <w:pPr>
              <w:pStyle w:val="BodyText"/>
              <w:rPr>
                <w:lang w:val="en-NZ"/>
              </w:rPr>
            </w:pPr>
            <w:r w:rsidRPr="00366AF7">
              <w:rPr>
                <w:rStyle w:val="SpecialBold"/>
              </w:rPr>
              <w:t>Procedures and requirements</w:t>
            </w:r>
            <w:r w:rsidRPr="00366AF7">
              <w:t xml:space="preserve"> </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AF7" w:rsidP="00366AF7">
            <w:pPr>
              <w:pStyle w:val="BodyText"/>
            </w:pPr>
            <w:r w:rsidRPr="00366AF7">
              <w:t>Refer to industry standard procedures specified by manufacturers, regulatory authorities or the enterprise</w:t>
            </w:r>
          </w:p>
        </w:tc>
      </w:tr>
    </w:tbl>
    <w:p w:rsidR="00000000" w:rsidRPr="00366AF7" w:rsidP="00366AF7">
      <w:pPr>
        <w:pStyle w:val="BodyText"/>
      </w:pPr>
    </w:p>
    <w:p w:rsidR="00000000" w:rsidRPr="00366AF7" w:rsidP="00366AF7">
      <w:pPr>
        <w:pStyle w:val="AllowPageBreak"/>
      </w:pPr>
    </w:p>
    <w:p w:rsidR="00000000" w:rsidRPr="00366AF7" w:rsidP="00366AF7">
      <w:pPr>
        <w:pStyle w:val="Heading1"/>
      </w:pPr>
      <w:bookmarkStart w:id="12" w:name="O_400527"/>
      <w:bookmarkEnd w:id="12"/>
      <w:r w:rsidRPr="00366AF7">
        <w:t>Unit Sector(s)</w:t>
      </w:r>
    </w:p>
    <w:p w:rsidR="00000000" w:rsidRPr="00366AF7" w:rsidP="00366AF7">
      <w:pPr>
        <w:pStyle w:val="BodyText"/>
      </w:pPr>
      <w:r w:rsidRPr="00366AF7">
        <w:t>Aviation maintenance</w:t>
      </w:r>
    </w:p>
    <w:p w:rsidR="00000000" w:rsidRPr="00366AF7" w:rsidP="00366AF7">
      <w:pPr>
        <w:pStyle w:val="AllowPageBreak"/>
      </w:pPr>
    </w:p>
    <w:p w:rsidR="00000000" w:rsidRPr="00366AF7" w:rsidP="00366AF7">
      <w:pPr>
        <w:pStyle w:val="Heading1"/>
      </w:pPr>
      <w:bookmarkStart w:id="13" w:name="O_400540"/>
      <w:bookmarkEnd w:id="13"/>
      <w:r w:rsidRPr="00366AF7">
        <w:t>Competency field</w:t>
      </w:r>
    </w:p>
    <w:p w:rsidR="00000000" w:rsidRPr="00366AF7" w:rsidP="00366AF7">
      <w:pPr>
        <w:pStyle w:val="Heading1"/>
      </w:pPr>
      <w:bookmarkStart w:id="14" w:name="O_400539"/>
      <w:bookmarkEnd w:id="14"/>
      <w:r w:rsidRPr="00366AF7">
        <w:t>Co-requisite units</w:t>
      </w:r>
    </w:p>
    <w:p w:rsidR="00000000" w:rsidRPr="00366AF7" w:rsidP="00366AF7">
      <w:pPr>
        <w:pStyle w:val="BodyText"/>
      </w:pPr>
      <w:r w:rsidRPr="00366AF7">
        <w:t>Not applicable</w:t>
      </w:r>
    </w:p>
    <w:p w:rsidR="00000000" w:rsidRPr="00366AF7" w:rsidP="00366AF7"/>
    <w:sectPr w:rsidSect="00366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C17" w:rsidP="00536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C17" w:rsidP="0036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6C17" w:rsidP="00366A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6C17" w:rsidP="00366A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C17" w:rsidP="00536C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C17" w:rsidP="00366AF7">
    <w:pPr>
      <w:pStyle w:val="Header"/>
      <w:framePr w:wrap="around"/>
    </w:pPr>
    <w:r>
      <w:fldChar w:fldCharType="begin"/>
    </w:r>
    <w:r>
      <w:instrText xml:space="preserve"> TITLE   \* MERGEFORMAT </w:instrText>
    </w:r>
    <w:r>
      <w:fldChar w:fldCharType="separate"/>
    </w:r>
    <w:r>
      <w:t>MEA261C Use electronic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C17" w:rsidP="00366A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8D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6A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C5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AF7"/>
    <w:pPr>
      <w:spacing w:before="360" w:after="60"/>
      <w:outlineLvl w:val="0"/>
    </w:pPr>
    <w:rPr>
      <w:sz w:val="32"/>
    </w:rPr>
  </w:style>
  <w:style w:type="paragraph" w:styleId="Heading2">
    <w:name w:val="heading 2"/>
    <w:basedOn w:val="HeadingBase"/>
    <w:next w:val="BodyText"/>
    <w:link w:val="Heading2Char"/>
    <w:qFormat/>
    <w:rsid w:val="00366AF7"/>
    <w:pPr>
      <w:keepLines/>
      <w:spacing w:before="240" w:after="120"/>
      <w:outlineLvl w:val="1"/>
    </w:pPr>
    <w:rPr>
      <w:sz w:val="28"/>
      <w:szCs w:val="40"/>
    </w:rPr>
  </w:style>
  <w:style w:type="paragraph" w:styleId="Heading3">
    <w:name w:val="heading 3"/>
    <w:basedOn w:val="HeadingBase"/>
    <w:next w:val="BodyText"/>
    <w:link w:val="Heading3Char"/>
    <w:qFormat/>
    <w:rsid w:val="00366AF7"/>
    <w:pPr>
      <w:spacing w:before="180" w:after="120"/>
      <w:outlineLvl w:val="2"/>
    </w:pPr>
    <w:rPr>
      <w:spacing w:val="-10"/>
      <w:kern w:val="32"/>
    </w:rPr>
  </w:style>
  <w:style w:type="paragraph" w:styleId="Heading4">
    <w:name w:val="heading 4"/>
    <w:basedOn w:val="HeadingBase"/>
    <w:next w:val="BodyText"/>
    <w:link w:val="Heading4Char"/>
    <w:qFormat/>
    <w:rsid w:val="00366AF7"/>
    <w:pPr>
      <w:spacing w:before="160" w:after="120"/>
      <w:outlineLvl w:val="3"/>
    </w:pPr>
    <w:rPr>
      <w:sz w:val="22"/>
    </w:rPr>
  </w:style>
  <w:style w:type="paragraph" w:styleId="Heading5">
    <w:name w:val="heading 5"/>
    <w:basedOn w:val="HeadingBase"/>
    <w:next w:val="Normal"/>
    <w:link w:val="Heading5Char"/>
    <w:qFormat/>
    <w:rsid w:val="00366AF7"/>
    <w:pPr>
      <w:spacing w:before="80"/>
      <w:outlineLvl w:val="4"/>
    </w:pPr>
    <w:rPr>
      <w:color w:val="918585"/>
      <w:sz w:val="20"/>
    </w:rPr>
  </w:style>
  <w:style w:type="paragraph" w:styleId="Heading6">
    <w:name w:val="heading 6"/>
    <w:basedOn w:val="HeadingBase"/>
    <w:next w:val="Normal"/>
    <w:link w:val="Heading6Char"/>
    <w:qFormat/>
    <w:rsid w:val="00366AF7"/>
    <w:pPr>
      <w:spacing w:before="60"/>
      <w:outlineLvl w:val="5"/>
    </w:pPr>
    <w:rPr>
      <w:color w:val="918585"/>
      <w:sz w:val="20"/>
    </w:rPr>
  </w:style>
  <w:style w:type="paragraph" w:styleId="Heading7">
    <w:name w:val="heading 7"/>
    <w:basedOn w:val="Normal"/>
    <w:next w:val="Normal"/>
    <w:link w:val="Heading7Char"/>
    <w:qFormat/>
    <w:rsid w:val="00366AF7"/>
    <w:pPr>
      <w:ind w:left="720"/>
      <w:outlineLvl w:val="6"/>
    </w:pPr>
    <w:rPr>
      <w:i/>
    </w:rPr>
  </w:style>
  <w:style w:type="paragraph" w:styleId="Heading8">
    <w:name w:val="heading 8"/>
    <w:basedOn w:val="Normal"/>
    <w:next w:val="Normal"/>
    <w:link w:val="Heading8Char"/>
    <w:qFormat/>
    <w:rsid w:val="00366AF7"/>
    <w:pPr>
      <w:ind w:left="720"/>
      <w:outlineLvl w:val="7"/>
    </w:pPr>
    <w:rPr>
      <w:i/>
    </w:rPr>
  </w:style>
  <w:style w:type="paragraph" w:styleId="Heading9">
    <w:name w:val="heading 9"/>
    <w:basedOn w:val="Normal"/>
    <w:next w:val="Normal"/>
    <w:link w:val="Heading9Char"/>
    <w:qFormat/>
    <w:rsid w:val="00366AF7"/>
    <w:pPr>
      <w:ind w:left="720"/>
      <w:outlineLvl w:val="8"/>
    </w:pPr>
    <w:rPr>
      <w:i/>
    </w:rPr>
  </w:style>
  <w:style w:type="character" w:default="1" w:styleId="DefaultParagraphFont">
    <w:name w:val="Default Paragraph Font"/>
    <w:uiPriority w:val="1"/>
    <w:unhideWhenUsed/>
    <w:rsid w:val="0036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AF7"/>
  </w:style>
  <w:style w:type="character" w:customStyle="1" w:styleId="Heading1Char">
    <w:name w:val="Heading 1 Char"/>
    <w:basedOn w:val="DefaultParagraphFont"/>
    <w:link w:val="Heading1"/>
    <w:rsid w:val="00366AF7"/>
    <w:rPr>
      <w:rFonts w:ascii="Times New Roman" w:eastAsia="Times New Roman" w:hAnsi="Times New Roman" w:cs="Times New Roman"/>
      <w:b/>
      <w:sz w:val="32"/>
      <w:szCs w:val="20"/>
      <w:lang w:eastAsia="en-US"/>
    </w:rPr>
  </w:style>
  <w:style w:type="paragraph" w:styleId="BodyText">
    <w:name w:val="Body Text"/>
    <w:basedOn w:val="Normal"/>
    <w:link w:val="BodyTextChar"/>
    <w:rsid w:val="00366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AF7"/>
    <w:rPr>
      <w:rFonts w:ascii="Times New Roman" w:eastAsia="Times New Roman" w:hAnsi="Times New Roman" w:cs="Times New Roman"/>
      <w:sz w:val="24"/>
      <w:lang w:val="en-US" w:eastAsia="en-US"/>
    </w:rPr>
  </w:style>
  <w:style w:type="paragraph" w:styleId="Footer">
    <w:name w:val="footer"/>
    <w:basedOn w:val="Normal"/>
    <w:link w:val="FooterChar"/>
    <w:rsid w:val="0036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AF7"/>
    <w:rPr>
      <w:rFonts w:ascii="Times New Roman" w:eastAsia="Times New Roman" w:hAnsi="Times New Roman" w:cs="Times New Roman"/>
      <w:sz w:val="16"/>
      <w:lang w:val="en-US" w:eastAsia="en-US"/>
    </w:rPr>
  </w:style>
  <w:style w:type="paragraph" w:styleId="List">
    <w:name w:val="List"/>
    <w:basedOn w:val="BodyText"/>
    <w:next w:val="BodyText"/>
    <w:rsid w:val="00366AF7"/>
    <w:pPr>
      <w:tabs>
        <w:tab w:val="left" w:pos="340"/>
      </w:tabs>
      <w:spacing w:before="60" w:after="60"/>
      <w:ind w:left="340" w:hanging="340"/>
    </w:pPr>
  </w:style>
  <w:style w:type="paragraph" w:styleId="ListBullet">
    <w:name w:val="List Bullet"/>
    <w:basedOn w:val="List"/>
    <w:rsid w:val="00366AF7"/>
    <w:pPr>
      <w:numPr>
        <w:numId w:val="13"/>
      </w:numPr>
      <w:tabs>
        <w:tab w:val="clear" w:pos="340"/>
      </w:tabs>
      <w:spacing w:before="40" w:after="40"/>
    </w:pPr>
  </w:style>
  <w:style w:type="character" w:customStyle="1" w:styleId="SpecialBold">
    <w:name w:val="Special Bold"/>
    <w:basedOn w:val="DefaultParagraphFont"/>
    <w:rsid w:val="00366AF7"/>
    <w:rPr>
      <w:b/>
      <w:spacing w:val="0"/>
    </w:rPr>
  </w:style>
  <w:style w:type="paragraph" w:styleId="ListBullet2">
    <w:name w:val="List Bullet 2"/>
    <w:basedOn w:val="List2"/>
    <w:rsid w:val="00366AF7"/>
    <w:pPr>
      <w:numPr>
        <w:numId w:val="14"/>
      </w:numPr>
      <w:tabs>
        <w:tab w:val="clear" w:pos="680"/>
      </w:tabs>
    </w:pPr>
  </w:style>
  <w:style w:type="paragraph" w:styleId="Header">
    <w:name w:val="header"/>
    <w:basedOn w:val="Normal"/>
    <w:link w:val="HeaderChar"/>
    <w:rsid w:val="0036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A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6AF7"/>
    <w:pPr>
      <w:spacing w:before="240" w:after="120"/>
      <w:outlineLvl w:val="0"/>
    </w:pPr>
    <w:rPr>
      <w:rFonts w:ascii="Times New Roman" w:hAnsi="Times New Roman"/>
      <w:b/>
      <w:sz w:val="28"/>
    </w:rPr>
  </w:style>
  <w:style w:type="paragraph" w:customStyle="1" w:styleId="AllowPageBreak">
    <w:name w:val="AllowPageBreak"/>
    <w:rsid w:val="00366A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6AF7"/>
    <w:pPr>
      <w:tabs>
        <w:tab w:val="left" w:pos="680"/>
      </w:tabs>
      <w:spacing w:before="60" w:after="60"/>
      <w:ind w:left="680" w:hanging="340"/>
    </w:pPr>
  </w:style>
  <w:style w:type="character" w:customStyle="1" w:styleId="BoldandItalics">
    <w:name w:val="Bold and Italics"/>
    <w:qFormat/>
    <w:rsid w:val="00366AF7"/>
    <w:rPr>
      <w:b/>
      <w:i/>
      <w:u w:val="none"/>
    </w:rPr>
  </w:style>
  <w:style w:type="character" w:customStyle="1" w:styleId="Heading2Char">
    <w:name w:val="Heading 2 Char"/>
    <w:basedOn w:val="DefaultParagraphFont"/>
    <w:link w:val="Heading2"/>
    <w:rsid w:val="0036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A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A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AF7"/>
    <w:rPr>
      <w:rFonts w:ascii="Courier New" w:eastAsia="Times New Roman" w:hAnsi="Courier New" w:cs="Times New Roman"/>
      <w:i/>
      <w:szCs w:val="20"/>
      <w:lang w:val="en-US" w:eastAsia="en-US"/>
    </w:rPr>
  </w:style>
  <w:style w:type="paragraph" w:customStyle="1" w:styleId="HeadingBase">
    <w:name w:val="Heading Base"/>
    <w:rsid w:val="0036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AF7"/>
    <w:pPr>
      <w:tabs>
        <w:tab w:val="right" w:leader="dot" w:pos="9072"/>
      </w:tabs>
      <w:ind w:left="567"/>
    </w:pPr>
    <w:rPr>
      <w:szCs w:val="22"/>
    </w:rPr>
  </w:style>
  <w:style w:type="paragraph" w:customStyle="1" w:styleId="TOCBase">
    <w:name w:val="TOC Base"/>
    <w:rsid w:val="0036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AF7"/>
    <w:pPr>
      <w:tabs>
        <w:tab w:val="right" w:leader="dot" w:pos="9072"/>
      </w:tabs>
      <w:spacing w:before="40" w:after="40"/>
      <w:ind w:left="284"/>
    </w:pPr>
    <w:rPr>
      <w:rFonts w:ascii="Times New Roman" w:hAnsi="Times New Roman"/>
    </w:rPr>
  </w:style>
  <w:style w:type="paragraph" w:styleId="TOC1">
    <w:name w:val="toc 1"/>
    <w:basedOn w:val="TOCBase"/>
    <w:next w:val="Normal"/>
    <w:rsid w:val="00366A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AF7"/>
    <w:pPr>
      <w:spacing w:before="5040"/>
      <w:jc w:val="center"/>
    </w:pPr>
    <w:rPr>
      <w:sz w:val="48"/>
      <w:szCs w:val="72"/>
      <w:lang w:val="en-US"/>
    </w:rPr>
  </w:style>
  <w:style w:type="character" w:customStyle="1" w:styleId="TitleChar">
    <w:name w:val="Title Char"/>
    <w:basedOn w:val="DefaultParagraphFont"/>
    <w:link w:val="Title"/>
    <w:rsid w:val="0036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AF7"/>
    <w:pPr>
      <w:tabs>
        <w:tab w:val="left" w:pos="3600"/>
        <w:tab w:val="left" w:pos="3958"/>
      </w:tabs>
    </w:pPr>
  </w:style>
  <w:style w:type="paragraph" w:customStyle="1" w:styleId="Note">
    <w:name w:val="Note"/>
    <w:basedOn w:val="BodyText"/>
    <w:rsid w:val="0036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AF7"/>
    <w:pPr>
      <w:framePr w:wrap="auto" w:hAnchor="text" w:y="6049"/>
    </w:pPr>
    <w:rPr>
      <w:color w:val="000000"/>
      <w:sz w:val="40"/>
    </w:rPr>
  </w:style>
  <w:style w:type="paragraph" w:customStyle="1" w:styleId="TOCTitle">
    <w:name w:val="TOCTitle"/>
    <w:basedOn w:val="Heading1"/>
    <w:rsid w:val="00366AF7"/>
    <w:pPr>
      <w:spacing w:after="240"/>
      <w:jc w:val="center"/>
      <w:outlineLvl w:val="9"/>
    </w:pPr>
    <w:rPr>
      <w:caps/>
    </w:rPr>
  </w:style>
  <w:style w:type="paragraph" w:customStyle="1" w:styleId="Version">
    <w:name w:val="Version"/>
    <w:rsid w:val="00366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AF7"/>
    <w:pPr>
      <w:keepNext w:val="0"/>
      <w:tabs>
        <w:tab w:val="right" w:pos="4176"/>
      </w:tabs>
      <w:ind w:left="198" w:hanging="198"/>
    </w:pPr>
    <w:rPr>
      <w:rFonts w:ascii="Garamond" w:hAnsi="Garamond"/>
    </w:rPr>
  </w:style>
  <w:style w:type="paragraph" w:styleId="IndexHeading">
    <w:name w:val="index heading"/>
    <w:basedOn w:val="Normal"/>
    <w:next w:val="Index1"/>
    <w:semiHidden/>
    <w:rsid w:val="00366AF7"/>
    <w:pPr>
      <w:spacing w:before="120" w:after="120"/>
    </w:pPr>
    <w:rPr>
      <w:rFonts w:ascii="Arial" w:hAnsi="Arial"/>
      <w:b/>
      <w:color w:val="918585"/>
      <w:sz w:val="24"/>
    </w:rPr>
  </w:style>
  <w:style w:type="paragraph" w:customStyle="1" w:styleId="Chapter">
    <w:name w:val="Chapter"/>
    <w:basedOn w:val="Normal"/>
    <w:rsid w:val="00366AF7"/>
    <w:pPr>
      <w:spacing w:before="240"/>
    </w:pPr>
    <w:rPr>
      <w:rFonts w:ascii="Times New Roman" w:hAnsi="Times New Roman"/>
      <w:smallCaps/>
      <w:spacing w:val="80"/>
      <w:sz w:val="28"/>
    </w:rPr>
  </w:style>
  <w:style w:type="paragraph" w:customStyle="1" w:styleId="InChapter">
    <w:name w:val="InChapter"/>
    <w:basedOn w:val="Heading3"/>
    <w:rsid w:val="00366AF7"/>
    <w:pPr>
      <w:spacing w:after="240"/>
      <w:outlineLvl w:val="9"/>
    </w:pPr>
    <w:rPr>
      <w:noProof/>
    </w:rPr>
  </w:style>
  <w:style w:type="paragraph" w:styleId="Index2">
    <w:name w:val="index 2"/>
    <w:basedOn w:val="Normal"/>
    <w:next w:val="Normal"/>
    <w:semiHidden/>
    <w:rsid w:val="00366AF7"/>
    <w:pPr>
      <w:tabs>
        <w:tab w:val="right" w:pos="4176"/>
      </w:tabs>
      <w:ind w:left="568" w:hanging="284"/>
    </w:pPr>
    <w:rPr>
      <w:rFonts w:ascii="Garamond" w:hAnsi="Garamond"/>
    </w:rPr>
  </w:style>
  <w:style w:type="paragraph" w:customStyle="1" w:styleId="Byline">
    <w:name w:val="Byline"/>
    <w:rsid w:val="0036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AF7"/>
    <w:pPr>
      <w:tabs>
        <w:tab w:val="clear" w:pos="3600"/>
        <w:tab w:val="clear" w:pos="3958"/>
      </w:tabs>
      <w:jc w:val="right"/>
    </w:pPr>
  </w:style>
  <w:style w:type="character" w:styleId="Emphasis">
    <w:name w:val="Emphasis"/>
    <w:basedOn w:val="DefaultParagraphFont"/>
    <w:qFormat/>
    <w:rsid w:val="00366AF7"/>
    <w:rPr>
      <w:i/>
    </w:rPr>
  </w:style>
  <w:style w:type="paragraph" w:styleId="Caption">
    <w:name w:val="caption"/>
    <w:basedOn w:val="BodyText"/>
    <w:next w:val="Normal"/>
    <w:qFormat/>
    <w:rsid w:val="00366AF7"/>
    <w:pPr>
      <w:framePr w:w="2268" w:hSpace="181" w:vSpace="181" w:wrap="around" w:vAnchor="text" w:hAnchor="page" w:x="1135" w:y="285" w:anchorLock="1"/>
    </w:pPr>
    <w:rPr>
      <w:i/>
    </w:rPr>
  </w:style>
  <w:style w:type="paragraph" w:customStyle="1" w:styleId="MiniTOCTitle">
    <w:name w:val="MiniTOCTitle"/>
    <w:basedOn w:val="Heading4"/>
    <w:rsid w:val="00366AF7"/>
    <w:pPr>
      <w:spacing w:before="240"/>
      <w:outlineLvl w:val="9"/>
    </w:pPr>
    <w:rPr>
      <w:noProof/>
      <w:sz w:val="24"/>
    </w:rPr>
  </w:style>
  <w:style w:type="paragraph" w:customStyle="1" w:styleId="MiniTOCItem">
    <w:name w:val="MiniTOCItem"/>
    <w:basedOn w:val="ListBullet"/>
    <w:rsid w:val="00366AF7"/>
    <w:pPr>
      <w:numPr>
        <w:numId w:val="0"/>
      </w:numPr>
      <w:tabs>
        <w:tab w:val="right" w:leader="dot" w:pos="6521"/>
      </w:tabs>
      <w:spacing w:before="0" w:after="0"/>
    </w:pPr>
  </w:style>
  <w:style w:type="paragraph" w:customStyle="1" w:styleId="TOFTitle">
    <w:name w:val="TOFTitle"/>
    <w:basedOn w:val="TOCTitle"/>
    <w:rsid w:val="00366AF7"/>
  </w:style>
  <w:style w:type="paragraph" w:styleId="TableofFigures">
    <w:name w:val="table of figures"/>
    <w:basedOn w:val="Normal"/>
    <w:next w:val="Normal"/>
    <w:semiHidden/>
    <w:rsid w:val="00366AF7"/>
    <w:pPr>
      <w:tabs>
        <w:tab w:val="right" w:leader="dot" w:pos="9072"/>
      </w:tabs>
      <w:ind w:left="970" w:hanging="403"/>
    </w:pPr>
    <w:rPr>
      <w:rFonts w:ascii="Times New Roman" w:hAnsi="Times New Roman"/>
      <w:b/>
    </w:rPr>
  </w:style>
  <w:style w:type="paragraph" w:styleId="ListNumber">
    <w:name w:val="List Number"/>
    <w:basedOn w:val="List"/>
    <w:rsid w:val="00366AF7"/>
    <w:pPr>
      <w:numPr>
        <w:numId w:val="11"/>
      </w:numPr>
    </w:pPr>
  </w:style>
  <w:style w:type="character" w:customStyle="1" w:styleId="WingdingSymbols">
    <w:name w:val="Wingding Symbols"/>
    <w:rsid w:val="00366AF7"/>
    <w:rPr>
      <w:rFonts w:ascii="Wingdings" w:hAnsi="Wingdings"/>
    </w:rPr>
  </w:style>
  <w:style w:type="paragraph" w:customStyle="1" w:styleId="TableHeading">
    <w:name w:val="Table Heading"/>
    <w:basedOn w:val="HeadingBase"/>
    <w:rsid w:val="00366AF7"/>
    <w:pPr>
      <w:keepLines/>
      <w:pBdr>
        <w:bottom w:val="single" w:sz="6" w:space="1" w:color="918585"/>
      </w:pBdr>
      <w:spacing w:before="240"/>
    </w:pPr>
  </w:style>
  <w:style w:type="character" w:customStyle="1" w:styleId="HotSpot">
    <w:name w:val="HotSpot"/>
    <w:rsid w:val="00366AF7"/>
    <w:rPr>
      <w:color w:val="0033CC"/>
      <w:u w:val="none"/>
    </w:rPr>
  </w:style>
  <w:style w:type="paragraph" w:customStyle="1" w:styleId="BodyTextRight">
    <w:name w:val="Body Text Right"/>
    <w:basedOn w:val="BodyText"/>
    <w:rsid w:val="00366AF7"/>
    <w:pPr>
      <w:spacing w:before="0" w:after="0"/>
      <w:jc w:val="right"/>
    </w:pPr>
  </w:style>
  <w:style w:type="paragraph" w:styleId="Index3">
    <w:name w:val="index 3"/>
    <w:basedOn w:val="ListNumber2"/>
    <w:next w:val="Normal"/>
    <w:semiHidden/>
    <w:rsid w:val="00366AF7"/>
    <w:pPr>
      <w:numPr>
        <w:numId w:val="0"/>
      </w:numPr>
      <w:tabs>
        <w:tab w:val="right" w:leader="dot" w:pos="4176"/>
      </w:tabs>
    </w:pPr>
  </w:style>
  <w:style w:type="paragraph" w:styleId="ListNumber2">
    <w:name w:val="List Number 2"/>
    <w:basedOn w:val="List2"/>
    <w:rsid w:val="00366AF7"/>
    <w:pPr>
      <w:numPr>
        <w:numId w:val="10"/>
      </w:numPr>
      <w:tabs>
        <w:tab w:val="clear" w:pos="1060"/>
      </w:tabs>
    </w:pPr>
  </w:style>
  <w:style w:type="paragraph" w:customStyle="1" w:styleId="MarginNote">
    <w:name w:val="Margin Note"/>
    <w:basedOn w:val="BodyText"/>
    <w:rsid w:val="0036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A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AF7"/>
    <w:rPr>
      <w:sz w:val="32"/>
    </w:rPr>
  </w:style>
  <w:style w:type="paragraph" w:customStyle="1" w:styleId="HeadingProcedure">
    <w:name w:val="Heading Procedure"/>
    <w:basedOn w:val="HeadingBase"/>
    <w:next w:val="Normal"/>
    <w:rsid w:val="00366AF7"/>
    <w:pPr>
      <w:tabs>
        <w:tab w:val="left" w:pos="0"/>
      </w:tabs>
      <w:spacing w:before="120" w:after="60"/>
    </w:pPr>
    <w:rPr>
      <w:i/>
      <w:color w:val="918585"/>
      <w:sz w:val="22"/>
    </w:rPr>
  </w:style>
  <w:style w:type="paragraph" w:customStyle="1" w:styleId="TableBodyText">
    <w:name w:val="Table Body Text"/>
    <w:basedOn w:val="BodyText"/>
    <w:rsid w:val="00366AF7"/>
    <w:pPr>
      <w:spacing w:before="60" w:after="60"/>
    </w:pPr>
  </w:style>
  <w:style w:type="paragraph" w:styleId="ListContinue">
    <w:name w:val="List Continue"/>
    <w:basedOn w:val="List"/>
    <w:rsid w:val="00366AF7"/>
    <w:pPr>
      <w:ind w:firstLine="0"/>
    </w:pPr>
  </w:style>
  <w:style w:type="paragraph" w:customStyle="1" w:styleId="ListNote">
    <w:name w:val="List Note"/>
    <w:basedOn w:val="List"/>
    <w:rsid w:val="00366AF7"/>
    <w:pPr>
      <w:pBdr>
        <w:top w:val="single" w:sz="6" w:space="2" w:color="918585"/>
        <w:bottom w:val="single" w:sz="6" w:space="2" w:color="918585"/>
      </w:pBdr>
      <w:tabs>
        <w:tab w:val="left" w:pos="1021"/>
      </w:tabs>
      <w:ind w:firstLine="0"/>
    </w:pPr>
  </w:style>
  <w:style w:type="paragraph" w:customStyle="1" w:styleId="Warning">
    <w:name w:val="Warning"/>
    <w:basedOn w:val="BodyText"/>
    <w:rsid w:val="00366AF7"/>
    <w:pPr>
      <w:shd w:val="clear" w:color="auto" w:fill="D9D9D9"/>
      <w:tabs>
        <w:tab w:val="left" w:pos="992"/>
      </w:tabs>
      <w:ind w:left="119" w:right="119"/>
    </w:pPr>
    <w:rPr>
      <w:sz w:val="20"/>
    </w:rPr>
  </w:style>
  <w:style w:type="paragraph" w:customStyle="1" w:styleId="MarginIcons">
    <w:name w:val="Margin Icons"/>
    <w:basedOn w:val="BodyText"/>
    <w:rsid w:val="0036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AF7"/>
    <w:rPr>
      <w:rFonts w:ascii="Courier New" w:hAnsi="Courier New"/>
    </w:rPr>
  </w:style>
  <w:style w:type="paragraph" w:customStyle="1" w:styleId="NoteBullet">
    <w:name w:val="Note Bullet"/>
    <w:basedOn w:val="Note"/>
    <w:rsid w:val="00366AF7"/>
    <w:pPr>
      <w:tabs>
        <w:tab w:val="clear" w:pos="680"/>
      </w:tabs>
      <w:spacing w:before="60" w:after="60"/>
    </w:pPr>
  </w:style>
  <w:style w:type="paragraph" w:customStyle="1" w:styleId="SubHeading2">
    <w:name w:val="SubHeading2"/>
    <w:basedOn w:val="HeadingBase"/>
    <w:rsid w:val="00366AF7"/>
    <w:pPr>
      <w:spacing w:before="240" w:after="60"/>
    </w:pPr>
    <w:rPr>
      <w:sz w:val="20"/>
    </w:rPr>
  </w:style>
  <w:style w:type="paragraph" w:customStyle="1" w:styleId="SubHeading1">
    <w:name w:val="SubHeading1"/>
    <w:basedOn w:val="HeadingBase"/>
    <w:rsid w:val="00366AF7"/>
    <w:pPr>
      <w:spacing w:before="240" w:after="60"/>
    </w:pPr>
    <w:rPr>
      <w:color w:val="918585"/>
      <w:sz w:val="22"/>
    </w:rPr>
  </w:style>
  <w:style w:type="paragraph" w:customStyle="1" w:styleId="SideHeading">
    <w:name w:val="Side Heading"/>
    <w:basedOn w:val="HeadingBase"/>
    <w:rsid w:val="0036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AF7"/>
    <w:pPr>
      <w:numPr>
        <w:numId w:val="12"/>
      </w:numPr>
    </w:pPr>
  </w:style>
  <w:style w:type="paragraph" w:styleId="PlainText">
    <w:name w:val="Plain Text"/>
    <w:basedOn w:val="Normal"/>
    <w:link w:val="PlainTextChar"/>
    <w:rsid w:val="00366AF7"/>
    <w:rPr>
      <w:sz w:val="20"/>
    </w:rPr>
  </w:style>
  <w:style w:type="character" w:customStyle="1" w:styleId="PlainTextChar">
    <w:name w:val="Plain Text Char"/>
    <w:basedOn w:val="DefaultParagraphFont"/>
    <w:link w:val="PlainText"/>
    <w:rsid w:val="00366A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6AF7"/>
    <w:rPr>
      <w:b/>
      <w:smallCaps/>
    </w:rPr>
  </w:style>
  <w:style w:type="paragraph" w:customStyle="1" w:styleId="TableListNumber">
    <w:name w:val="Table List Number"/>
    <w:basedOn w:val="ListNumber"/>
    <w:rsid w:val="00366AF7"/>
    <w:pPr>
      <w:numPr>
        <w:numId w:val="0"/>
      </w:numPr>
    </w:pPr>
  </w:style>
  <w:style w:type="paragraph" w:styleId="TOC4">
    <w:name w:val="toc 4"/>
    <w:basedOn w:val="TOCBase"/>
    <w:next w:val="Normal"/>
    <w:semiHidden/>
    <w:rsid w:val="00366AF7"/>
    <w:pPr>
      <w:tabs>
        <w:tab w:val="right" w:leader="dot" w:pos="9071"/>
      </w:tabs>
      <w:ind w:left="1701"/>
    </w:pPr>
  </w:style>
  <w:style w:type="paragraph" w:customStyle="1" w:styleId="ListAlpha">
    <w:name w:val="List Alpha"/>
    <w:basedOn w:val="List"/>
    <w:rsid w:val="00366AF7"/>
    <w:pPr>
      <w:numPr>
        <w:numId w:val="9"/>
      </w:numPr>
    </w:pPr>
  </w:style>
  <w:style w:type="paragraph" w:customStyle="1" w:styleId="ListAlpha2">
    <w:name w:val="List Alpha 2"/>
    <w:basedOn w:val="List2"/>
    <w:rsid w:val="00366AF7"/>
    <w:pPr>
      <w:numPr>
        <w:numId w:val="8"/>
      </w:numPr>
    </w:pPr>
  </w:style>
  <w:style w:type="paragraph" w:styleId="List3">
    <w:name w:val="List 3"/>
    <w:basedOn w:val="BodyText"/>
    <w:rsid w:val="00366AF7"/>
    <w:pPr>
      <w:tabs>
        <w:tab w:val="left" w:pos="1021"/>
      </w:tabs>
      <w:spacing w:before="60" w:after="60"/>
      <w:ind w:left="1020" w:hanging="340"/>
    </w:pPr>
  </w:style>
  <w:style w:type="paragraph" w:styleId="List4">
    <w:name w:val="List 4"/>
    <w:basedOn w:val="BodyText"/>
    <w:rsid w:val="00366AF7"/>
    <w:pPr>
      <w:tabs>
        <w:tab w:val="left" w:pos="1361"/>
      </w:tabs>
      <w:spacing w:before="60" w:after="60"/>
      <w:ind w:left="1361" w:hanging="340"/>
    </w:pPr>
  </w:style>
  <w:style w:type="paragraph" w:styleId="List5">
    <w:name w:val="List 5"/>
    <w:basedOn w:val="BodyText"/>
    <w:rsid w:val="00366AF7"/>
    <w:pPr>
      <w:tabs>
        <w:tab w:val="left" w:pos="1701"/>
      </w:tabs>
      <w:spacing w:before="60" w:after="60"/>
      <w:ind w:left="1701" w:hanging="340"/>
    </w:pPr>
  </w:style>
  <w:style w:type="paragraph" w:styleId="ListBullet3">
    <w:name w:val="List Bullet 3"/>
    <w:basedOn w:val="List3"/>
    <w:rsid w:val="00366AF7"/>
    <w:pPr>
      <w:numPr>
        <w:numId w:val="15"/>
      </w:numPr>
      <w:tabs>
        <w:tab w:val="clear" w:pos="1021"/>
      </w:tabs>
      <w:ind w:left="1037" w:hanging="357"/>
    </w:pPr>
  </w:style>
  <w:style w:type="paragraph" w:styleId="ListBullet4">
    <w:name w:val="List Bullet 4"/>
    <w:basedOn w:val="List4"/>
    <w:rsid w:val="00366AF7"/>
    <w:pPr>
      <w:numPr>
        <w:numId w:val="3"/>
      </w:numPr>
    </w:pPr>
  </w:style>
  <w:style w:type="paragraph" w:styleId="ListBullet5">
    <w:name w:val="List Bullet 5"/>
    <w:basedOn w:val="List5"/>
    <w:rsid w:val="00366AF7"/>
    <w:pPr>
      <w:numPr>
        <w:numId w:val="4"/>
      </w:numPr>
    </w:pPr>
  </w:style>
  <w:style w:type="paragraph" w:styleId="ListContinue2">
    <w:name w:val="List Continue 2"/>
    <w:basedOn w:val="List2"/>
    <w:rsid w:val="00366AF7"/>
    <w:pPr>
      <w:ind w:firstLine="0"/>
    </w:pPr>
  </w:style>
  <w:style w:type="paragraph" w:styleId="ListContinue3">
    <w:name w:val="List Continue 3"/>
    <w:basedOn w:val="List3"/>
    <w:rsid w:val="00366AF7"/>
    <w:pPr>
      <w:ind w:left="1021" w:firstLine="0"/>
    </w:pPr>
  </w:style>
  <w:style w:type="paragraph" w:styleId="ListContinue4">
    <w:name w:val="List Continue 4"/>
    <w:basedOn w:val="List4"/>
    <w:rsid w:val="00366AF7"/>
    <w:pPr>
      <w:ind w:firstLine="0"/>
    </w:pPr>
  </w:style>
  <w:style w:type="paragraph" w:styleId="ListContinue5">
    <w:name w:val="List Continue 5"/>
    <w:basedOn w:val="List5"/>
    <w:rsid w:val="00366AF7"/>
    <w:pPr>
      <w:ind w:firstLine="0"/>
    </w:pPr>
  </w:style>
  <w:style w:type="paragraph" w:styleId="ListNumber3">
    <w:name w:val="List Number 3"/>
    <w:basedOn w:val="List3"/>
    <w:rsid w:val="00366AF7"/>
    <w:pPr>
      <w:numPr>
        <w:numId w:val="5"/>
      </w:numPr>
    </w:pPr>
  </w:style>
  <w:style w:type="paragraph" w:styleId="ListNumber4">
    <w:name w:val="List Number 4"/>
    <w:basedOn w:val="List4"/>
    <w:rsid w:val="00366AF7"/>
    <w:pPr>
      <w:numPr>
        <w:numId w:val="6"/>
      </w:numPr>
    </w:pPr>
  </w:style>
  <w:style w:type="paragraph" w:styleId="ListNumber5">
    <w:name w:val="List Number 5"/>
    <w:basedOn w:val="List5"/>
    <w:rsid w:val="00366AF7"/>
    <w:pPr>
      <w:numPr>
        <w:numId w:val="7"/>
      </w:numPr>
    </w:pPr>
  </w:style>
  <w:style w:type="paragraph" w:styleId="BlockText">
    <w:name w:val="Block Text"/>
    <w:basedOn w:val="Normal"/>
    <w:rsid w:val="00366AF7"/>
    <w:pPr>
      <w:spacing w:after="120"/>
      <w:ind w:left="1440" w:right="1440"/>
    </w:pPr>
  </w:style>
  <w:style w:type="character" w:customStyle="1" w:styleId="Subscript">
    <w:name w:val="Subscript"/>
    <w:basedOn w:val="DefaultParagraphFont"/>
    <w:rsid w:val="00366AF7"/>
    <w:rPr>
      <w:sz w:val="16"/>
      <w:vertAlign w:val="subscript"/>
    </w:rPr>
  </w:style>
  <w:style w:type="character" w:customStyle="1" w:styleId="Superscript">
    <w:name w:val="Superscript"/>
    <w:basedOn w:val="DefaultParagraphFont"/>
    <w:rsid w:val="00366AF7"/>
    <w:rPr>
      <w:sz w:val="16"/>
      <w:vertAlign w:val="superscript"/>
    </w:rPr>
  </w:style>
  <w:style w:type="character" w:customStyle="1" w:styleId="Symbols">
    <w:name w:val="Symbols"/>
    <w:basedOn w:val="DefaultParagraphFont"/>
    <w:rsid w:val="00366AF7"/>
    <w:rPr>
      <w:rFonts w:ascii="Symbol" w:hAnsi="Symbol"/>
    </w:rPr>
  </w:style>
  <w:style w:type="character" w:customStyle="1" w:styleId="MenuOptions">
    <w:name w:val="Menu Options"/>
    <w:basedOn w:val="DefaultParagraphFont"/>
    <w:rsid w:val="00366AF7"/>
    <w:rPr>
      <w:rFonts w:ascii="Arial Narrow" w:hAnsi="Arial Narrow"/>
      <w:smallCaps/>
    </w:rPr>
  </w:style>
  <w:style w:type="character" w:customStyle="1" w:styleId="Buttons">
    <w:name w:val="Buttons"/>
    <w:basedOn w:val="DefaultParagraphFont"/>
    <w:rsid w:val="00366AF7"/>
    <w:rPr>
      <w:b/>
    </w:rPr>
  </w:style>
  <w:style w:type="character" w:customStyle="1" w:styleId="Underlined">
    <w:name w:val="Underlined"/>
    <w:basedOn w:val="DefaultParagraphFont"/>
    <w:rsid w:val="00366AF7"/>
    <w:rPr>
      <w:u w:val="single"/>
    </w:rPr>
  </w:style>
  <w:style w:type="paragraph" w:customStyle="1" w:styleId="TableBodyTextRight">
    <w:name w:val="Table Body Text Right"/>
    <w:basedOn w:val="TableBodyText"/>
    <w:rsid w:val="00366AF7"/>
    <w:pPr>
      <w:widowControl w:val="0"/>
      <w:autoSpaceDE w:val="0"/>
      <w:autoSpaceDN w:val="0"/>
      <w:adjustRightInd w:val="0"/>
      <w:jc w:val="right"/>
    </w:pPr>
    <w:rPr>
      <w:rFonts w:cs="Arial"/>
      <w:szCs w:val="18"/>
    </w:rPr>
  </w:style>
  <w:style w:type="paragraph" w:customStyle="1" w:styleId="CopyrightText">
    <w:name w:val="Copyright Text"/>
    <w:basedOn w:val="BodyText"/>
    <w:rsid w:val="00366AF7"/>
    <w:rPr>
      <w:sz w:val="18"/>
    </w:rPr>
  </w:style>
  <w:style w:type="paragraph" w:customStyle="1" w:styleId="BodySmallRight">
    <w:name w:val="Body Small Right"/>
    <w:basedOn w:val="BodyTextRight"/>
    <w:rsid w:val="00366AF7"/>
    <w:rPr>
      <w:sz w:val="18"/>
      <w:szCs w:val="18"/>
    </w:rPr>
  </w:style>
  <w:style w:type="paragraph" w:customStyle="1" w:styleId="MarginEdition">
    <w:name w:val="Margin Edition"/>
    <w:basedOn w:val="MarginNote"/>
    <w:rsid w:val="00366AF7"/>
    <w:pPr>
      <w:spacing w:before="0" w:after="0"/>
    </w:pPr>
    <w:rPr>
      <w:rFonts w:ascii="Times New Roman" w:hAnsi="Times New Roman"/>
      <w:color w:val="999999"/>
    </w:rPr>
  </w:style>
  <w:style w:type="paragraph" w:customStyle="1" w:styleId="Spacer">
    <w:name w:val="Spacer"/>
    <w:basedOn w:val="Normal"/>
    <w:rsid w:val="00366AF7"/>
    <w:rPr>
      <w:sz w:val="2"/>
      <w:szCs w:val="2"/>
    </w:rPr>
  </w:style>
  <w:style w:type="character" w:customStyle="1" w:styleId="Small">
    <w:name w:val="Small"/>
    <w:basedOn w:val="DefaultParagraphFont"/>
    <w:rsid w:val="00366AF7"/>
    <w:rPr>
      <w:sz w:val="16"/>
    </w:rPr>
  </w:style>
  <w:style w:type="paragraph" w:customStyle="1" w:styleId="WideTable">
    <w:name w:val="Wide Table"/>
    <w:basedOn w:val="Normal"/>
    <w:rsid w:val="00366AF7"/>
    <w:pPr>
      <w:ind w:left="-1418"/>
    </w:pPr>
    <w:rPr>
      <w:sz w:val="2"/>
      <w:szCs w:val="2"/>
    </w:rPr>
  </w:style>
  <w:style w:type="character" w:styleId="PageNumber">
    <w:name w:val="page number"/>
    <w:basedOn w:val="DefaultParagraphFont"/>
    <w:rsid w:val="00366AF7"/>
  </w:style>
  <w:style w:type="paragraph" w:styleId="Quote">
    <w:name w:val="Quote"/>
    <w:basedOn w:val="Heading1"/>
    <w:link w:val="QuoteChar"/>
    <w:qFormat/>
    <w:rsid w:val="00366AF7"/>
    <w:rPr>
      <w:b w:val="0"/>
      <w:sz w:val="72"/>
      <w:szCs w:val="72"/>
      <w:lang w:val="en-NZ"/>
    </w:rPr>
  </w:style>
  <w:style w:type="character" w:customStyle="1" w:styleId="QuoteChar">
    <w:name w:val="Quote Char"/>
    <w:basedOn w:val="DefaultParagraphFont"/>
    <w:link w:val="Quote"/>
    <w:rsid w:val="0036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AF7"/>
    <w:pPr>
      <w:pageBreakBefore/>
    </w:pPr>
  </w:style>
  <w:style w:type="paragraph" w:customStyle="1" w:styleId="Border">
    <w:name w:val="Border"/>
    <w:basedOn w:val="Normal"/>
    <w:qFormat/>
    <w:rsid w:val="0036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AF7"/>
    <w:rPr>
      <w:b/>
      <w:bCs/>
      <w:i/>
      <w:iCs/>
      <w:color w:val="auto"/>
    </w:rPr>
  </w:style>
  <w:style w:type="paragraph" w:styleId="IntenseQuote">
    <w:name w:val="Intense Quote"/>
    <w:basedOn w:val="Normal"/>
    <w:next w:val="Normal"/>
    <w:link w:val="IntenseQuoteChar"/>
    <w:uiPriority w:val="30"/>
    <w:qFormat/>
    <w:rsid w:val="0036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A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6AF7"/>
    <w:rPr>
      <w:smallCaps/>
      <w:color w:val="auto"/>
      <w:u w:val="single"/>
    </w:rPr>
  </w:style>
  <w:style w:type="character" w:styleId="IntenseReference">
    <w:name w:val="Intense Reference"/>
    <w:basedOn w:val="DefaultParagraphFont"/>
    <w:uiPriority w:val="32"/>
    <w:qFormat/>
    <w:rsid w:val="00366AF7"/>
    <w:rPr>
      <w:b/>
      <w:bCs/>
      <w:smallCaps/>
      <w:color w:val="auto"/>
      <w:spacing w:val="5"/>
      <w:u w:val="single"/>
    </w:rPr>
  </w:style>
  <w:style w:type="paragraph" w:customStyle="1" w:styleId="2ColumnHeading">
    <w:name w:val="2Column Heading"/>
    <w:basedOn w:val="BodyText"/>
    <w:qFormat/>
    <w:rsid w:val="00366AF7"/>
    <w:pPr>
      <w:spacing w:after="60"/>
      <w:ind w:left="-2268"/>
    </w:pPr>
    <w:rPr>
      <w:b/>
    </w:rPr>
  </w:style>
  <w:style w:type="paragraph" w:customStyle="1" w:styleId="Heading1TOC">
    <w:name w:val="Heading1 TOC"/>
    <w:basedOn w:val="Normal"/>
    <w:qFormat/>
    <w:rsid w:val="00366AF7"/>
    <w:pPr>
      <w:spacing w:before="240" w:after="120"/>
    </w:pPr>
    <w:rPr>
      <w:rFonts w:ascii="Times New Roman" w:hAnsi="Times New Roman"/>
      <w:b/>
      <w:sz w:val="32"/>
    </w:rPr>
  </w:style>
  <w:style w:type="paragraph" w:customStyle="1" w:styleId="Heading2TOC">
    <w:name w:val="Heading2 TOC"/>
    <w:basedOn w:val="Normal"/>
    <w:qFormat/>
    <w:rsid w:val="00366AF7"/>
    <w:pPr>
      <w:spacing w:before="240" w:after="60"/>
    </w:pPr>
    <w:rPr>
      <w:rFonts w:ascii="Times New Roman" w:hAnsi="Times New Roman"/>
      <w:b/>
      <w:sz w:val="28"/>
    </w:rPr>
  </w:style>
  <w:style w:type="character" w:customStyle="1" w:styleId="Underline">
    <w:name w:val="Underline"/>
    <w:basedOn w:val="DefaultParagraphFont"/>
    <w:qFormat/>
    <w:rsid w:val="00366AF7"/>
    <w:rPr>
      <w:u w:val="single"/>
    </w:rPr>
  </w:style>
  <w:style w:type="paragraph" w:styleId="BalloonText">
    <w:name w:val="Balloon Text"/>
    <w:basedOn w:val="Normal"/>
    <w:link w:val="BalloonTextChar"/>
    <w:rsid w:val="00366AF7"/>
    <w:rPr>
      <w:rFonts w:ascii="Tahoma" w:hAnsi="Tahoma" w:cs="Tahoma"/>
      <w:sz w:val="16"/>
      <w:szCs w:val="16"/>
    </w:rPr>
  </w:style>
  <w:style w:type="character" w:customStyle="1" w:styleId="BalloonTextChar">
    <w:name w:val="Balloon Text Char"/>
    <w:basedOn w:val="DefaultParagraphFont"/>
    <w:link w:val="BalloonText"/>
    <w:rsid w:val="00366A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A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5694</Characters>
  <Application>Microsoft Office Word</Application>
  <DocSecurity>0</DocSecurity>
  <Lines>182</Lines>
  <Paragraphs>92</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MEA261C Use electronic test equipment</dc:title>
  <dc:subject>Approved</dc:subject>
  <dc:creator>Manufacturing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2012-05-27T08:57:00Z</dcterms:created>
  <dcterms:modified xsi:type="dcterms:W3CDTF">2012-05-27T08:57:00Z</dcterms:modified>
</cp:coreProperties>
</file>