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962" w:rsidP="00447962">
      <w:pPr>
        <w:pStyle w:val="Title"/>
      </w:pPr>
      <w:bookmarkStart w:id="0" w:name="_GoBack"/>
      <w:bookmarkEnd w:id="0"/>
      <w:r>
        <w:fldChar w:fldCharType="begin"/>
      </w:r>
      <w:r>
        <w:instrText xml:space="preserve"> TITLE   \* MERGEFORMAT </w:instrText>
      </w:r>
      <w:r>
        <w:fldChar w:fldCharType="separate"/>
      </w:r>
      <w:r>
        <w:t>MEA252B Test, align and troubleshoot aircraft synchro and servo system components</w:t>
      </w:r>
      <w:r>
        <w:fldChar w:fldCharType="end"/>
      </w:r>
    </w:p>
    <w:p w:rsidR="00447962" w:rsidP="00447962">
      <w:pPr>
        <w:pStyle w:val="Version"/>
        <w:sectPr w:rsidSect="008F4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4A3F" w:rsidP="008F4A3F">
      <w:pPr>
        <w:pStyle w:val="SuperHeading"/>
      </w:pPr>
      <w:r w:rsidRPr="008F4A3F">
        <w:t>MEA252B Test, align and troubleshoot aircraft synchro and servo system components</w:t>
      </w:r>
    </w:p>
    <w:p w:rsidR="00000000" w:rsidRPr="008F4A3F" w:rsidP="008F4A3F">
      <w:pPr>
        <w:pStyle w:val="Heading1"/>
      </w:pPr>
      <w:bookmarkStart w:id="1" w:name="O_400446"/>
      <w:bookmarkEnd w:id="1"/>
      <w:r w:rsidRPr="008F4A3F">
        <w:t>Modification History</w:t>
      </w:r>
    </w:p>
    <w:p w:rsidR="00000000" w:rsidRPr="008F4A3F" w:rsidP="008F4A3F">
      <w:pPr>
        <w:pStyle w:val="BodyText"/>
      </w:pPr>
      <w:r w:rsidRPr="008F4A3F">
        <w:t>Minor formatting and editorial changes made.</w:t>
      </w:r>
    </w:p>
    <w:p w:rsidR="00000000" w:rsidRPr="008F4A3F" w:rsidP="008F4A3F">
      <w:pPr>
        <w:pStyle w:val="AllowPageBreak"/>
      </w:pPr>
    </w:p>
    <w:p w:rsidR="00000000" w:rsidRPr="008F4A3F" w:rsidP="008F4A3F">
      <w:pPr>
        <w:pStyle w:val="Heading1"/>
      </w:pPr>
      <w:bookmarkStart w:id="2" w:name="O_400442"/>
      <w:bookmarkEnd w:id="2"/>
      <w:r w:rsidRPr="008F4A3F">
        <w:t>Unit Descriptor</w:t>
      </w:r>
    </w:p>
    <w:tbl>
      <w:tblPr>
        <w:tblW w:w="0" w:type="auto"/>
        <w:tblLayout w:type="fixed"/>
        <w:tblCellMar>
          <w:left w:w="62" w:type="dxa"/>
          <w:right w:w="62" w:type="dxa"/>
        </w:tblCellMar>
        <w:tblLook w:val="0000"/>
      </w:tblPr>
      <w:tblGrid>
        <w:gridCol w:w="8640"/>
      </w:tblGrid>
      <w:tr w:rsidTr="0044796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8F4A3F" w:rsidP="008F4A3F">
            <w:pPr>
              <w:pStyle w:val="BodyText"/>
            </w:pPr>
            <w:r w:rsidRPr="008F4A3F">
              <w:t>This unit of competency is part of the Avionic Certificate IV (Component Maintenance Workshop Stream) training pathways. It covers the competencies required to test, align and troubleshoot aircraft synchro and servo system co</w:t>
            </w:r>
            <w:r w:rsidRPr="008F4A3F">
              <w:t>mponents. The unit is used in workplaces that operate under the airworthiness regulatory systems of the ADF and CASA.</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3" w:name="O_400455"/>
      <w:bookmarkEnd w:id="3"/>
      <w:r w:rsidRPr="008F4A3F">
        <w:t>Application of the Unit</w:t>
      </w:r>
    </w:p>
    <w:tbl>
      <w:tblPr>
        <w:tblW w:w="0" w:type="auto"/>
        <w:tblLayout w:type="fixed"/>
        <w:tblCellMar>
          <w:left w:w="62" w:type="dxa"/>
          <w:right w:w="62" w:type="dxa"/>
        </w:tblCellMar>
        <w:tblLook w:val="0000"/>
      </w:tblPr>
      <w:tblGrid>
        <w:gridCol w:w="8550"/>
      </w:tblGrid>
      <w:tr w:rsidTr="00447962">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8F4A3F" w:rsidP="008F4A3F">
            <w:pPr>
              <w:pStyle w:val="BodyText"/>
            </w:pPr>
            <w:r w:rsidRPr="008F4A3F">
              <w:t>This unit requires application of hand skills, test equipment and knowledge of analogue theory to test, align and troubleshoot synchro and servo components.</w:t>
            </w:r>
          </w:p>
          <w:p w:rsidR="00000000" w:rsidRPr="008F4A3F" w:rsidP="008F4A3F">
            <w:pPr>
              <w:pStyle w:val="BodyText"/>
            </w:pPr>
            <w:r w:rsidRPr="008F4A3F">
              <w:t>Applications include synchro and servo system components from fixed and rotary wing aircraft that a</w:t>
            </w:r>
            <w:r w:rsidRPr="008F4A3F">
              <w:t>re repaired or overhauled in aviation maintenance workshops</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4" w:name="O_400447"/>
      <w:bookmarkEnd w:id="4"/>
      <w:r w:rsidRPr="008F4A3F">
        <w:t>Licensing/Regulatory Information</w:t>
      </w:r>
    </w:p>
    <w:p w:rsidR="00000000" w:rsidRPr="008F4A3F" w:rsidP="008F4A3F">
      <w:pPr>
        <w:pStyle w:val="BodyText"/>
      </w:pPr>
      <w:r w:rsidRPr="008F4A3F">
        <w:t>Not applicable.</w:t>
      </w:r>
    </w:p>
    <w:p w:rsidR="00000000" w:rsidRPr="008F4A3F" w:rsidP="008F4A3F">
      <w:pPr>
        <w:pStyle w:val="AllowPageBreak"/>
      </w:pPr>
    </w:p>
    <w:p w:rsidR="00000000" w:rsidRPr="008F4A3F" w:rsidP="008F4A3F">
      <w:pPr>
        <w:pStyle w:val="Heading1"/>
      </w:pPr>
      <w:bookmarkStart w:id="5" w:name="O_400445"/>
      <w:bookmarkEnd w:id="5"/>
      <w:r w:rsidRPr="008F4A3F">
        <w:t>Pre-Requisites</w:t>
      </w:r>
    </w:p>
    <w:tbl>
      <w:tblPr>
        <w:tblW w:w="0" w:type="auto"/>
        <w:tblLayout w:type="fixed"/>
        <w:tblCellMar>
          <w:left w:w="62" w:type="dxa"/>
          <w:right w:w="62" w:type="dxa"/>
        </w:tblCellMar>
        <w:tblLook w:val="0000"/>
      </w:tblPr>
      <w:tblGrid>
        <w:gridCol w:w="1926"/>
        <w:gridCol w:w="6624"/>
      </w:tblGrid>
      <w:tr w:rsidTr="0044796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t>MEA201B</w:t>
            </w:r>
          </w:p>
        </w:tc>
        <w:tc>
          <w:tcPr>
            <w:tcW w:w="6624"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t>Remove and install miscellaneous aircraft electrical hardware/components</w:t>
            </w:r>
          </w:p>
        </w:tc>
      </w:tr>
      <w:tr w:rsidTr="0044796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t>MEA260B</w:t>
            </w:r>
          </w:p>
        </w:tc>
        <w:tc>
          <w:tcPr>
            <w:tcW w:w="6624"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t>Use el</w:t>
            </w:r>
            <w:r w:rsidRPr="008F4A3F">
              <w:t>ectrical test equipment</w:t>
            </w:r>
          </w:p>
        </w:tc>
      </w:tr>
      <w:tr w:rsidTr="0044796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t>MEA261C</w:t>
            </w:r>
          </w:p>
        </w:tc>
        <w:tc>
          <w:tcPr>
            <w:tcW w:w="6624" w:type="dxa"/>
            <w:tcBorders>
              <w:top w:val="nil"/>
              <w:left w:val="nil"/>
              <w:bottom w:val="nil"/>
              <w:right w:val="nil"/>
            </w:tcBorders>
            <w:tcMar>
              <w:top w:w="0" w:type="dxa"/>
              <w:left w:w="62" w:type="dxa"/>
              <w:bottom w:w="0" w:type="dxa"/>
              <w:right w:w="62" w:type="dxa"/>
            </w:tcMar>
          </w:tcPr>
          <w:p w:rsidR="00000000" w:rsidRPr="008F4A3F" w:rsidP="008F4A3F">
            <w:pPr>
              <w:pStyle w:val="BodyText"/>
            </w:pPr>
            <w:r w:rsidRPr="008F4A3F">
              <w:t>Use electronic test equipment</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6" w:name="O_400450"/>
      <w:bookmarkEnd w:id="6"/>
      <w:r w:rsidRPr="008F4A3F">
        <w:t>Employability Skills Information</w:t>
      </w:r>
    </w:p>
    <w:tbl>
      <w:tblPr>
        <w:tblW w:w="0" w:type="auto"/>
        <w:tblLayout w:type="fixed"/>
        <w:tblCellMar>
          <w:left w:w="62" w:type="dxa"/>
          <w:right w:w="62" w:type="dxa"/>
        </w:tblCellMar>
        <w:tblLook w:val="0000"/>
      </w:tblPr>
      <w:tblGrid>
        <w:gridCol w:w="5720"/>
      </w:tblGrid>
      <w:tr w:rsidTr="0044796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F4A3F" w:rsidP="008F4A3F">
            <w:pPr>
              <w:pStyle w:val="BodyText"/>
            </w:pPr>
            <w:r w:rsidRPr="008F4A3F">
              <w:t>This unit contains employability skills.</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7" w:name="O_400451"/>
      <w:bookmarkEnd w:id="7"/>
      <w:r w:rsidRPr="008F4A3F">
        <w:t>Elements and Performance Criteria Pre-Content</w:t>
      </w:r>
    </w:p>
    <w:tbl>
      <w:tblPr>
        <w:tblW w:w="9450" w:type="dxa"/>
        <w:tblLayout w:type="fixed"/>
        <w:tblCellMar>
          <w:left w:w="62" w:type="dxa"/>
          <w:right w:w="62" w:type="dxa"/>
        </w:tblCellMar>
        <w:tblLook w:val="0000"/>
      </w:tblPr>
      <w:tblGrid>
        <w:gridCol w:w="2617"/>
        <w:gridCol w:w="6833"/>
      </w:tblGrid>
      <w:tr w:rsidTr="00447962">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r w:rsidRPr="008F4A3F">
              <w:t>Performance criteria describe the performance needed to demonstrate achievement of the element. Where bold italicised text is used, further information is detailed in the required skills and</w:t>
            </w:r>
            <w:r w:rsidRPr="008F4A3F">
              <w:t xml:space="preserve"> knowledge section and the range statement. Assessment of performance is to be consistent with the evidence guide.</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8" w:name="O_400452"/>
      <w:bookmarkEnd w:id="8"/>
      <w:r w:rsidRPr="008F4A3F">
        <w:t>Elements and Performance Criteria</w:t>
      </w:r>
    </w:p>
    <w:tbl>
      <w:tblPr>
        <w:tblW w:w="0" w:type="auto"/>
        <w:tblCellMar>
          <w:left w:w="62" w:type="dxa"/>
          <w:right w:w="62" w:type="dxa"/>
        </w:tblCellMar>
        <w:tblLook w:val="0000"/>
      </w:tblPr>
      <w:tblGrid>
        <w:gridCol w:w="1924"/>
        <w:gridCol w:w="7272"/>
      </w:tblGrid>
      <w:tr w:rsidTr="00447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3F">
            <w:pPr>
              <w:pStyle w:val="List"/>
              <w:rPr>
                <w:lang w:val="en-NZ"/>
              </w:rPr>
            </w:pPr>
            <w:r w:rsidRPr="008F4A3F">
              <w:t>1.</w:t>
            </w:r>
            <w:r w:rsidRPr="008F4A3F">
              <w:tab/>
              <w:t>Test synchro and servo system components</w:t>
            </w:r>
          </w:p>
        </w:tc>
        <w:tc>
          <w:tcPr>
            <w:tcW w:w="0" w:type="auto"/>
            <w:tcBorders>
              <w:top w:val="nil"/>
              <w:left w:val="nil"/>
              <w:bottom w:val="nil"/>
              <w:right w:val="nil"/>
            </w:tcBorders>
            <w:tcMar>
              <w:top w:w="0" w:type="dxa"/>
              <w:left w:w="62" w:type="dxa"/>
              <w:bottom w:w="0" w:type="dxa"/>
              <w:right w:w="62" w:type="dxa"/>
            </w:tcMar>
          </w:tcPr>
          <w:p w:rsidR="00000000" w:rsidRPr="008F4A3F" w:rsidP="008F4A3F">
            <w:pPr>
              <w:pStyle w:val="List2"/>
            </w:pPr>
            <w:r w:rsidRPr="008F4A3F">
              <w:t>1.1.</w:t>
            </w:r>
            <w:r w:rsidRPr="008F4A3F">
              <w:tab/>
            </w:r>
            <w:r w:rsidRPr="008F4A3F">
              <w:rPr>
                <w:rStyle w:val="BoldandItalics"/>
              </w:rPr>
              <w:t>Synchro and servo system components</w:t>
            </w:r>
            <w:r w:rsidRPr="008F4A3F">
              <w:t xml:space="preserve"> are correctly prepared and connected to the appropriate test equipment/rig in accordance with approved procedures</w:t>
            </w:r>
          </w:p>
          <w:p w:rsidR="00000000" w:rsidRPr="008F4A3F" w:rsidP="008F4A3F">
            <w:pPr>
              <w:pStyle w:val="List2"/>
            </w:pPr>
            <w:r w:rsidRPr="008F4A3F">
              <w:t>1.2.</w:t>
            </w:r>
            <w:r w:rsidRPr="008F4A3F">
              <w:tab/>
              <w:t>Components are functionally tested or cycled through the prescribed test procedures in accordance with maintenance manual for evidence o</w:t>
            </w:r>
            <w:r w:rsidRPr="008F4A3F">
              <w:t>f serviceability or malfunction</w:t>
            </w:r>
          </w:p>
          <w:p w:rsidR="00000000" w:rsidP="008F4A3F">
            <w:pPr>
              <w:pStyle w:val="List2"/>
              <w:rPr>
                <w:lang w:val="en-NZ"/>
              </w:rPr>
            </w:pPr>
            <w:r w:rsidRPr="008F4A3F">
              <w:t>1.3.</w:t>
            </w:r>
            <w:r w:rsidRPr="008F4A3F">
              <w:tab/>
              <w:t>Faults or unserviceabilities are correctly identified and recorded on appropriate maintenance documentation</w:t>
            </w:r>
          </w:p>
        </w:tc>
      </w:tr>
      <w:tr w:rsidTr="00447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3F">
            <w:pPr>
              <w:pStyle w:val="List"/>
              <w:rPr>
                <w:lang w:val="en-NZ"/>
              </w:rPr>
            </w:pPr>
            <w:r w:rsidRPr="008F4A3F">
              <w:t>2.</w:t>
            </w:r>
            <w:r w:rsidRPr="008F4A3F">
              <w:tab/>
              <w:t>Align synchro and servo system components</w:t>
            </w:r>
          </w:p>
        </w:tc>
        <w:tc>
          <w:tcPr>
            <w:tcW w:w="0" w:type="auto"/>
            <w:tcBorders>
              <w:top w:val="nil"/>
              <w:left w:val="nil"/>
              <w:bottom w:val="nil"/>
              <w:right w:val="nil"/>
            </w:tcBorders>
            <w:tcMar>
              <w:top w:w="0" w:type="dxa"/>
              <w:left w:w="62" w:type="dxa"/>
              <w:bottom w:w="0" w:type="dxa"/>
              <w:right w:w="62" w:type="dxa"/>
            </w:tcMar>
          </w:tcPr>
          <w:p w:rsidR="00000000" w:rsidP="008F4A3F">
            <w:pPr>
              <w:pStyle w:val="List2"/>
              <w:rPr>
                <w:lang w:val="en-NZ"/>
              </w:rPr>
            </w:pPr>
            <w:r w:rsidRPr="008F4A3F">
              <w:t>2.1.</w:t>
            </w:r>
            <w:r w:rsidRPr="008F4A3F">
              <w:tab/>
              <w:t>Synchro and servo system components are adjusted in accordan</w:t>
            </w:r>
            <w:r w:rsidRPr="008F4A3F">
              <w:t>ce with approved procedures and maintenance manuals until operating within prescribed limits/tolerances</w:t>
            </w:r>
          </w:p>
        </w:tc>
      </w:tr>
      <w:tr w:rsidTr="00447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3F">
            <w:pPr>
              <w:pStyle w:val="List"/>
              <w:rPr>
                <w:lang w:val="en-NZ"/>
              </w:rPr>
            </w:pPr>
            <w:r w:rsidRPr="008F4A3F">
              <w:t>3.</w:t>
            </w:r>
            <w:r w:rsidRPr="008F4A3F">
              <w:tab/>
              <w:t>Troubleshoot synchro and servo system components</w:t>
            </w:r>
          </w:p>
        </w:tc>
        <w:tc>
          <w:tcPr>
            <w:tcW w:w="0" w:type="auto"/>
            <w:tcBorders>
              <w:top w:val="nil"/>
              <w:left w:val="nil"/>
              <w:bottom w:val="nil"/>
              <w:right w:val="nil"/>
            </w:tcBorders>
            <w:tcMar>
              <w:top w:w="0" w:type="dxa"/>
              <w:left w:w="62" w:type="dxa"/>
              <w:bottom w:w="0" w:type="dxa"/>
              <w:right w:w="62" w:type="dxa"/>
            </w:tcMar>
          </w:tcPr>
          <w:p w:rsidR="00000000" w:rsidRPr="008F4A3F" w:rsidP="008F4A3F">
            <w:pPr>
              <w:pStyle w:val="List2"/>
            </w:pPr>
            <w:r w:rsidRPr="008F4A3F">
              <w:t>3.1.</w:t>
            </w:r>
            <w:r w:rsidRPr="008F4A3F">
              <w:tab/>
              <w:t>Available information from maintenan</w:t>
            </w:r>
            <w:r w:rsidRPr="008F4A3F">
              <w:t>ce records and inspection and test results is used, where necessary, to assist in fault determination</w:t>
            </w:r>
          </w:p>
          <w:p w:rsidR="00000000" w:rsidRPr="008F4A3F" w:rsidP="008F4A3F">
            <w:pPr>
              <w:pStyle w:val="List2"/>
            </w:pPr>
            <w:r w:rsidRPr="008F4A3F">
              <w:t>3.2.</w:t>
            </w:r>
            <w:r w:rsidRPr="008F4A3F">
              <w:tab/>
              <w:t>Maintenance manual fault diagnosis guides and logic processes are used to ensure efficient and accurate troubleshooting</w:t>
            </w:r>
          </w:p>
          <w:p w:rsidR="00000000" w:rsidRPr="008F4A3F" w:rsidP="008F4A3F">
            <w:pPr>
              <w:pStyle w:val="List2"/>
            </w:pPr>
            <w:r w:rsidRPr="008F4A3F">
              <w:t>3.3.</w:t>
            </w:r>
            <w:r w:rsidRPr="008F4A3F">
              <w:tab/>
              <w:t>Synchro and servo system</w:t>
            </w:r>
            <w:r w:rsidRPr="008F4A3F">
              <w:t xml:space="preserve"> component faults are located and the causes of the faults are clearly identified and correctly recorded in maintenance documentation, where required</w:t>
            </w:r>
          </w:p>
          <w:p w:rsidR="00000000" w:rsidRPr="008F4A3F" w:rsidP="008F4A3F">
            <w:pPr>
              <w:pStyle w:val="List2"/>
            </w:pPr>
            <w:r w:rsidRPr="008F4A3F">
              <w:t>3.4.</w:t>
            </w:r>
            <w:r w:rsidRPr="008F4A3F">
              <w:tab/>
              <w:t>Fault rectification requirements are determined</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9" w:name="O_400443"/>
      <w:bookmarkEnd w:id="9"/>
      <w:r w:rsidRPr="008F4A3F">
        <w:t>Required Skills and Knowledge</w:t>
      </w:r>
    </w:p>
    <w:tbl>
      <w:tblPr>
        <w:tblW w:w="9450" w:type="dxa"/>
        <w:tblLayout w:type="fixed"/>
        <w:tblCellMar>
          <w:left w:w="62" w:type="dxa"/>
          <w:right w:w="62" w:type="dxa"/>
        </w:tblCellMar>
        <w:tblLook w:val="0000"/>
      </w:tblPr>
      <w:tblGrid>
        <w:gridCol w:w="9450"/>
      </w:tblGrid>
      <w:tr w:rsidTr="004479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rPr>
                <w:rStyle w:val="SpecialBold"/>
              </w:rPr>
              <w:t>Requ</w:t>
            </w:r>
            <w:r w:rsidRPr="008F4A3F">
              <w:rPr>
                <w:rStyle w:val="SpecialBold"/>
              </w:rPr>
              <w:t>ired skills</w:t>
            </w:r>
          </w:p>
        </w:tc>
      </w:tr>
      <w:tr w:rsidTr="004479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F4A3F" w:rsidP="008F4A3F">
            <w:pPr>
              <w:pStyle w:val="BodyText"/>
            </w:pPr>
            <w:r w:rsidRPr="008F4A3F">
              <w:t>Look for evidence that confirms skills in:</w:t>
            </w:r>
          </w:p>
          <w:p w:rsidR="00000000" w:rsidRPr="008F4A3F" w:rsidP="008F4A3F">
            <w:pPr>
              <w:pStyle w:val="ListBullet"/>
            </w:pPr>
            <w:r w:rsidRPr="008F4A3F">
              <w:t>applying relevant OHS practices</w:t>
            </w:r>
          </w:p>
          <w:p w:rsidR="00000000" w:rsidRPr="008F4A3F" w:rsidP="008F4A3F">
            <w:pPr>
              <w:pStyle w:val="ListBullet"/>
            </w:pPr>
            <w:r w:rsidRPr="008F4A3F">
              <w:t>using approved repair procedures and processes relating to synchro and servo system components</w:t>
            </w:r>
          </w:p>
          <w:p w:rsidR="00000000" w:rsidRPr="008F4A3F" w:rsidP="008F4A3F">
            <w:pPr>
              <w:pStyle w:val="ListBullet"/>
            </w:pPr>
            <w:r w:rsidRPr="008F4A3F">
              <w:t>recognising the serviceability state and repair requirements for:</w:t>
            </w:r>
          </w:p>
          <w:p w:rsidR="00000000" w:rsidRPr="008F4A3F" w:rsidP="008F4A3F">
            <w:pPr>
              <w:pStyle w:val="ListBullet2"/>
            </w:pPr>
            <w:r w:rsidRPr="008F4A3F">
              <w:t>synchro/servo system error detection devices</w:t>
            </w:r>
          </w:p>
          <w:p w:rsidR="00000000" w:rsidRPr="008F4A3F" w:rsidP="008F4A3F">
            <w:pPr>
              <w:pStyle w:val="ListBullet2"/>
            </w:pPr>
            <w:r w:rsidRPr="008F4A3F">
              <w:t>DC and AC synchronous components</w:t>
            </w:r>
          </w:p>
          <w:p w:rsidR="00000000" w:rsidRPr="008F4A3F" w:rsidP="008F4A3F">
            <w:pPr>
              <w:pStyle w:val="ListBullet2"/>
            </w:pPr>
            <w:r w:rsidRPr="008F4A3F">
              <w:t>gyroscopic instruments (mechanical, electro-mechanical, vacuum/pressure types)</w:t>
            </w:r>
          </w:p>
          <w:p w:rsidR="00000000" w:rsidRPr="008F4A3F" w:rsidP="008F4A3F">
            <w:pPr>
              <w:pStyle w:val="ListBullet2"/>
            </w:pPr>
            <w:r w:rsidRPr="008F4A3F">
              <w:t>flight control servo devices</w:t>
            </w:r>
          </w:p>
          <w:p w:rsidR="00000000" w:rsidRPr="008F4A3F" w:rsidP="008F4A3F">
            <w:pPr>
              <w:pStyle w:val="ListBullet"/>
            </w:pPr>
            <w:r w:rsidRPr="008F4A3F">
              <w:t>performing component testing to isolate/confirm faults and assessing p</w:t>
            </w:r>
            <w:r w:rsidRPr="008F4A3F">
              <w:t>ost repair/overhaul serviceability</w:t>
            </w:r>
          </w:p>
          <w:p w:rsidR="00000000" w:rsidRPr="008F4A3F" w:rsidP="008F4A3F">
            <w:pPr>
              <w:pStyle w:val="ListBullet"/>
            </w:pPr>
            <w:r w:rsidRPr="008F4A3F">
              <w:t>correctly aligning synchro and servo system components to prescribed specifications</w:t>
            </w:r>
          </w:p>
          <w:p w:rsidR="00000000" w:rsidP="008F4A3F">
            <w:pPr>
              <w:pStyle w:val="ListBullet"/>
              <w:rPr>
                <w:lang w:val="en-NZ"/>
              </w:rPr>
            </w:pPr>
            <w:r w:rsidRPr="008F4A3F">
              <w:t>applying logic processes to isolate synchro and servo system component faults</w:t>
            </w:r>
          </w:p>
        </w:tc>
      </w:tr>
      <w:tr w:rsidTr="004479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F4A3F">
            <w:pPr>
              <w:pStyle w:val="BodyText"/>
              <w:rPr>
                <w:lang w:val="en-NZ"/>
              </w:rPr>
            </w:pPr>
            <w:r w:rsidRPr="008F4A3F">
              <w:rPr>
                <w:rStyle w:val="SpecialBold"/>
              </w:rPr>
              <w:t>Required knowledge</w:t>
            </w:r>
          </w:p>
        </w:tc>
      </w:tr>
      <w:tr w:rsidTr="004479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F4A3F" w:rsidP="008F4A3F">
            <w:pPr>
              <w:pStyle w:val="BodyText"/>
            </w:pPr>
            <w:r w:rsidRPr="008F4A3F">
              <w:t>Look for evidence that confirms knowledge of:</w:t>
            </w:r>
          </w:p>
          <w:p w:rsidR="00000000" w:rsidRPr="008F4A3F" w:rsidP="008F4A3F">
            <w:pPr>
              <w:pStyle w:val="ListBullet"/>
            </w:pPr>
            <w:r w:rsidRPr="008F4A3F">
              <w:t>component and system operation</w:t>
            </w:r>
          </w:p>
          <w:p w:rsidR="00000000" w:rsidRPr="008F4A3F" w:rsidP="008F4A3F">
            <w:pPr>
              <w:pStyle w:val="ListBullet"/>
            </w:pPr>
            <w:r w:rsidRPr="008F4A3F">
              <w:t>explaining the basic function and operation of synchro and servo system components to enable testing for fault isolation/confirmation, to determine repair or overhaul requirements</w:t>
            </w:r>
            <w:r w:rsidRPr="008F4A3F">
              <w:t xml:space="preserve"> and serviceability status post-repair or overhaul</w:t>
            </w:r>
          </w:p>
          <w:p w:rsidR="00000000" w:rsidRPr="008F4A3F" w:rsidP="008F4A3F">
            <w:pPr>
              <w:pStyle w:val="ListBullet"/>
            </w:pPr>
            <w:r w:rsidRPr="008F4A3F">
              <w:t>explaining basic principles/functions, relating to synchro and servo system components and associated with:</w:t>
            </w:r>
          </w:p>
          <w:p w:rsidR="00000000" w:rsidRPr="008F4A3F" w:rsidP="008F4A3F">
            <w:pPr>
              <w:pStyle w:val="ListBullet2"/>
            </w:pPr>
            <w:r w:rsidRPr="008F4A3F">
              <w:t>advanced analogue fundamentals</w:t>
            </w:r>
          </w:p>
          <w:p w:rsidR="00000000" w:rsidRPr="008F4A3F" w:rsidP="008F4A3F">
            <w:pPr>
              <w:pStyle w:val="ListBullet2"/>
            </w:pPr>
            <w:r w:rsidRPr="008F4A3F">
              <w:t>synchronous systems</w:t>
            </w:r>
          </w:p>
          <w:p w:rsidR="00000000" w:rsidRPr="008F4A3F" w:rsidP="008F4A3F">
            <w:pPr>
              <w:pStyle w:val="ListBullet2"/>
            </w:pPr>
            <w:r w:rsidRPr="008F4A3F">
              <w:t>gyroscopes</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10" w:name="O_400449"/>
      <w:bookmarkEnd w:id="10"/>
      <w:r w:rsidRPr="008F4A3F">
        <w:t>Evidence Guide</w:t>
      </w:r>
    </w:p>
    <w:tbl>
      <w:tblPr>
        <w:tblW w:w="9570" w:type="dxa"/>
        <w:tblLayout w:type="fixed"/>
        <w:tblCellMar>
          <w:left w:w="62" w:type="dxa"/>
          <w:right w:w="62" w:type="dxa"/>
        </w:tblCellMar>
        <w:tblLook w:val="0000"/>
      </w:tblPr>
      <w:tblGrid>
        <w:gridCol w:w="3908"/>
        <w:gridCol w:w="5662"/>
      </w:tblGrid>
      <w:tr w:rsidTr="004479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t>The Evidence Guide provides advice on assessment and must be read in conjunction with the performance criteria, required skills and knowledge, range statement and the Assessment Guidelines for the Training Package.</w:t>
            </w:r>
          </w:p>
        </w:tc>
      </w:tr>
      <w:tr w:rsidTr="004479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t>A person who dem</w:t>
            </w:r>
            <w:r w:rsidRPr="008F4A3F">
              <w:t>onstrates competency in this unit must be able to test, align and troubleshoot synchro and servo system components circuitry in accordance with maintenance manuals and regulatory/industry procedures while observing all relevant safety precautions.</w:t>
            </w:r>
          </w:p>
        </w:tc>
      </w:tr>
      <w:tr w:rsidTr="004479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Critica</w:t>
            </w:r>
            <w:r w:rsidRPr="008F4A3F">
              <w:rPr>
                <w:rStyle w:val="SpecialBold"/>
              </w:rPr>
              <w:t>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r w:rsidRPr="008F4A3F">
              <w:t xml:space="preserve">The underlying skills inherent in this unit should be transferable across a range of testing, aligning and troubleshooting applications (including the timely involvement </w:t>
            </w:r>
            <w:r w:rsidRPr="008F4A3F">
              <w:t>of supervisors or other trades) associated with synchro and servo system components. Ability to interpret inspection and testing procedures and specifications (allowable limits) and apply them in practice is critical. It is essential that testing procedure</w:t>
            </w:r>
            <w:r w:rsidRPr="008F4A3F">
              <w:t>s, cleanliness requirements and safety precautions applicable to the system being maintained are fully observed, understood and complied with.</w:t>
            </w:r>
          </w:p>
          <w:p w:rsidR="00000000" w:rsidRPr="008F4A3F" w:rsidP="008F4A3F">
            <w:pPr>
              <w:pStyle w:val="BodyText"/>
            </w:pPr>
            <w:r w:rsidRPr="008F4A3F">
              <w:t>Evidence of transferability of skills and knowledge related to testing, aligning and troubleshooting is essential</w:t>
            </w:r>
            <w:r w:rsidRPr="008F4A3F">
              <w:t>. This may be demonstrated through application across a range of the synchro and servo system components listed in the Range Statement. The application of testing procedures should also clearly indicate knowledge of system operation. System operation knowl</w:t>
            </w:r>
            <w:r w:rsidRPr="008F4A3F">
              <w:t>edge, the relationship of individual components and the links with other systems (if applicable) will be necessary to supplement evidence of ability to troubleshoot the component within the limits of the fault finding guide before undertaking any action. T</w:t>
            </w:r>
            <w:r w:rsidRPr="008F4A3F">
              <w:t>he work plan should take account of applicable safety and quality requirements in accordance with the industry and regulatory standards.</w:t>
            </w:r>
          </w:p>
          <w:p w:rsidR="00000000" w:rsidP="008F4A3F">
            <w:pPr>
              <w:pStyle w:val="BodyText"/>
              <w:rPr>
                <w:lang w:val="en-NZ"/>
              </w:rPr>
            </w:pPr>
            <w:r w:rsidRPr="008F4A3F">
              <w:t>A person cannot be assessed as competent until it can be demonstrated to the satisfaction of the workplace assessor tha</w:t>
            </w:r>
            <w:r w:rsidRPr="008F4A3F">
              <w:t>t the relevant elements of the unit of competency are being achieved under routine supervision on a representative range of components from each of Group 1 and 2 as listed in the Range Statement. This shall be established via the records in the Log of Indu</w:t>
            </w:r>
            <w:r w:rsidRPr="008F4A3F">
              <w:t>strial Experience and Achievement or, where appropriate, an equivalent Industry Evidence Guide.</w:t>
            </w:r>
          </w:p>
        </w:tc>
      </w:tr>
      <w:tr w:rsidTr="004479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t>Competency should be assessed in the work environment, using tools and equipment specified in maintenance docu</w:t>
            </w:r>
            <w:r w:rsidRPr="008F4A3F">
              <w:t>mentation. It is also expected that general and special purpose tools and test equipment would be used where appropriate.</w:t>
            </w:r>
          </w:p>
        </w:tc>
      </w:tr>
      <w:tr w:rsidTr="004479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p>
        </w:tc>
      </w:tr>
      <w:tr w:rsidTr="004479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11" w:name="O_400444"/>
      <w:bookmarkEnd w:id="11"/>
      <w:r w:rsidRPr="008F4A3F">
        <w:t>Range Statement</w:t>
      </w:r>
    </w:p>
    <w:tbl>
      <w:tblPr>
        <w:tblW w:w="9360" w:type="dxa"/>
        <w:tblLayout w:type="fixed"/>
        <w:tblCellMar>
          <w:left w:w="62" w:type="dxa"/>
          <w:right w:w="62" w:type="dxa"/>
        </w:tblCellMar>
        <w:tblLook w:val="0000"/>
      </w:tblPr>
      <w:tblGrid>
        <w:gridCol w:w="3553"/>
        <w:gridCol w:w="5807"/>
      </w:tblGrid>
      <w:tr w:rsidTr="00447962">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t>The range statement relates to the unit of competency as a whole. It allows for different work environments and situations that may affect performance. Bold italicised wording, if used in the performance criteria, is detailed below. Essential operating con</w:t>
            </w:r>
            <w:r w:rsidRPr="008F4A3F">
              <w:t>ditions that may be present with training and assessment (depending on the work situation, needs of the candidate, accessibility of the item, and local industry and regional contexts) may also be included.</w:t>
            </w:r>
          </w:p>
        </w:tc>
      </w:tr>
      <w:tr w:rsidTr="00447962">
        <w:tblPrEx>
          <w:tblW w:w="9360" w:type="dxa"/>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Note</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t xml:space="preserve">Range statements listed below are numbered </w:t>
            </w:r>
            <w:r w:rsidRPr="008F4A3F">
              <w:t>to facilitate specification of the assessment requirements included in the Evidence Guide</w:t>
            </w:r>
          </w:p>
        </w:tc>
      </w:tr>
      <w:tr w:rsidTr="00447962">
        <w:tblPrEx>
          <w:tblW w:w="9360" w:type="dxa"/>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Component testing</w:t>
            </w:r>
            <w:r w:rsidRPr="008F4A3F">
              <w:t xml:space="preserve">, </w:t>
            </w:r>
            <w:r w:rsidRPr="008F4A3F">
              <w:rPr>
                <w:rStyle w:val="SpecialBold"/>
              </w:rPr>
              <w:t>alignment and troubleshooting</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r w:rsidRPr="008F4A3F">
              <w:t>Component testing, alignment and troubleshooting is assessed in the following Groups:</w:t>
            </w:r>
          </w:p>
          <w:p w:rsidR="00000000" w:rsidRPr="008F4A3F" w:rsidP="008F4A3F">
            <w:pPr>
              <w:pStyle w:val="BodyText"/>
            </w:pPr>
            <w:r w:rsidRPr="008F4A3F">
              <w:t>1.  Synchro system components</w:t>
            </w:r>
          </w:p>
          <w:p w:rsidR="00000000" w:rsidP="008F4A3F">
            <w:pPr>
              <w:pStyle w:val="BodyText"/>
              <w:rPr>
                <w:lang w:val="en-NZ"/>
              </w:rPr>
            </w:pPr>
            <w:r w:rsidRPr="008F4A3F">
              <w:t>2.  Servo system components</w:t>
            </w:r>
          </w:p>
        </w:tc>
      </w:tr>
      <w:tr w:rsidTr="00447962">
        <w:tblPrEx>
          <w:tblW w:w="9360" w:type="dxa"/>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Synchro and servo system components</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r w:rsidRPr="008F4A3F">
              <w:t>Synchro and servo system components may come from:</w:t>
            </w:r>
          </w:p>
          <w:p w:rsidR="00000000" w:rsidP="008F4A3F">
            <w:pPr>
              <w:pStyle w:val="ListBullet"/>
              <w:rPr>
                <w:lang w:val="en-NZ"/>
              </w:rPr>
            </w:pPr>
            <w:r w:rsidRPr="008F4A3F">
              <w:t>air data computers, auto pilot servos, remote position indicators and other similar applications</w:t>
            </w:r>
          </w:p>
        </w:tc>
      </w:tr>
      <w:tr w:rsidTr="00447962">
        <w:tblPrEx>
          <w:tblW w:w="9360" w:type="dxa"/>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Application</w:t>
            </w:r>
            <w:r w:rsidRPr="008F4A3F">
              <w:t xml:space="preserve"> </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r w:rsidRPr="008F4A3F">
              <w:t xml:space="preserve">Application of this unit may </w:t>
            </w:r>
            <w:r w:rsidRPr="008F4A3F">
              <w:t>relate to:</w:t>
            </w:r>
          </w:p>
          <w:p w:rsidR="00000000" w:rsidRPr="008F4A3F" w:rsidP="008F4A3F">
            <w:pPr>
              <w:pStyle w:val="ListBullet"/>
            </w:pPr>
            <w:r w:rsidRPr="008F4A3F">
              <w:t>scheduled or unscheduled maintenance activities</w:t>
            </w:r>
          </w:p>
          <w:p w:rsidR="00000000" w:rsidRPr="008F4A3F" w:rsidP="008F4A3F">
            <w:pPr>
              <w:pStyle w:val="ListBullet"/>
            </w:pPr>
            <w:r w:rsidRPr="008F4A3F">
              <w:t>individual or team-related activities</w:t>
            </w:r>
          </w:p>
          <w:p w:rsidR="00000000" w:rsidP="008F4A3F">
            <w:pPr>
              <w:pStyle w:val="ListBullet"/>
              <w:rPr>
                <w:lang w:val="en-NZ"/>
              </w:rPr>
            </w:pPr>
            <w:r w:rsidRPr="008F4A3F">
              <w:t>complex testing and adjusting of components, and when undertaken, this will be carried out under supervision</w:t>
            </w:r>
          </w:p>
        </w:tc>
      </w:tr>
      <w:tr w:rsidTr="00447962">
        <w:tblPrEx>
          <w:tblW w:w="9360" w:type="dxa"/>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A3F">
            <w:pPr>
              <w:pStyle w:val="BodyText"/>
              <w:rPr>
                <w:lang w:val="en-NZ"/>
              </w:rPr>
            </w:pPr>
            <w:r w:rsidRPr="008F4A3F">
              <w:rPr>
                <w:rStyle w:val="SpecialBold"/>
              </w:rPr>
              <w:t>Procedures and requirements</w:t>
            </w:r>
            <w:r w:rsidRPr="008F4A3F">
              <w:t xml:space="preserve"> </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A3F" w:rsidP="008F4A3F">
            <w:pPr>
              <w:pStyle w:val="BodyText"/>
            </w:pPr>
            <w:r w:rsidRPr="008F4A3F">
              <w:t>Refer to industry st</w:t>
            </w:r>
            <w:r w:rsidRPr="008F4A3F">
              <w:t>andard procedures specified by manufacturers, regulatory authorities or the enterprise</w:t>
            </w:r>
          </w:p>
        </w:tc>
      </w:tr>
    </w:tbl>
    <w:p w:rsidR="00000000" w:rsidRPr="008F4A3F" w:rsidP="008F4A3F">
      <w:pPr>
        <w:pStyle w:val="BodyText"/>
      </w:pPr>
    </w:p>
    <w:p w:rsidR="00000000" w:rsidRPr="008F4A3F" w:rsidP="008F4A3F">
      <w:pPr>
        <w:pStyle w:val="AllowPageBreak"/>
      </w:pPr>
    </w:p>
    <w:p w:rsidR="00000000" w:rsidRPr="008F4A3F" w:rsidP="008F4A3F">
      <w:pPr>
        <w:pStyle w:val="Heading1"/>
      </w:pPr>
      <w:bookmarkStart w:id="12" w:name="O_400441"/>
      <w:bookmarkEnd w:id="12"/>
      <w:r w:rsidRPr="008F4A3F">
        <w:t>Unit Sector(s)</w:t>
      </w:r>
    </w:p>
    <w:p w:rsidR="00000000" w:rsidRPr="008F4A3F" w:rsidP="008F4A3F">
      <w:pPr>
        <w:pStyle w:val="BodyText"/>
      </w:pPr>
      <w:r w:rsidRPr="008F4A3F">
        <w:t>Aviation maintenance</w:t>
      </w:r>
    </w:p>
    <w:p w:rsidR="00000000" w:rsidRPr="008F4A3F" w:rsidP="008F4A3F">
      <w:pPr>
        <w:pStyle w:val="AllowPageBreak"/>
      </w:pPr>
    </w:p>
    <w:p w:rsidR="00000000" w:rsidRPr="008F4A3F" w:rsidP="008F4A3F">
      <w:pPr>
        <w:pStyle w:val="Heading1"/>
      </w:pPr>
      <w:bookmarkStart w:id="13" w:name="O_400454"/>
      <w:bookmarkEnd w:id="13"/>
      <w:r w:rsidRPr="008F4A3F">
        <w:t>Competency field</w:t>
      </w:r>
    </w:p>
    <w:p w:rsidR="00000000" w:rsidRPr="008F4A3F" w:rsidP="008F4A3F">
      <w:pPr>
        <w:pStyle w:val="Heading1"/>
      </w:pPr>
      <w:bookmarkStart w:id="14" w:name="O_400453"/>
      <w:bookmarkEnd w:id="14"/>
      <w:r w:rsidRPr="008F4A3F">
        <w:t>Co-requisite units</w:t>
      </w:r>
    </w:p>
    <w:p w:rsidR="00000000" w:rsidRPr="008F4A3F" w:rsidP="008F4A3F">
      <w:pPr>
        <w:pStyle w:val="BodyText"/>
      </w:pPr>
      <w:r w:rsidRPr="008F4A3F">
        <w:t>Not applicable</w:t>
      </w:r>
    </w:p>
    <w:p w:rsidR="00000000" w:rsidRPr="008F4A3F" w:rsidP="008F4A3F"/>
    <w:sectPr w:rsidSect="008F4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962" w:rsidP="004479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62" w:rsidP="008F4A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7962" w:rsidP="008F4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7962" w:rsidP="008F4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3F" w:rsidRPr="00447962" w:rsidP="004479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62" w:rsidRPr="002D2AF8" w:rsidP="008F4A3F">
    <w:pPr>
      <w:pStyle w:val="Header"/>
      <w:framePr w:wrap="around"/>
    </w:pPr>
    <w:r>
      <w:fldChar w:fldCharType="begin"/>
    </w:r>
    <w:r>
      <w:instrText xml:space="preserve"> TITLE   \* MERGEFORMAT </w:instrText>
    </w:r>
    <w:r>
      <w:fldChar w:fldCharType="separate"/>
    </w:r>
    <w:r>
      <w:t>MEA252B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47962" w:rsidP="008F4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0D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29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AC0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A3F"/>
    <w:pPr>
      <w:spacing w:before="360" w:after="60"/>
      <w:outlineLvl w:val="0"/>
    </w:pPr>
    <w:rPr>
      <w:sz w:val="32"/>
    </w:rPr>
  </w:style>
  <w:style w:type="paragraph" w:styleId="Heading2">
    <w:name w:val="heading 2"/>
    <w:basedOn w:val="HeadingBase"/>
    <w:next w:val="BodyText"/>
    <w:link w:val="Heading2Char"/>
    <w:qFormat/>
    <w:rsid w:val="008F4A3F"/>
    <w:pPr>
      <w:keepLines/>
      <w:spacing w:before="240" w:after="120"/>
      <w:outlineLvl w:val="1"/>
    </w:pPr>
    <w:rPr>
      <w:sz w:val="28"/>
      <w:szCs w:val="40"/>
    </w:rPr>
  </w:style>
  <w:style w:type="paragraph" w:styleId="Heading3">
    <w:name w:val="heading 3"/>
    <w:basedOn w:val="HeadingBase"/>
    <w:next w:val="BodyText"/>
    <w:link w:val="Heading3Char"/>
    <w:qFormat/>
    <w:rsid w:val="008F4A3F"/>
    <w:pPr>
      <w:spacing w:before="180" w:after="120"/>
      <w:outlineLvl w:val="2"/>
    </w:pPr>
    <w:rPr>
      <w:spacing w:val="-10"/>
      <w:kern w:val="32"/>
    </w:rPr>
  </w:style>
  <w:style w:type="paragraph" w:styleId="Heading4">
    <w:name w:val="heading 4"/>
    <w:basedOn w:val="HeadingBase"/>
    <w:next w:val="BodyText"/>
    <w:link w:val="Heading4Char"/>
    <w:qFormat/>
    <w:rsid w:val="008F4A3F"/>
    <w:pPr>
      <w:spacing w:before="160" w:after="120"/>
      <w:outlineLvl w:val="3"/>
    </w:pPr>
    <w:rPr>
      <w:sz w:val="22"/>
    </w:rPr>
  </w:style>
  <w:style w:type="paragraph" w:styleId="Heading5">
    <w:name w:val="heading 5"/>
    <w:basedOn w:val="HeadingBase"/>
    <w:next w:val="Normal"/>
    <w:link w:val="Heading5Char"/>
    <w:qFormat/>
    <w:rsid w:val="008F4A3F"/>
    <w:pPr>
      <w:spacing w:before="80"/>
      <w:outlineLvl w:val="4"/>
    </w:pPr>
    <w:rPr>
      <w:color w:val="918585"/>
      <w:sz w:val="20"/>
    </w:rPr>
  </w:style>
  <w:style w:type="paragraph" w:styleId="Heading6">
    <w:name w:val="heading 6"/>
    <w:basedOn w:val="HeadingBase"/>
    <w:next w:val="Normal"/>
    <w:link w:val="Heading6Char"/>
    <w:qFormat/>
    <w:rsid w:val="008F4A3F"/>
    <w:pPr>
      <w:spacing w:before="60"/>
      <w:outlineLvl w:val="5"/>
    </w:pPr>
    <w:rPr>
      <w:color w:val="918585"/>
      <w:sz w:val="20"/>
    </w:rPr>
  </w:style>
  <w:style w:type="paragraph" w:styleId="Heading7">
    <w:name w:val="heading 7"/>
    <w:basedOn w:val="Normal"/>
    <w:next w:val="Normal"/>
    <w:link w:val="Heading7Char"/>
    <w:qFormat/>
    <w:rsid w:val="008F4A3F"/>
    <w:pPr>
      <w:ind w:left="720"/>
      <w:outlineLvl w:val="6"/>
    </w:pPr>
    <w:rPr>
      <w:i/>
    </w:rPr>
  </w:style>
  <w:style w:type="paragraph" w:styleId="Heading8">
    <w:name w:val="heading 8"/>
    <w:basedOn w:val="Normal"/>
    <w:next w:val="Normal"/>
    <w:link w:val="Heading8Char"/>
    <w:qFormat/>
    <w:rsid w:val="008F4A3F"/>
    <w:pPr>
      <w:ind w:left="720"/>
      <w:outlineLvl w:val="7"/>
    </w:pPr>
    <w:rPr>
      <w:i/>
    </w:rPr>
  </w:style>
  <w:style w:type="paragraph" w:styleId="Heading9">
    <w:name w:val="heading 9"/>
    <w:basedOn w:val="Normal"/>
    <w:next w:val="Normal"/>
    <w:link w:val="Heading9Char"/>
    <w:qFormat/>
    <w:rsid w:val="008F4A3F"/>
    <w:pPr>
      <w:ind w:left="720"/>
      <w:outlineLvl w:val="8"/>
    </w:pPr>
    <w:rPr>
      <w:i/>
    </w:rPr>
  </w:style>
  <w:style w:type="character" w:default="1" w:styleId="DefaultParagraphFont">
    <w:name w:val="Default Paragraph Font"/>
    <w:uiPriority w:val="1"/>
    <w:unhideWhenUsed/>
    <w:rsid w:val="008F4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A3F"/>
  </w:style>
  <w:style w:type="character" w:customStyle="1" w:styleId="Heading1Char">
    <w:name w:val="Heading 1 Char"/>
    <w:basedOn w:val="DefaultParagraphFont"/>
    <w:link w:val="Heading1"/>
    <w:rsid w:val="008F4A3F"/>
    <w:rPr>
      <w:rFonts w:ascii="Times New Roman" w:eastAsia="Times New Roman" w:hAnsi="Times New Roman" w:cs="Times New Roman"/>
      <w:b/>
      <w:sz w:val="32"/>
      <w:szCs w:val="20"/>
      <w:lang w:eastAsia="en-US"/>
    </w:rPr>
  </w:style>
  <w:style w:type="paragraph" w:styleId="BodyText">
    <w:name w:val="Body Text"/>
    <w:basedOn w:val="Normal"/>
    <w:link w:val="BodyTextChar"/>
    <w:rsid w:val="008F4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A3F"/>
    <w:rPr>
      <w:rFonts w:ascii="Times New Roman" w:eastAsia="Times New Roman" w:hAnsi="Times New Roman" w:cs="Times New Roman"/>
      <w:sz w:val="24"/>
      <w:lang w:eastAsia="en-US"/>
    </w:rPr>
  </w:style>
  <w:style w:type="paragraph" w:styleId="Footer">
    <w:name w:val="footer"/>
    <w:basedOn w:val="Normal"/>
    <w:link w:val="FooterChar"/>
    <w:rsid w:val="008F4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A3F"/>
    <w:rPr>
      <w:rFonts w:ascii="Times New Roman" w:eastAsia="Times New Roman" w:hAnsi="Times New Roman" w:cs="Times New Roman"/>
      <w:sz w:val="16"/>
      <w:lang w:eastAsia="en-US"/>
    </w:rPr>
  </w:style>
  <w:style w:type="paragraph" w:styleId="List">
    <w:name w:val="List"/>
    <w:basedOn w:val="BodyText"/>
    <w:next w:val="BodyText"/>
    <w:rsid w:val="008F4A3F"/>
    <w:pPr>
      <w:tabs>
        <w:tab w:val="left" w:pos="340"/>
      </w:tabs>
      <w:spacing w:before="60" w:after="60"/>
      <w:ind w:left="340" w:hanging="340"/>
    </w:pPr>
  </w:style>
  <w:style w:type="paragraph" w:styleId="ListBullet">
    <w:name w:val="List Bullet"/>
    <w:basedOn w:val="List"/>
    <w:rsid w:val="008F4A3F"/>
    <w:pPr>
      <w:numPr>
        <w:numId w:val="13"/>
      </w:numPr>
      <w:tabs>
        <w:tab w:val="clear" w:pos="340"/>
      </w:tabs>
      <w:spacing w:before="40" w:after="40"/>
    </w:pPr>
  </w:style>
  <w:style w:type="character" w:customStyle="1" w:styleId="SpecialBold">
    <w:name w:val="Special Bold"/>
    <w:basedOn w:val="DefaultParagraphFont"/>
    <w:rsid w:val="008F4A3F"/>
    <w:rPr>
      <w:b/>
      <w:spacing w:val="0"/>
    </w:rPr>
  </w:style>
  <w:style w:type="paragraph" w:styleId="ListBullet2">
    <w:name w:val="List Bullet 2"/>
    <w:basedOn w:val="List2"/>
    <w:rsid w:val="008F4A3F"/>
    <w:pPr>
      <w:numPr>
        <w:numId w:val="14"/>
      </w:numPr>
      <w:tabs>
        <w:tab w:val="clear" w:pos="680"/>
      </w:tabs>
    </w:pPr>
  </w:style>
  <w:style w:type="paragraph" w:customStyle="1" w:styleId="SuperHeading">
    <w:name w:val="SuperHeading"/>
    <w:basedOn w:val="Normal"/>
    <w:rsid w:val="008F4A3F"/>
    <w:pPr>
      <w:spacing w:before="240" w:after="120"/>
      <w:outlineLvl w:val="0"/>
    </w:pPr>
    <w:rPr>
      <w:rFonts w:ascii="Times New Roman" w:hAnsi="Times New Roman"/>
      <w:b/>
      <w:sz w:val="28"/>
    </w:rPr>
  </w:style>
  <w:style w:type="paragraph" w:customStyle="1" w:styleId="AllowPageBreak">
    <w:name w:val="AllowPageBreak"/>
    <w:rsid w:val="008F4A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A3F"/>
    <w:pPr>
      <w:tabs>
        <w:tab w:val="left" w:pos="680"/>
      </w:tabs>
      <w:spacing w:before="60" w:after="60"/>
      <w:ind w:left="680" w:hanging="340"/>
    </w:pPr>
  </w:style>
  <w:style w:type="character" w:customStyle="1" w:styleId="BoldandItalics">
    <w:name w:val="Bold and Italics"/>
    <w:qFormat/>
    <w:rsid w:val="008F4A3F"/>
    <w:rPr>
      <w:b/>
      <w:i/>
      <w:u w:val="none"/>
    </w:rPr>
  </w:style>
  <w:style w:type="character" w:customStyle="1" w:styleId="Heading2Char">
    <w:name w:val="Heading 2 Char"/>
    <w:basedOn w:val="DefaultParagraphFont"/>
    <w:link w:val="Heading2"/>
    <w:rsid w:val="008F4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A3F"/>
    <w:rPr>
      <w:rFonts w:ascii="Courier New" w:eastAsia="Times New Roman" w:hAnsi="Courier New" w:cs="Times New Roman"/>
      <w:i/>
      <w:szCs w:val="20"/>
      <w:lang w:eastAsia="en-US"/>
    </w:rPr>
  </w:style>
  <w:style w:type="paragraph" w:customStyle="1" w:styleId="HeadingBase">
    <w:name w:val="Heading Base"/>
    <w:rsid w:val="008F4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A3F"/>
    <w:pPr>
      <w:tabs>
        <w:tab w:val="right" w:leader="dot" w:pos="9072"/>
      </w:tabs>
      <w:ind w:left="567"/>
    </w:pPr>
    <w:rPr>
      <w:szCs w:val="22"/>
    </w:rPr>
  </w:style>
  <w:style w:type="paragraph" w:customStyle="1" w:styleId="TOCBase">
    <w:name w:val="TOC Base"/>
    <w:rsid w:val="008F4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A3F"/>
    <w:pPr>
      <w:tabs>
        <w:tab w:val="right" w:leader="dot" w:pos="9072"/>
      </w:tabs>
      <w:spacing w:before="40" w:after="40"/>
      <w:ind w:left="284"/>
    </w:pPr>
    <w:rPr>
      <w:rFonts w:ascii="Times New Roman" w:hAnsi="Times New Roman"/>
    </w:rPr>
  </w:style>
  <w:style w:type="paragraph" w:styleId="TOC1">
    <w:name w:val="toc 1"/>
    <w:basedOn w:val="TOCBase"/>
    <w:next w:val="Normal"/>
    <w:rsid w:val="008F4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A3F"/>
    <w:pPr>
      <w:spacing w:before="5040"/>
      <w:jc w:val="center"/>
    </w:pPr>
    <w:rPr>
      <w:sz w:val="48"/>
      <w:szCs w:val="72"/>
      <w:lang w:val="en-US"/>
    </w:rPr>
  </w:style>
  <w:style w:type="character" w:customStyle="1" w:styleId="TitleChar">
    <w:name w:val="Title Char"/>
    <w:basedOn w:val="DefaultParagraphFont"/>
    <w:link w:val="Title"/>
    <w:rsid w:val="008F4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A3F"/>
    <w:pPr>
      <w:tabs>
        <w:tab w:val="left" w:pos="3600"/>
        <w:tab w:val="left" w:pos="3958"/>
      </w:tabs>
    </w:pPr>
  </w:style>
  <w:style w:type="paragraph" w:customStyle="1" w:styleId="Note">
    <w:name w:val="Note"/>
    <w:basedOn w:val="BodyText"/>
    <w:rsid w:val="008F4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A3F"/>
    <w:pPr>
      <w:framePr w:wrap="auto" w:hAnchor="text" w:y="6049"/>
    </w:pPr>
    <w:rPr>
      <w:color w:val="000000"/>
      <w:sz w:val="40"/>
    </w:rPr>
  </w:style>
  <w:style w:type="paragraph" w:customStyle="1" w:styleId="TOCTitle">
    <w:name w:val="TOCTitle"/>
    <w:basedOn w:val="Heading1"/>
    <w:rsid w:val="008F4A3F"/>
    <w:pPr>
      <w:spacing w:after="240"/>
      <w:jc w:val="center"/>
      <w:outlineLvl w:val="9"/>
    </w:pPr>
    <w:rPr>
      <w:caps/>
    </w:rPr>
  </w:style>
  <w:style w:type="paragraph" w:customStyle="1" w:styleId="Version">
    <w:name w:val="Version"/>
    <w:rsid w:val="008F4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A3F"/>
    <w:pPr>
      <w:keepNext w:val="0"/>
      <w:tabs>
        <w:tab w:val="right" w:pos="4176"/>
      </w:tabs>
      <w:ind w:left="198" w:hanging="198"/>
    </w:pPr>
    <w:rPr>
      <w:rFonts w:ascii="Garamond" w:hAnsi="Garamond"/>
    </w:rPr>
  </w:style>
  <w:style w:type="paragraph" w:styleId="IndexHeading">
    <w:name w:val="index heading"/>
    <w:basedOn w:val="Normal"/>
    <w:next w:val="Index1"/>
    <w:semiHidden/>
    <w:rsid w:val="008F4A3F"/>
    <w:pPr>
      <w:spacing w:before="120" w:after="120"/>
    </w:pPr>
    <w:rPr>
      <w:rFonts w:ascii="Arial" w:hAnsi="Arial"/>
      <w:b/>
      <w:color w:val="918585"/>
      <w:sz w:val="24"/>
    </w:rPr>
  </w:style>
  <w:style w:type="paragraph" w:styleId="Header">
    <w:name w:val="header"/>
    <w:basedOn w:val="Normal"/>
    <w:link w:val="HeaderChar"/>
    <w:rsid w:val="008F4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A3F"/>
    <w:rPr>
      <w:rFonts w:ascii="Times New Roman" w:eastAsia="Times New Roman" w:hAnsi="Times New Roman" w:cs="Times New Roman"/>
      <w:sz w:val="16"/>
      <w:szCs w:val="20"/>
      <w:lang w:val="en-GB" w:eastAsia="en-US"/>
    </w:rPr>
  </w:style>
  <w:style w:type="paragraph" w:customStyle="1" w:styleId="Chapter">
    <w:name w:val="Chapter"/>
    <w:basedOn w:val="Normal"/>
    <w:rsid w:val="008F4A3F"/>
    <w:pPr>
      <w:spacing w:before="240"/>
    </w:pPr>
    <w:rPr>
      <w:rFonts w:ascii="Times New Roman" w:hAnsi="Times New Roman"/>
      <w:smallCaps/>
      <w:spacing w:val="80"/>
      <w:sz w:val="28"/>
    </w:rPr>
  </w:style>
  <w:style w:type="paragraph" w:customStyle="1" w:styleId="InChapter">
    <w:name w:val="InChapter"/>
    <w:basedOn w:val="Heading3"/>
    <w:rsid w:val="008F4A3F"/>
    <w:pPr>
      <w:spacing w:after="240"/>
      <w:outlineLvl w:val="9"/>
    </w:pPr>
    <w:rPr>
      <w:noProof/>
    </w:rPr>
  </w:style>
  <w:style w:type="paragraph" w:styleId="Index2">
    <w:name w:val="index 2"/>
    <w:basedOn w:val="Normal"/>
    <w:next w:val="Normal"/>
    <w:semiHidden/>
    <w:rsid w:val="008F4A3F"/>
    <w:pPr>
      <w:tabs>
        <w:tab w:val="right" w:pos="4176"/>
      </w:tabs>
      <w:ind w:left="568" w:hanging="284"/>
    </w:pPr>
    <w:rPr>
      <w:rFonts w:ascii="Garamond" w:hAnsi="Garamond"/>
    </w:rPr>
  </w:style>
  <w:style w:type="paragraph" w:customStyle="1" w:styleId="Byline">
    <w:name w:val="Byline"/>
    <w:rsid w:val="008F4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A3F"/>
    <w:pPr>
      <w:tabs>
        <w:tab w:val="clear" w:pos="3600"/>
        <w:tab w:val="clear" w:pos="3958"/>
      </w:tabs>
      <w:jc w:val="right"/>
    </w:pPr>
  </w:style>
  <w:style w:type="character" w:styleId="Emphasis">
    <w:name w:val="Emphasis"/>
    <w:basedOn w:val="DefaultParagraphFont"/>
    <w:qFormat/>
    <w:rsid w:val="008F4A3F"/>
    <w:rPr>
      <w:i/>
    </w:rPr>
  </w:style>
  <w:style w:type="paragraph" w:styleId="Caption">
    <w:name w:val="caption"/>
    <w:basedOn w:val="BodyText"/>
    <w:next w:val="Normal"/>
    <w:qFormat/>
    <w:rsid w:val="008F4A3F"/>
    <w:pPr>
      <w:framePr w:w="2268" w:hSpace="181" w:vSpace="181" w:wrap="around" w:vAnchor="text" w:hAnchor="page" w:x="1135" w:y="285" w:anchorLock="1"/>
    </w:pPr>
    <w:rPr>
      <w:i/>
    </w:rPr>
  </w:style>
  <w:style w:type="paragraph" w:customStyle="1" w:styleId="MiniTOCTitle">
    <w:name w:val="MiniTOCTitle"/>
    <w:basedOn w:val="Heading4"/>
    <w:rsid w:val="008F4A3F"/>
    <w:pPr>
      <w:spacing w:before="240"/>
      <w:outlineLvl w:val="9"/>
    </w:pPr>
    <w:rPr>
      <w:noProof/>
      <w:sz w:val="24"/>
    </w:rPr>
  </w:style>
  <w:style w:type="paragraph" w:customStyle="1" w:styleId="MiniTOCItem">
    <w:name w:val="MiniTOCItem"/>
    <w:basedOn w:val="ListBullet"/>
    <w:rsid w:val="008F4A3F"/>
    <w:pPr>
      <w:numPr>
        <w:numId w:val="0"/>
      </w:numPr>
      <w:tabs>
        <w:tab w:val="right" w:leader="dot" w:pos="6521"/>
      </w:tabs>
      <w:spacing w:before="0" w:after="0"/>
    </w:pPr>
  </w:style>
  <w:style w:type="paragraph" w:customStyle="1" w:styleId="TOFTitle">
    <w:name w:val="TOFTitle"/>
    <w:basedOn w:val="TOCTitle"/>
    <w:rsid w:val="008F4A3F"/>
  </w:style>
  <w:style w:type="paragraph" w:styleId="TableofFigures">
    <w:name w:val="table of figures"/>
    <w:basedOn w:val="Normal"/>
    <w:next w:val="Normal"/>
    <w:semiHidden/>
    <w:rsid w:val="008F4A3F"/>
    <w:pPr>
      <w:tabs>
        <w:tab w:val="right" w:leader="dot" w:pos="9072"/>
      </w:tabs>
      <w:ind w:left="970" w:hanging="403"/>
    </w:pPr>
    <w:rPr>
      <w:rFonts w:ascii="Times New Roman" w:hAnsi="Times New Roman"/>
      <w:b/>
    </w:rPr>
  </w:style>
  <w:style w:type="paragraph" w:styleId="ListNumber">
    <w:name w:val="List Number"/>
    <w:basedOn w:val="List"/>
    <w:rsid w:val="008F4A3F"/>
    <w:pPr>
      <w:numPr>
        <w:numId w:val="11"/>
      </w:numPr>
    </w:pPr>
  </w:style>
  <w:style w:type="character" w:customStyle="1" w:styleId="WingdingSymbols">
    <w:name w:val="Wingding Symbols"/>
    <w:rsid w:val="008F4A3F"/>
    <w:rPr>
      <w:rFonts w:ascii="Wingdings" w:hAnsi="Wingdings"/>
    </w:rPr>
  </w:style>
  <w:style w:type="paragraph" w:customStyle="1" w:styleId="TableHeading">
    <w:name w:val="Table Heading"/>
    <w:basedOn w:val="HeadingBase"/>
    <w:rsid w:val="008F4A3F"/>
    <w:pPr>
      <w:keepLines/>
      <w:pBdr>
        <w:bottom w:val="single" w:sz="6" w:space="1" w:color="918585"/>
      </w:pBdr>
      <w:spacing w:before="240"/>
    </w:pPr>
  </w:style>
  <w:style w:type="character" w:customStyle="1" w:styleId="HotSpot">
    <w:name w:val="HotSpot"/>
    <w:rsid w:val="008F4A3F"/>
    <w:rPr>
      <w:color w:val="0033CC"/>
      <w:u w:val="none"/>
    </w:rPr>
  </w:style>
  <w:style w:type="paragraph" w:customStyle="1" w:styleId="BodyTextRight">
    <w:name w:val="Body Text Right"/>
    <w:basedOn w:val="BodyText"/>
    <w:rsid w:val="008F4A3F"/>
    <w:pPr>
      <w:spacing w:before="0" w:after="0"/>
      <w:jc w:val="right"/>
    </w:pPr>
  </w:style>
  <w:style w:type="paragraph" w:styleId="Index3">
    <w:name w:val="index 3"/>
    <w:basedOn w:val="ListNumber2"/>
    <w:next w:val="Normal"/>
    <w:semiHidden/>
    <w:rsid w:val="008F4A3F"/>
    <w:pPr>
      <w:numPr>
        <w:numId w:val="0"/>
      </w:numPr>
      <w:tabs>
        <w:tab w:val="right" w:leader="dot" w:pos="4176"/>
      </w:tabs>
    </w:pPr>
  </w:style>
  <w:style w:type="paragraph" w:styleId="ListNumber2">
    <w:name w:val="List Number 2"/>
    <w:basedOn w:val="List2"/>
    <w:rsid w:val="008F4A3F"/>
    <w:pPr>
      <w:numPr>
        <w:numId w:val="10"/>
      </w:numPr>
      <w:tabs>
        <w:tab w:val="clear" w:pos="1060"/>
      </w:tabs>
    </w:pPr>
  </w:style>
  <w:style w:type="paragraph" w:customStyle="1" w:styleId="MarginNote">
    <w:name w:val="Margin Note"/>
    <w:basedOn w:val="BodyText"/>
    <w:rsid w:val="008F4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A3F"/>
    <w:rPr>
      <w:sz w:val="32"/>
    </w:rPr>
  </w:style>
  <w:style w:type="paragraph" w:customStyle="1" w:styleId="HeadingProcedure">
    <w:name w:val="Heading Procedure"/>
    <w:basedOn w:val="HeadingBase"/>
    <w:next w:val="Normal"/>
    <w:rsid w:val="008F4A3F"/>
    <w:pPr>
      <w:tabs>
        <w:tab w:val="left" w:pos="0"/>
      </w:tabs>
      <w:spacing w:before="120" w:after="60"/>
    </w:pPr>
    <w:rPr>
      <w:i/>
      <w:color w:val="918585"/>
      <w:sz w:val="22"/>
    </w:rPr>
  </w:style>
  <w:style w:type="paragraph" w:customStyle="1" w:styleId="TableBodyText">
    <w:name w:val="Table Body Text"/>
    <w:basedOn w:val="BodyText"/>
    <w:rsid w:val="008F4A3F"/>
    <w:pPr>
      <w:spacing w:before="60" w:after="60"/>
    </w:pPr>
  </w:style>
  <w:style w:type="paragraph" w:styleId="ListContinue">
    <w:name w:val="List Continue"/>
    <w:basedOn w:val="List"/>
    <w:rsid w:val="008F4A3F"/>
    <w:pPr>
      <w:ind w:firstLine="0"/>
    </w:pPr>
  </w:style>
  <w:style w:type="paragraph" w:customStyle="1" w:styleId="ListNote">
    <w:name w:val="List Note"/>
    <w:basedOn w:val="List"/>
    <w:rsid w:val="008F4A3F"/>
    <w:pPr>
      <w:pBdr>
        <w:top w:val="single" w:sz="6" w:space="2" w:color="918585"/>
        <w:bottom w:val="single" w:sz="6" w:space="2" w:color="918585"/>
      </w:pBdr>
      <w:tabs>
        <w:tab w:val="left" w:pos="1021"/>
      </w:tabs>
      <w:ind w:firstLine="0"/>
    </w:pPr>
  </w:style>
  <w:style w:type="paragraph" w:customStyle="1" w:styleId="Warning">
    <w:name w:val="Warning"/>
    <w:basedOn w:val="BodyText"/>
    <w:rsid w:val="008F4A3F"/>
    <w:pPr>
      <w:shd w:val="clear" w:color="auto" w:fill="D9D9D9"/>
      <w:tabs>
        <w:tab w:val="left" w:pos="992"/>
      </w:tabs>
      <w:ind w:left="119" w:right="119"/>
    </w:pPr>
    <w:rPr>
      <w:sz w:val="20"/>
    </w:rPr>
  </w:style>
  <w:style w:type="paragraph" w:customStyle="1" w:styleId="MarginIcons">
    <w:name w:val="Margin Icons"/>
    <w:basedOn w:val="BodyText"/>
    <w:rsid w:val="008F4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A3F"/>
    <w:rPr>
      <w:rFonts w:ascii="Courier New" w:hAnsi="Courier New"/>
    </w:rPr>
  </w:style>
  <w:style w:type="paragraph" w:customStyle="1" w:styleId="NoteBullet">
    <w:name w:val="Note Bullet"/>
    <w:basedOn w:val="Note"/>
    <w:rsid w:val="008F4A3F"/>
    <w:pPr>
      <w:tabs>
        <w:tab w:val="clear" w:pos="680"/>
      </w:tabs>
      <w:spacing w:before="60" w:after="60"/>
    </w:pPr>
  </w:style>
  <w:style w:type="paragraph" w:customStyle="1" w:styleId="SubHeading2">
    <w:name w:val="SubHeading2"/>
    <w:basedOn w:val="HeadingBase"/>
    <w:rsid w:val="008F4A3F"/>
    <w:pPr>
      <w:spacing w:before="240" w:after="60"/>
    </w:pPr>
    <w:rPr>
      <w:sz w:val="20"/>
    </w:rPr>
  </w:style>
  <w:style w:type="paragraph" w:customStyle="1" w:styleId="SubHeading1">
    <w:name w:val="SubHeading1"/>
    <w:basedOn w:val="HeadingBase"/>
    <w:rsid w:val="008F4A3F"/>
    <w:pPr>
      <w:spacing w:before="240" w:after="60"/>
    </w:pPr>
    <w:rPr>
      <w:color w:val="918585"/>
      <w:sz w:val="22"/>
    </w:rPr>
  </w:style>
  <w:style w:type="paragraph" w:customStyle="1" w:styleId="SideHeading">
    <w:name w:val="Side Heading"/>
    <w:basedOn w:val="HeadingBase"/>
    <w:rsid w:val="008F4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A3F"/>
    <w:pPr>
      <w:numPr>
        <w:numId w:val="12"/>
      </w:numPr>
    </w:pPr>
  </w:style>
  <w:style w:type="paragraph" w:styleId="PlainText">
    <w:name w:val="Plain Text"/>
    <w:basedOn w:val="Normal"/>
    <w:link w:val="PlainTextChar"/>
    <w:rsid w:val="008F4A3F"/>
    <w:rPr>
      <w:sz w:val="20"/>
    </w:rPr>
  </w:style>
  <w:style w:type="character" w:customStyle="1" w:styleId="PlainTextChar">
    <w:name w:val="Plain Text Char"/>
    <w:basedOn w:val="DefaultParagraphFont"/>
    <w:link w:val="PlainText"/>
    <w:rsid w:val="008F4A3F"/>
    <w:rPr>
      <w:rFonts w:ascii="Courier New" w:eastAsia="Times New Roman" w:hAnsi="Courier New" w:cs="Times New Roman"/>
      <w:sz w:val="20"/>
      <w:szCs w:val="20"/>
      <w:lang w:eastAsia="en-US"/>
    </w:rPr>
  </w:style>
  <w:style w:type="character" w:customStyle="1" w:styleId="MenuOption">
    <w:name w:val="Menu Option"/>
    <w:basedOn w:val="DefaultParagraphFont"/>
    <w:rsid w:val="008F4A3F"/>
    <w:rPr>
      <w:b/>
      <w:smallCaps/>
    </w:rPr>
  </w:style>
  <w:style w:type="paragraph" w:customStyle="1" w:styleId="TableListNumber">
    <w:name w:val="Table List Number"/>
    <w:basedOn w:val="ListNumber"/>
    <w:rsid w:val="008F4A3F"/>
    <w:pPr>
      <w:numPr>
        <w:numId w:val="0"/>
      </w:numPr>
    </w:pPr>
  </w:style>
  <w:style w:type="paragraph" w:styleId="TOC4">
    <w:name w:val="toc 4"/>
    <w:basedOn w:val="TOCBase"/>
    <w:next w:val="Normal"/>
    <w:semiHidden/>
    <w:rsid w:val="008F4A3F"/>
    <w:pPr>
      <w:tabs>
        <w:tab w:val="right" w:leader="dot" w:pos="9071"/>
      </w:tabs>
      <w:ind w:left="1701"/>
    </w:pPr>
  </w:style>
  <w:style w:type="paragraph" w:customStyle="1" w:styleId="ListAlpha">
    <w:name w:val="List Alpha"/>
    <w:basedOn w:val="List"/>
    <w:rsid w:val="008F4A3F"/>
    <w:pPr>
      <w:numPr>
        <w:numId w:val="9"/>
      </w:numPr>
    </w:pPr>
  </w:style>
  <w:style w:type="paragraph" w:customStyle="1" w:styleId="ListAlpha2">
    <w:name w:val="List Alpha 2"/>
    <w:basedOn w:val="List2"/>
    <w:rsid w:val="008F4A3F"/>
    <w:pPr>
      <w:numPr>
        <w:numId w:val="8"/>
      </w:numPr>
    </w:pPr>
  </w:style>
  <w:style w:type="paragraph" w:styleId="List3">
    <w:name w:val="List 3"/>
    <w:basedOn w:val="BodyText"/>
    <w:rsid w:val="008F4A3F"/>
    <w:pPr>
      <w:tabs>
        <w:tab w:val="left" w:pos="1021"/>
      </w:tabs>
      <w:spacing w:before="60" w:after="60"/>
      <w:ind w:left="1020" w:hanging="340"/>
    </w:pPr>
  </w:style>
  <w:style w:type="paragraph" w:styleId="List4">
    <w:name w:val="List 4"/>
    <w:basedOn w:val="BodyText"/>
    <w:rsid w:val="008F4A3F"/>
    <w:pPr>
      <w:tabs>
        <w:tab w:val="left" w:pos="1361"/>
      </w:tabs>
      <w:spacing w:before="60" w:after="60"/>
      <w:ind w:left="1361" w:hanging="340"/>
    </w:pPr>
  </w:style>
  <w:style w:type="paragraph" w:styleId="List5">
    <w:name w:val="List 5"/>
    <w:basedOn w:val="BodyText"/>
    <w:rsid w:val="008F4A3F"/>
    <w:pPr>
      <w:tabs>
        <w:tab w:val="left" w:pos="1701"/>
      </w:tabs>
      <w:spacing w:before="60" w:after="60"/>
      <w:ind w:left="1701" w:hanging="340"/>
    </w:pPr>
  </w:style>
  <w:style w:type="paragraph" w:styleId="ListBullet3">
    <w:name w:val="List Bullet 3"/>
    <w:basedOn w:val="List3"/>
    <w:rsid w:val="008F4A3F"/>
    <w:pPr>
      <w:numPr>
        <w:numId w:val="15"/>
      </w:numPr>
      <w:tabs>
        <w:tab w:val="clear" w:pos="1021"/>
      </w:tabs>
      <w:ind w:left="1037" w:hanging="357"/>
    </w:pPr>
  </w:style>
  <w:style w:type="paragraph" w:styleId="ListBullet4">
    <w:name w:val="List Bullet 4"/>
    <w:basedOn w:val="List4"/>
    <w:rsid w:val="008F4A3F"/>
    <w:pPr>
      <w:numPr>
        <w:numId w:val="3"/>
      </w:numPr>
    </w:pPr>
  </w:style>
  <w:style w:type="paragraph" w:styleId="ListBullet5">
    <w:name w:val="List Bullet 5"/>
    <w:basedOn w:val="List5"/>
    <w:rsid w:val="008F4A3F"/>
    <w:pPr>
      <w:numPr>
        <w:numId w:val="4"/>
      </w:numPr>
    </w:pPr>
  </w:style>
  <w:style w:type="paragraph" w:styleId="ListContinue2">
    <w:name w:val="List Continue 2"/>
    <w:basedOn w:val="List2"/>
    <w:rsid w:val="008F4A3F"/>
    <w:pPr>
      <w:ind w:firstLine="0"/>
    </w:pPr>
  </w:style>
  <w:style w:type="paragraph" w:styleId="ListContinue3">
    <w:name w:val="List Continue 3"/>
    <w:basedOn w:val="List3"/>
    <w:rsid w:val="008F4A3F"/>
    <w:pPr>
      <w:ind w:left="1021" w:firstLine="0"/>
    </w:pPr>
  </w:style>
  <w:style w:type="paragraph" w:styleId="ListContinue4">
    <w:name w:val="List Continue 4"/>
    <w:basedOn w:val="List4"/>
    <w:rsid w:val="008F4A3F"/>
    <w:pPr>
      <w:ind w:firstLine="0"/>
    </w:pPr>
  </w:style>
  <w:style w:type="paragraph" w:styleId="ListContinue5">
    <w:name w:val="List Continue 5"/>
    <w:basedOn w:val="List5"/>
    <w:rsid w:val="008F4A3F"/>
    <w:pPr>
      <w:ind w:firstLine="0"/>
    </w:pPr>
  </w:style>
  <w:style w:type="paragraph" w:styleId="ListNumber3">
    <w:name w:val="List Number 3"/>
    <w:basedOn w:val="List3"/>
    <w:rsid w:val="008F4A3F"/>
    <w:pPr>
      <w:numPr>
        <w:numId w:val="5"/>
      </w:numPr>
    </w:pPr>
  </w:style>
  <w:style w:type="paragraph" w:styleId="ListNumber4">
    <w:name w:val="List Number 4"/>
    <w:basedOn w:val="List4"/>
    <w:rsid w:val="008F4A3F"/>
    <w:pPr>
      <w:numPr>
        <w:numId w:val="6"/>
      </w:numPr>
    </w:pPr>
  </w:style>
  <w:style w:type="paragraph" w:styleId="ListNumber5">
    <w:name w:val="List Number 5"/>
    <w:basedOn w:val="List5"/>
    <w:rsid w:val="008F4A3F"/>
    <w:pPr>
      <w:numPr>
        <w:numId w:val="7"/>
      </w:numPr>
    </w:pPr>
  </w:style>
  <w:style w:type="paragraph" w:styleId="BlockText">
    <w:name w:val="Block Text"/>
    <w:basedOn w:val="Normal"/>
    <w:rsid w:val="008F4A3F"/>
    <w:pPr>
      <w:spacing w:after="120"/>
      <w:ind w:left="1440" w:right="1440"/>
    </w:pPr>
  </w:style>
  <w:style w:type="character" w:customStyle="1" w:styleId="Subscript">
    <w:name w:val="Subscript"/>
    <w:basedOn w:val="DefaultParagraphFont"/>
    <w:rsid w:val="008F4A3F"/>
    <w:rPr>
      <w:sz w:val="16"/>
      <w:vertAlign w:val="subscript"/>
    </w:rPr>
  </w:style>
  <w:style w:type="character" w:customStyle="1" w:styleId="Superscript">
    <w:name w:val="Superscript"/>
    <w:basedOn w:val="DefaultParagraphFont"/>
    <w:rsid w:val="008F4A3F"/>
    <w:rPr>
      <w:sz w:val="16"/>
      <w:vertAlign w:val="superscript"/>
    </w:rPr>
  </w:style>
  <w:style w:type="character" w:customStyle="1" w:styleId="Symbols">
    <w:name w:val="Symbols"/>
    <w:basedOn w:val="DefaultParagraphFont"/>
    <w:rsid w:val="008F4A3F"/>
    <w:rPr>
      <w:rFonts w:ascii="Symbol" w:hAnsi="Symbol"/>
    </w:rPr>
  </w:style>
  <w:style w:type="character" w:customStyle="1" w:styleId="MenuOptions">
    <w:name w:val="Menu Options"/>
    <w:basedOn w:val="DefaultParagraphFont"/>
    <w:rsid w:val="008F4A3F"/>
    <w:rPr>
      <w:rFonts w:ascii="Arial Narrow" w:hAnsi="Arial Narrow"/>
      <w:smallCaps/>
    </w:rPr>
  </w:style>
  <w:style w:type="character" w:customStyle="1" w:styleId="Buttons">
    <w:name w:val="Buttons"/>
    <w:basedOn w:val="DefaultParagraphFont"/>
    <w:rsid w:val="008F4A3F"/>
    <w:rPr>
      <w:b/>
    </w:rPr>
  </w:style>
  <w:style w:type="character" w:customStyle="1" w:styleId="Underlined">
    <w:name w:val="Underlined"/>
    <w:basedOn w:val="DefaultParagraphFont"/>
    <w:rsid w:val="008F4A3F"/>
    <w:rPr>
      <w:u w:val="single"/>
    </w:rPr>
  </w:style>
  <w:style w:type="paragraph" w:customStyle="1" w:styleId="TableBodyTextRight">
    <w:name w:val="Table Body Text Right"/>
    <w:basedOn w:val="TableBodyText"/>
    <w:rsid w:val="008F4A3F"/>
    <w:pPr>
      <w:widowControl w:val="0"/>
      <w:autoSpaceDE w:val="0"/>
      <w:autoSpaceDN w:val="0"/>
      <w:adjustRightInd w:val="0"/>
      <w:jc w:val="right"/>
    </w:pPr>
    <w:rPr>
      <w:rFonts w:cs="Arial"/>
      <w:szCs w:val="18"/>
    </w:rPr>
  </w:style>
  <w:style w:type="paragraph" w:customStyle="1" w:styleId="CopyrightText">
    <w:name w:val="Copyright Text"/>
    <w:basedOn w:val="BodyText"/>
    <w:rsid w:val="008F4A3F"/>
    <w:rPr>
      <w:sz w:val="18"/>
    </w:rPr>
  </w:style>
  <w:style w:type="paragraph" w:customStyle="1" w:styleId="BodySmallRight">
    <w:name w:val="Body Small Right"/>
    <w:basedOn w:val="BodyTextRight"/>
    <w:rsid w:val="008F4A3F"/>
    <w:rPr>
      <w:sz w:val="18"/>
      <w:szCs w:val="18"/>
    </w:rPr>
  </w:style>
  <w:style w:type="paragraph" w:customStyle="1" w:styleId="MarginEdition">
    <w:name w:val="Margin Edition"/>
    <w:basedOn w:val="MarginNote"/>
    <w:rsid w:val="008F4A3F"/>
    <w:pPr>
      <w:spacing w:before="0" w:after="0"/>
    </w:pPr>
    <w:rPr>
      <w:rFonts w:ascii="Times New Roman" w:hAnsi="Times New Roman"/>
      <w:color w:val="999999"/>
    </w:rPr>
  </w:style>
  <w:style w:type="paragraph" w:customStyle="1" w:styleId="Spacer">
    <w:name w:val="Spacer"/>
    <w:basedOn w:val="Normal"/>
    <w:rsid w:val="008F4A3F"/>
    <w:rPr>
      <w:sz w:val="2"/>
      <w:szCs w:val="2"/>
    </w:rPr>
  </w:style>
  <w:style w:type="character" w:customStyle="1" w:styleId="Small">
    <w:name w:val="Small"/>
    <w:basedOn w:val="DefaultParagraphFont"/>
    <w:rsid w:val="008F4A3F"/>
    <w:rPr>
      <w:sz w:val="16"/>
    </w:rPr>
  </w:style>
  <w:style w:type="paragraph" w:customStyle="1" w:styleId="WideTable">
    <w:name w:val="Wide Table"/>
    <w:basedOn w:val="Normal"/>
    <w:rsid w:val="008F4A3F"/>
    <w:pPr>
      <w:ind w:left="-1418"/>
    </w:pPr>
    <w:rPr>
      <w:sz w:val="2"/>
      <w:szCs w:val="2"/>
    </w:rPr>
  </w:style>
  <w:style w:type="character" w:styleId="PageNumber">
    <w:name w:val="page number"/>
    <w:basedOn w:val="DefaultParagraphFont"/>
    <w:rsid w:val="008F4A3F"/>
  </w:style>
  <w:style w:type="paragraph" w:styleId="Quote">
    <w:name w:val="Quote"/>
    <w:basedOn w:val="Heading1"/>
    <w:link w:val="QuoteChar"/>
    <w:qFormat/>
    <w:rsid w:val="008F4A3F"/>
    <w:rPr>
      <w:b w:val="0"/>
      <w:sz w:val="72"/>
      <w:szCs w:val="72"/>
      <w:lang w:val="en-NZ"/>
    </w:rPr>
  </w:style>
  <w:style w:type="character" w:customStyle="1" w:styleId="QuoteChar">
    <w:name w:val="Quote Char"/>
    <w:basedOn w:val="DefaultParagraphFont"/>
    <w:link w:val="Quote"/>
    <w:rsid w:val="008F4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A3F"/>
    <w:pPr>
      <w:pageBreakBefore/>
    </w:pPr>
  </w:style>
  <w:style w:type="paragraph" w:customStyle="1" w:styleId="Border">
    <w:name w:val="Border"/>
    <w:basedOn w:val="Normal"/>
    <w:qFormat/>
    <w:rsid w:val="008F4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A3F"/>
    <w:rPr>
      <w:b/>
      <w:bCs/>
      <w:i/>
      <w:iCs/>
      <w:color w:val="auto"/>
    </w:rPr>
  </w:style>
  <w:style w:type="paragraph" w:styleId="IntenseQuote">
    <w:name w:val="Intense Quote"/>
    <w:basedOn w:val="Normal"/>
    <w:next w:val="Normal"/>
    <w:link w:val="IntenseQuoteChar"/>
    <w:uiPriority w:val="30"/>
    <w:qFormat/>
    <w:rsid w:val="008F4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A3F"/>
    <w:rPr>
      <w:smallCaps/>
      <w:color w:val="auto"/>
      <w:u w:val="single"/>
    </w:rPr>
  </w:style>
  <w:style w:type="character" w:styleId="IntenseReference">
    <w:name w:val="Intense Reference"/>
    <w:basedOn w:val="DefaultParagraphFont"/>
    <w:uiPriority w:val="32"/>
    <w:qFormat/>
    <w:rsid w:val="008F4A3F"/>
    <w:rPr>
      <w:b/>
      <w:bCs/>
      <w:smallCaps/>
      <w:color w:val="auto"/>
      <w:spacing w:val="5"/>
      <w:u w:val="single"/>
    </w:rPr>
  </w:style>
  <w:style w:type="paragraph" w:customStyle="1" w:styleId="2ColumnHeading">
    <w:name w:val="2Column Heading"/>
    <w:basedOn w:val="BodyText"/>
    <w:qFormat/>
    <w:rsid w:val="008F4A3F"/>
    <w:pPr>
      <w:spacing w:after="60"/>
      <w:ind w:left="-2268"/>
    </w:pPr>
    <w:rPr>
      <w:b/>
    </w:rPr>
  </w:style>
  <w:style w:type="paragraph" w:customStyle="1" w:styleId="Heading1TOC">
    <w:name w:val="Heading1 TOC"/>
    <w:basedOn w:val="Normal"/>
    <w:qFormat/>
    <w:rsid w:val="008F4A3F"/>
    <w:pPr>
      <w:spacing w:before="240" w:after="120"/>
    </w:pPr>
    <w:rPr>
      <w:rFonts w:ascii="Times New Roman" w:hAnsi="Times New Roman"/>
      <w:b/>
      <w:sz w:val="32"/>
    </w:rPr>
  </w:style>
  <w:style w:type="paragraph" w:customStyle="1" w:styleId="Heading2TOC">
    <w:name w:val="Heading2 TOC"/>
    <w:basedOn w:val="Normal"/>
    <w:qFormat/>
    <w:rsid w:val="008F4A3F"/>
    <w:pPr>
      <w:spacing w:before="240" w:after="60"/>
    </w:pPr>
    <w:rPr>
      <w:rFonts w:ascii="Times New Roman" w:hAnsi="Times New Roman"/>
      <w:b/>
      <w:sz w:val="28"/>
    </w:rPr>
  </w:style>
  <w:style w:type="character" w:customStyle="1" w:styleId="Underline">
    <w:name w:val="Underline"/>
    <w:basedOn w:val="DefaultParagraphFont"/>
    <w:qFormat/>
    <w:rsid w:val="008F4A3F"/>
    <w:rPr>
      <w:u w:val="single"/>
    </w:rPr>
  </w:style>
  <w:style w:type="paragraph" w:styleId="BalloonText">
    <w:name w:val="Balloon Text"/>
    <w:basedOn w:val="Normal"/>
    <w:link w:val="BalloonTextChar"/>
    <w:rsid w:val="008F4A3F"/>
    <w:rPr>
      <w:rFonts w:ascii="Tahoma" w:hAnsi="Tahoma" w:cs="Tahoma"/>
      <w:sz w:val="16"/>
      <w:szCs w:val="16"/>
    </w:rPr>
  </w:style>
  <w:style w:type="character" w:customStyle="1" w:styleId="BalloonTextChar">
    <w:name w:val="Balloon Text Char"/>
    <w:basedOn w:val="DefaultParagraphFont"/>
    <w:link w:val="BalloonText"/>
    <w:rsid w:val="008F4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A3F"/>
    <w:rPr>
      <w:b/>
      <w:color w:val="660033"/>
      <w:spacing w:val="0"/>
    </w:rPr>
  </w:style>
  <w:style w:type="paragraph" w:customStyle="1" w:styleId="Nameditemlist">
    <w:name w:val="Named item list"/>
    <w:basedOn w:val="BodyText"/>
    <w:qFormat/>
    <w:rsid w:val="008F4A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Words>
  <Characters>7255</Characters>
  <Application>Microsoft Office Word</Application>
  <DocSecurity>0</DocSecurity>
  <Lines>209</Lines>
  <Paragraphs>92</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MEA252B Test, align and troubleshoot aircraft synchro and servo system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2012-10-05T09:43:00Z</dcterms:created>
  <dcterms:modified xsi:type="dcterms:W3CDTF">2012-10-05T09:43:00Z</dcterms:modified>
</cp:coreProperties>
</file>