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666" w:rsidP="00F97666">
      <w:pPr>
        <w:pStyle w:val="Title"/>
      </w:pPr>
      <w:bookmarkStart w:id="0" w:name="_GoBack"/>
      <w:bookmarkEnd w:id="0"/>
      <w:r>
        <w:fldChar w:fldCharType="begin"/>
      </w:r>
      <w:r>
        <w:instrText xml:space="preserve"> TITLE   \* MERGEFORMAT </w:instrText>
      </w:r>
      <w:r>
        <w:fldChar w:fldCharType="separate"/>
      </w:r>
      <w:r>
        <w:t>MEA238B Perform routine removal and installation of miscellaneous aircraft electrical hardware/components</w:t>
      </w:r>
      <w:r>
        <w:fldChar w:fldCharType="end"/>
      </w:r>
    </w:p>
    <w:p w:rsidR="00F97666" w:rsidP="00F97666">
      <w:pPr>
        <w:pStyle w:val="Version"/>
        <w:sectPr w:rsidSect="00F75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5BDF" w:rsidP="00F75BDF">
      <w:pPr>
        <w:pStyle w:val="SuperHeading"/>
      </w:pPr>
      <w:r w:rsidRPr="00F75BDF">
        <w:t>MEA238B Perform routine removal and installation of miscellaneous aircraft electrical hardware_components</w:t>
      </w:r>
    </w:p>
    <w:p w:rsidR="00000000" w:rsidRPr="00F75BDF" w:rsidP="00F75BDF">
      <w:pPr>
        <w:pStyle w:val="Heading1"/>
      </w:pPr>
      <w:bookmarkStart w:id="1" w:name="O_399970"/>
      <w:bookmarkEnd w:id="1"/>
      <w:r w:rsidRPr="00F75BDF">
        <w:t>Modification History</w:t>
      </w:r>
    </w:p>
    <w:p w:rsidR="00000000" w:rsidRPr="00F75BDF" w:rsidP="00F75BDF">
      <w:pPr>
        <w:pStyle w:val="BodyText"/>
      </w:pPr>
      <w:r w:rsidRPr="00F75BDF">
        <w:t>Minor formatting and ed</w:t>
      </w:r>
      <w:r w:rsidRPr="00F75BDF">
        <w:t>itorial changes made. Prerequisite unit version code updated.</w:t>
      </w:r>
    </w:p>
    <w:p w:rsidR="00000000" w:rsidRPr="00F75BDF" w:rsidP="00F75BDF">
      <w:pPr>
        <w:pStyle w:val="AllowPageBreak"/>
      </w:pPr>
    </w:p>
    <w:p w:rsidR="00000000" w:rsidRPr="00F75BDF" w:rsidP="00F75BDF">
      <w:pPr>
        <w:pStyle w:val="Heading1"/>
      </w:pPr>
      <w:bookmarkStart w:id="2" w:name="O_399966"/>
      <w:bookmarkEnd w:id="2"/>
      <w:r w:rsidRPr="00F75BDF">
        <w:t>Unit Descriptor</w:t>
      </w:r>
    </w:p>
    <w:tbl>
      <w:tblPr>
        <w:tblW w:w="0" w:type="auto"/>
        <w:tblLayout w:type="fixed"/>
        <w:tblCellMar>
          <w:left w:w="62" w:type="dxa"/>
          <w:right w:w="62" w:type="dxa"/>
        </w:tblCellMar>
        <w:tblLook w:val="0000"/>
      </w:tblPr>
      <w:tblGrid>
        <w:gridCol w:w="8550"/>
      </w:tblGrid>
      <w:tr w:rsidTr="00F97666">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This unit of competency is part of the Avionic Certificate II training pathway. It covers the competencies required for the removal and installation under qualif</w:t>
            </w:r>
            <w:r w:rsidRPr="00F75BDF">
              <w:t>ied person guidance of a range of aircraft electrical components and items of hardware that can have bolted, soldered or plug connections. The unit is used in workplaces that operate under the airworthiness regulatory systems of the ADF and CASA.</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3" w:name="O_399979"/>
      <w:bookmarkEnd w:id="3"/>
      <w:r w:rsidRPr="00F75BDF">
        <w:t>Application of the Unit</w:t>
      </w:r>
    </w:p>
    <w:tbl>
      <w:tblPr>
        <w:tblW w:w="0" w:type="auto"/>
        <w:tblLayout w:type="fixed"/>
        <w:tblCellMar>
          <w:left w:w="62" w:type="dxa"/>
          <w:right w:w="62" w:type="dxa"/>
        </w:tblCellMar>
        <w:tblLook w:val="0000"/>
      </w:tblPr>
      <w:tblGrid>
        <w:gridCol w:w="8640"/>
      </w:tblGrid>
      <w:tr w:rsidTr="00F97666">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This unit requires application of hand skills and relevant maintenance publications and documentation to remove and install a range of electrical components and electrical hardware under the guidance of a qualified perso</w:t>
            </w:r>
            <w:r w:rsidRPr="00F75BDF">
              <w:t>n.</w:t>
            </w:r>
          </w:p>
          <w:p w:rsidR="00000000" w:rsidRPr="00F75BDF" w:rsidP="00F75BDF">
            <w:pPr>
              <w:pStyle w:val="BodyText"/>
            </w:pPr>
            <w:r w:rsidRPr="00F75BDF">
              <w:t>Applications include both on and off-aircraft work.</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4" w:name="O_399971"/>
      <w:bookmarkEnd w:id="4"/>
      <w:r w:rsidRPr="00F75BDF">
        <w:t>Licensing/Regulatory Information</w:t>
      </w:r>
    </w:p>
    <w:p w:rsidR="00000000" w:rsidRPr="00F75BDF" w:rsidP="00F75BDF">
      <w:pPr>
        <w:pStyle w:val="BodyText"/>
      </w:pPr>
      <w:r w:rsidRPr="00F75BDF">
        <w:t>Not applicable.</w:t>
      </w:r>
    </w:p>
    <w:p w:rsidR="00000000" w:rsidRPr="00F75BDF" w:rsidP="00F75BDF">
      <w:pPr>
        <w:pStyle w:val="AllowPageBreak"/>
      </w:pPr>
    </w:p>
    <w:p w:rsidR="00000000" w:rsidRPr="00F75BDF" w:rsidP="00F75BDF">
      <w:pPr>
        <w:pStyle w:val="Heading1"/>
      </w:pPr>
      <w:bookmarkStart w:id="5" w:name="O_399969"/>
      <w:bookmarkEnd w:id="5"/>
      <w:r w:rsidRPr="00F75BDF">
        <w:t>Pre-Requisites</w:t>
      </w:r>
    </w:p>
    <w:tbl>
      <w:tblPr>
        <w:tblW w:w="0" w:type="auto"/>
        <w:tblLayout w:type="fixed"/>
        <w:tblCellMar>
          <w:left w:w="62" w:type="dxa"/>
          <w:right w:w="62" w:type="dxa"/>
        </w:tblCellMar>
        <w:tblLook w:val="0000"/>
      </w:tblPr>
      <w:tblGrid>
        <w:gridCol w:w="1914"/>
        <w:gridCol w:w="6636"/>
      </w:tblGrid>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MEA101B</w:t>
            </w:r>
          </w:p>
        </w:tc>
        <w:tc>
          <w:tcPr>
            <w:tcW w:w="6636"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Interpret occupational health and safety practices in aviation maintenance</w:t>
            </w:r>
          </w:p>
        </w:tc>
      </w:tr>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MEA103B</w:t>
            </w:r>
          </w:p>
        </w:tc>
        <w:tc>
          <w:tcPr>
            <w:tcW w:w="6636"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 xml:space="preserve">Plan and </w:t>
            </w:r>
            <w:r w:rsidRPr="00F75BDF">
              <w:t>organise aviation maintenance work activity</w:t>
            </w:r>
          </w:p>
        </w:tc>
      </w:tr>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MEA105C</w:t>
            </w:r>
          </w:p>
        </w:tc>
        <w:tc>
          <w:tcPr>
            <w:tcW w:w="6636"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Apply quality standards applicable to aviation maintenance processes</w:t>
            </w:r>
          </w:p>
        </w:tc>
      </w:tr>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MEA107B</w:t>
            </w:r>
          </w:p>
        </w:tc>
        <w:tc>
          <w:tcPr>
            <w:tcW w:w="6636"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Interpret and use aviation maintenance industry manuals and specifications</w:t>
            </w:r>
          </w:p>
        </w:tc>
      </w:tr>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MEA108B</w:t>
            </w:r>
          </w:p>
        </w:tc>
        <w:tc>
          <w:tcPr>
            <w:tcW w:w="6636"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Complete aviation maintenance industry documentation</w:t>
            </w:r>
          </w:p>
        </w:tc>
      </w:tr>
      <w:tr w:rsidTr="00F97666">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t>MEA109B</w:t>
            </w:r>
          </w:p>
        </w:tc>
        <w:tc>
          <w:tcPr>
            <w:tcW w:w="6636"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Perform basic hand skills, standard trade practices and fundamentals in aviation maintenance</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6" w:name="O_399974"/>
      <w:bookmarkEnd w:id="6"/>
      <w:r w:rsidRPr="00F75BDF">
        <w:t>Employability Skills Information</w:t>
      </w:r>
    </w:p>
    <w:tbl>
      <w:tblPr>
        <w:tblW w:w="0" w:type="auto"/>
        <w:tblLayout w:type="fixed"/>
        <w:tblCellMar>
          <w:left w:w="62" w:type="dxa"/>
          <w:right w:w="62" w:type="dxa"/>
        </w:tblCellMar>
        <w:tblLook w:val="0000"/>
      </w:tblPr>
      <w:tblGrid>
        <w:gridCol w:w="5720"/>
      </w:tblGrid>
      <w:tr w:rsidTr="00F97666">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This unit contains employability skills.</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7" w:name="O_399975"/>
      <w:bookmarkEnd w:id="7"/>
      <w:r w:rsidRPr="00F75BDF">
        <w:t>Elements and Performance Criteria Pre-Content</w:t>
      </w:r>
    </w:p>
    <w:tbl>
      <w:tblPr>
        <w:tblW w:w="9360" w:type="dxa"/>
        <w:tblLayout w:type="fixed"/>
        <w:tblCellMar>
          <w:left w:w="62" w:type="dxa"/>
          <w:right w:w="62" w:type="dxa"/>
        </w:tblCellMar>
        <w:tblLook w:val="0000"/>
      </w:tblPr>
      <w:tblGrid>
        <w:gridCol w:w="2573"/>
        <w:gridCol w:w="6787"/>
      </w:tblGrid>
      <w:tr w:rsidTr="00F97666">
        <w:tblPrEx>
          <w:tblW w:w="9360" w:type="dxa"/>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t>Elements describe the essential outcomes of a unit of competency.</w:t>
            </w:r>
          </w:p>
        </w:tc>
        <w:tc>
          <w:tcPr>
            <w:tcW w:w="6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BDF" w:rsidP="00F75BDF">
            <w:pPr>
              <w:pStyle w:val="BodyText"/>
            </w:pPr>
            <w:r w:rsidRPr="00F75BDF">
              <w:t>Performance criteria describe the performance needed to demonstrate achievement of the element. Where bold italicised text is us</w:t>
            </w:r>
            <w:r w:rsidRPr="00F75BDF">
              <w:t>ed, further information is detailed in the required skills and knowledge section and the range statement. Assessment of performance is to be consistent with the evidence guide.</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8" w:name="O_399976"/>
      <w:bookmarkEnd w:id="8"/>
      <w:r w:rsidRPr="00F75BDF">
        <w:t>Elements and Performance Criteria</w:t>
      </w:r>
    </w:p>
    <w:tbl>
      <w:tblPr>
        <w:tblW w:w="0" w:type="auto"/>
        <w:tblCellMar>
          <w:left w:w="62" w:type="dxa"/>
          <w:right w:w="62" w:type="dxa"/>
        </w:tblCellMar>
        <w:tblLook w:val="0000"/>
      </w:tblPr>
      <w:tblGrid>
        <w:gridCol w:w="1905"/>
        <w:gridCol w:w="7291"/>
      </w:tblGrid>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1.</w:t>
            </w:r>
            <w:r w:rsidRPr="00F75BDF">
              <w:tab/>
              <w:t>Prepare to remove aircr</w:t>
            </w:r>
            <w:r w:rsidRPr="00F75BDF">
              <w:t>aft electrical hardware</w:t>
            </w:r>
          </w:p>
        </w:tc>
        <w:tc>
          <w:tcPr>
            <w:tcW w:w="0" w:type="auto"/>
            <w:tcBorders>
              <w:top w:val="nil"/>
              <w:left w:val="nil"/>
              <w:bottom w:val="nil"/>
              <w:right w:val="nil"/>
            </w:tcBorders>
            <w:tcMar>
              <w:top w:w="0" w:type="dxa"/>
              <w:left w:w="62" w:type="dxa"/>
              <w:bottom w:w="0" w:type="dxa"/>
              <w:right w:w="62" w:type="dxa"/>
            </w:tcMar>
          </w:tcPr>
          <w:p w:rsidR="00000000" w:rsidRPr="00F75BDF" w:rsidP="00F75BDF">
            <w:pPr>
              <w:pStyle w:val="List2"/>
            </w:pPr>
            <w:r w:rsidRPr="00F75BDF">
              <w:t>1.1.</w:t>
            </w:r>
            <w:r w:rsidRPr="00F75BDF">
              <w:tab/>
              <w:t>The removal task is planned under qualified person guidance using applicable maintenance documentation and enterprise procedures</w:t>
            </w:r>
          </w:p>
          <w:p w:rsidR="00000000" w:rsidP="00F75BDF">
            <w:pPr>
              <w:pStyle w:val="List2"/>
              <w:rPr>
                <w:lang w:val="en-NZ"/>
              </w:rPr>
            </w:pPr>
            <w:r w:rsidRPr="00F75BDF">
              <w:t>1.2.</w:t>
            </w:r>
            <w:r w:rsidRPr="00F75BDF">
              <w:tab/>
              <w:t>System safety is confirmed with the qualified person</w:t>
            </w:r>
          </w:p>
        </w:tc>
      </w:tr>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2.</w:t>
            </w:r>
            <w:r w:rsidRPr="00F75BDF">
              <w:tab/>
              <w:t>Remove aircraft electrical hardware</w:t>
            </w:r>
          </w:p>
        </w:tc>
        <w:tc>
          <w:tcPr>
            <w:tcW w:w="0" w:type="auto"/>
            <w:tcBorders>
              <w:top w:val="nil"/>
              <w:left w:val="nil"/>
              <w:bottom w:val="nil"/>
              <w:right w:val="nil"/>
            </w:tcBorders>
            <w:tcMar>
              <w:top w:w="0" w:type="dxa"/>
              <w:left w:w="62" w:type="dxa"/>
              <w:bottom w:w="0" w:type="dxa"/>
              <w:right w:w="62" w:type="dxa"/>
            </w:tcMar>
          </w:tcPr>
          <w:p w:rsidR="00000000" w:rsidP="00F75BDF">
            <w:pPr>
              <w:pStyle w:val="List2"/>
              <w:rPr>
                <w:lang w:val="en-NZ"/>
              </w:rPr>
            </w:pPr>
            <w:r w:rsidRPr="00F75BDF">
              <w:t>2.1.</w:t>
            </w:r>
            <w:r w:rsidRPr="00F75BDF">
              <w:tab/>
              <w:t xml:space="preserve">Physical removal of </w:t>
            </w:r>
            <w:r w:rsidRPr="00F75BDF">
              <w:rPr>
                <w:rStyle w:val="BoldandItalics"/>
              </w:rPr>
              <w:t>electrical hardware</w:t>
            </w:r>
            <w:r w:rsidRPr="00F75BDF">
              <w:t xml:space="preserve"> is carried out in accordance with enterprise procedures and applicable maintenance documentation</w:t>
            </w:r>
          </w:p>
        </w:tc>
      </w:tr>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3.</w:t>
            </w:r>
            <w:r w:rsidRPr="00F75BDF">
              <w:tab/>
              <w:t>Complete aircraft electrical hardware removal process</w:t>
            </w:r>
          </w:p>
        </w:tc>
        <w:tc>
          <w:tcPr>
            <w:tcW w:w="0" w:type="auto"/>
            <w:tcBorders>
              <w:top w:val="nil"/>
              <w:left w:val="nil"/>
              <w:bottom w:val="nil"/>
              <w:right w:val="nil"/>
            </w:tcBorders>
            <w:tcMar>
              <w:top w:w="0" w:type="dxa"/>
              <w:left w:w="62" w:type="dxa"/>
              <w:bottom w:w="0" w:type="dxa"/>
              <w:right w:w="62" w:type="dxa"/>
            </w:tcMar>
          </w:tcPr>
          <w:p w:rsidR="00000000" w:rsidRPr="00F75BDF" w:rsidP="00F75BDF">
            <w:pPr>
              <w:pStyle w:val="List2"/>
            </w:pPr>
            <w:r w:rsidRPr="00F75BDF">
              <w:t>3.1.</w:t>
            </w:r>
            <w:r w:rsidRPr="00F75BDF">
              <w:tab/>
            </w:r>
            <w:r w:rsidRPr="00F75BDF">
              <w:t>Required documentation is accurately completed and correctly processed in accordance with enterprise procedures</w:t>
            </w:r>
          </w:p>
          <w:p w:rsidR="00000000" w:rsidP="00F75BDF">
            <w:pPr>
              <w:pStyle w:val="List2"/>
              <w:rPr>
                <w:lang w:val="en-NZ"/>
              </w:rPr>
            </w:pPr>
            <w:r w:rsidRPr="00F75BDF">
              <w:t>3.2.</w:t>
            </w:r>
            <w:r w:rsidRPr="00F75BDF">
              <w:tab/>
              <w:t>Removed components are tagged, packaged or discarded in accordance with specified procedures</w:t>
            </w:r>
          </w:p>
        </w:tc>
      </w:tr>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4.</w:t>
            </w:r>
            <w:r w:rsidRPr="00F75BDF">
              <w:tab/>
              <w:t>Prepare to install aircraft electrical har</w:t>
            </w:r>
            <w:r w:rsidRPr="00F75BDF">
              <w:t>dware</w:t>
            </w:r>
          </w:p>
        </w:tc>
        <w:tc>
          <w:tcPr>
            <w:tcW w:w="0" w:type="auto"/>
            <w:tcBorders>
              <w:top w:val="nil"/>
              <w:left w:val="nil"/>
              <w:bottom w:val="nil"/>
              <w:right w:val="nil"/>
            </w:tcBorders>
            <w:tcMar>
              <w:top w:w="0" w:type="dxa"/>
              <w:left w:w="62" w:type="dxa"/>
              <w:bottom w:w="0" w:type="dxa"/>
              <w:right w:w="62" w:type="dxa"/>
            </w:tcMar>
          </w:tcPr>
          <w:p w:rsidR="00000000" w:rsidRPr="00F75BDF" w:rsidP="00F75BDF">
            <w:pPr>
              <w:pStyle w:val="List2"/>
            </w:pPr>
            <w:r w:rsidRPr="00F75BDF">
              <w:t>4.1.</w:t>
            </w:r>
            <w:r w:rsidRPr="00F75BDF">
              <w:tab/>
              <w:t>The installation task is planned under qualified person guidance using applicable maintenance documentation and enterprise procedures</w:t>
            </w:r>
          </w:p>
          <w:p w:rsidR="00000000" w:rsidP="00F75BDF">
            <w:pPr>
              <w:pStyle w:val="List2"/>
              <w:rPr>
                <w:lang w:val="en-NZ"/>
              </w:rPr>
            </w:pPr>
            <w:r w:rsidRPr="00F75BDF">
              <w:t>4.2.</w:t>
            </w:r>
            <w:r w:rsidRPr="00F75BDF">
              <w:tab/>
              <w:t>Electrical hardware components to be installed are checked to confirm correct part numbers</w:t>
            </w:r>
          </w:p>
        </w:tc>
      </w:tr>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5.</w:t>
            </w:r>
            <w:r w:rsidRPr="00F75BDF">
              <w:tab/>
              <w:t>Install air</w:t>
            </w:r>
            <w:r w:rsidRPr="00F75BDF">
              <w:t>craft electrical hardware</w:t>
            </w:r>
          </w:p>
        </w:tc>
        <w:tc>
          <w:tcPr>
            <w:tcW w:w="0" w:type="auto"/>
            <w:tcBorders>
              <w:top w:val="nil"/>
              <w:left w:val="nil"/>
              <w:bottom w:val="nil"/>
              <w:right w:val="nil"/>
            </w:tcBorders>
            <w:tcMar>
              <w:top w:w="0" w:type="dxa"/>
              <w:left w:w="62" w:type="dxa"/>
              <w:bottom w:w="0" w:type="dxa"/>
              <w:right w:w="62" w:type="dxa"/>
            </w:tcMar>
          </w:tcPr>
          <w:p w:rsidR="00000000" w:rsidP="00F75BDF">
            <w:pPr>
              <w:pStyle w:val="List2"/>
              <w:rPr>
                <w:lang w:val="en-NZ"/>
              </w:rPr>
            </w:pPr>
            <w:r w:rsidRPr="00F75BDF">
              <w:t>5.1.</w:t>
            </w:r>
            <w:r w:rsidRPr="00F75BDF">
              <w:tab/>
              <w:t>Physical installation of electrical hardware is carried out in accordance with enterprise procedures and applicable maintenance documentation</w:t>
            </w:r>
          </w:p>
        </w:tc>
      </w:tr>
      <w:tr w:rsidTr="00F97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75BDF">
            <w:pPr>
              <w:pStyle w:val="List"/>
              <w:rPr>
                <w:lang w:val="en-NZ"/>
              </w:rPr>
            </w:pPr>
            <w:r w:rsidRPr="00F75BDF">
              <w:t>6.</w:t>
            </w:r>
            <w:r w:rsidRPr="00F75BDF">
              <w:tab/>
              <w:t>Complete aircraft electrical hardware installation process</w:t>
            </w:r>
          </w:p>
        </w:tc>
        <w:tc>
          <w:tcPr>
            <w:tcW w:w="0" w:type="auto"/>
            <w:tcBorders>
              <w:top w:val="nil"/>
              <w:left w:val="nil"/>
              <w:bottom w:val="nil"/>
              <w:right w:val="nil"/>
            </w:tcBorders>
            <w:tcMar>
              <w:top w:w="0" w:type="dxa"/>
              <w:left w:w="62" w:type="dxa"/>
              <w:bottom w:w="0" w:type="dxa"/>
              <w:right w:w="62" w:type="dxa"/>
            </w:tcMar>
          </w:tcPr>
          <w:p w:rsidR="00000000" w:rsidRPr="00F75BDF" w:rsidP="00F75BDF">
            <w:pPr>
              <w:pStyle w:val="List2"/>
            </w:pPr>
            <w:r w:rsidRPr="00F75BDF">
              <w:t>6.1.</w:t>
            </w:r>
            <w:r w:rsidRPr="00F75BDF">
              <w:tab/>
              <w:t>Required docume</w:t>
            </w:r>
            <w:r w:rsidRPr="00F75BDF">
              <w:t>ntation is accurately completed and correctly processed in accordance with enterprise procedures</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9" w:name="O_399967"/>
      <w:bookmarkEnd w:id="9"/>
      <w:r w:rsidRPr="00F75BDF">
        <w:t>Required Skills and Knowledge</w:t>
      </w:r>
    </w:p>
    <w:tbl>
      <w:tblPr>
        <w:tblW w:w="9270" w:type="dxa"/>
        <w:tblLayout w:type="fixed"/>
        <w:tblCellMar>
          <w:left w:w="62" w:type="dxa"/>
          <w:right w:w="62" w:type="dxa"/>
        </w:tblCellMar>
        <w:tblLook w:val="0000"/>
      </w:tblPr>
      <w:tblGrid>
        <w:gridCol w:w="9270"/>
      </w:tblGrid>
      <w:tr w:rsidTr="00F9766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rPr>
                <w:rStyle w:val="SpecialBold"/>
              </w:rPr>
              <w:t>Required skills</w:t>
            </w:r>
          </w:p>
        </w:tc>
      </w:tr>
      <w:tr w:rsidTr="00F9766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Look for evidence that confirms skills in:</w:t>
            </w:r>
          </w:p>
          <w:p w:rsidR="00000000" w:rsidRPr="00F75BDF" w:rsidP="00F75BDF">
            <w:pPr>
              <w:pStyle w:val="ListBullet"/>
            </w:pPr>
            <w:r w:rsidRPr="00F75BDF">
              <w:t>applying relevant OHS practices</w:t>
            </w:r>
          </w:p>
          <w:p w:rsidR="00000000" w:rsidRPr="00F75BDF" w:rsidP="00F75BDF">
            <w:pPr>
              <w:pStyle w:val="ListBullet"/>
            </w:pPr>
            <w:r w:rsidRPr="00F75BDF">
              <w:t>using enterprise procedures, applicable maintenance documentation and aircraft publications relating to the electrical system and components being worked on</w:t>
            </w:r>
          </w:p>
          <w:p w:rsidR="00000000" w:rsidRPr="00F75BDF" w:rsidP="00F75BDF">
            <w:pPr>
              <w:pStyle w:val="ListBullet"/>
            </w:pPr>
            <w:r w:rsidRPr="00F75BDF">
              <w:t xml:space="preserve">the preparation and termination of electrical cables to aircraft industry standards, using: </w:t>
            </w:r>
          </w:p>
          <w:p w:rsidR="00000000" w:rsidRPr="00F75BDF" w:rsidP="00F75BDF">
            <w:pPr>
              <w:pStyle w:val="ListBullet2"/>
            </w:pPr>
            <w:r w:rsidRPr="00F75BDF">
              <w:t>crimp</w:t>
            </w:r>
            <w:r w:rsidRPr="00F75BDF">
              <w:t>ing techniques</w:t>
            </w:r>
          </w:p>
          <w:p w:rsidR="00000000" w:rsidRPr="00F75BDF" w:rsidP="00F75BDF">
            <w:pPr>
              <w:pStyle w:val="ListBullet2"/>
            </w:pPr>
            <w:r w:rsidRPr="00F75BDF">
              <w:t>soldering techniques</w:t>
            </w:r>
          </w:p>
          <w:p w:rsidR="00000000" w:rsidRPr="00F75BDF" w:rsidP="00F75BDF">
            <w:pPr>
              <w:pStyle w:val="ListBullet2"/>
            </w:pPr>
            <w:r w:rsidRPr="00F75BDF">
              <w:t>solder sleeve joints</w:t>
            </w:r>
          </w:p>
          <w:p w:rsidR="00000000" w:rsidRPr="00F75BDF" w:rsidP="00F75BDF">
            <w:pPr>
              <w:pStyle w:val="ListBullet"/>
            </w:pPr>
            <w:r w:rsidRPr="00F75BDF">
              <w:t>the correct identification of aircraft wire markings, terminal block identification and plug/socket pin numbering systems.</w:t>
            </w:r>
          </w:p>
          <w:p w:rsidR="00000000" w:rsidRPr="00F75BDF" w:rsidP="00F75BDF">
            <w:pPr>
              <w:pStyle w:val="ListBullet"/>
            </w:pPr>
            <w:r w:rsidRPr="00F75BDF">
              <w:t xml:space="preserve">electrical loom and harness installation ensuring minimum bends are maintained, cable is not in tension, plugs are correctly aligned, security of route ensures no chaffing of insulation, adequate clipping and cable ties have been utilised and construction </w:t>
            </w:r>
            <w:r w:rsidRPr="00F75BDF">
              <w:t>complies with aircraft industry standards.</w:t>
            </w:r>
          </w:p>
          <w:p w:rsidR="00000000" w:rsidP="00F75BDF">
            <w:pPr>
              <w:pStyle w:val="ListBullet"/>
              <w:rPr>
                <w:lang w:val="en-NZ"/>
              </w:rPr>
            </w:pPr>
            <w:r w:rsidRPr="00F75BDF">
              <w:t>positive identification of miscellaneous electrical hardware and/or components</w:t>
            </w:r>
          </w:p>
        </w:tc>
      </w:tr>
      <w:tr w:rsidTr="00F9766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P="00F75BDF">
            <w:pPr>
              <w:pStyle w:val="BodyText"/>
              <w:rPr>
                <w:lang w:val="en-NZ"/>
              </w:rPr>
            </w:pPr>
            <w:r w:rsidRPr="00F75BDF">
              <w:rPr>
                <w:rStyle w:val="SpecialBold"/>
              </w:rPr>
              <w:t>Required knowledge</w:t>
            </w:r>
          </w:p>
        </w:tc>
      </w:tr>
      <w:tr w:rsidTr="00F97666">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F75BDF" w:rsidP="00F75BDF">
            <w:pPr>
              <w:pStyle w:val="BodyText"/>
            </w:pPr>
            <w:r w:rsidRPr="00F75BDF">
              <w:t>Look for evidence that confirms knowledge of:</w:t>
            </w:r>
          </w:p>
          <w:p w:rsidR="00000000" w:rsidRPr="00F75BDF" w:rsidP="00F75BDF">
            <w:pPr>
              <w:pStyle w:val="ListBullet"/>
            </w:pPr>
            <w:r w:rsidRPr="00F75BDF">
              <w:t>component attachment methods</w:t>
            </w:r>
          </w:p>
          <w:p w:rsidR="00000000" w:rsidRPr="00F75BDF" w:rsidP="00F75BDF">
            <w:pPr>
              <w:pStyle w:val="ListBullet"/>
            </w:pPr>
            <w:r w:rsidRPr="00F75BDF">
              <w:t>electrostatic discharge procedures</w:t>
            </w:r>
          </w:p>
          <w:p w:rsidR="00000000" w:rsidRPr="00F75BDF" w:rsidP="00F75BDF">
            <w:pPr>
              <w:pStyle w:val="ListBullet"/>
            </w:pPr>
            <w:r w:rsidRPr="00F75BDF">
              <w:t>connection of hardware, plugs and terminals points</w:t>
            </w:r>
          </w:p>
          <w:p w:rsidR="00000000" w:rsidRPr="00F75BDF" w:rsidP="00F75BDF">
            <w:pPr>
              <w:pStyle w:val="ListBullet"/>
            </w:pPr>
            <w:r w:rsidRPr="00F75BDF">
              <w:t>wire marking, terminal block identification and plug/socket numbering systems</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10" w:name="O_399973"/>
      <w:bookmarkEnd w:id="10"/>
      <w:r w:rsidRPr="00F75BDF">
        <w:t>Evidence Guide</w:t>
      </w:r>
    </w:p>
    <w:tbl>
      <w:tblPr>
        <w:tblW w:w="9570" w:type="dxa"/>
        <w:tblLayout w:type="fixed"/>
        <w:tblCellMar>
          <w:left w:w="62" w:type="dxa"/>
          <w:right w:w="62" w:type="dxa"/>
        </w:tblCellMar>
        <w:tblLook w:val="0000"/>
      </w:tblPr>
      <w:tblGrid>
        <w:gridCol w:w="3908"/>
        <w:gridCol w:w="5662"/>
      </w:tblGrid>
      <w:tr w:rsidTr="00F976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t>The Evidence Guide provides advice on assessment and must be read in conjunction with the per</w:t>
            </w:r>
            <w:r w:rsidRPr="00F75BDF">
              <w:t>formance criteria, required skills and knowledge, range statement and the Assessment Guidelines for the Training Package.</w:t>
            </w:r>
          </w:p>
        </w:tc>
      </w:tr>
      <w:tr w:rsidTr="00F97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t>A person who demonstrates competency in this unit must be able to remove and install a range of electrical co</w:t>
            </w:r>
            <w:r w:rsidRPr="00F75BDF">
              <w:t>mponents/hardware while observing electrostatic discharge precautions and all relevant safety precautions.</w:t>
            </w:r>
          </w:p>
        </w:tc>
      </w:tr>
      <w:tr w:rsidTr="00F97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BDF" w:rsidP="00F75BDF">
            <w:pPr>
              <w:pStyle w:val="BodyText"/>
            </w:pPr>
            <w:r w:rsidRPr="00F75BDF">
              <w:t>The underlying skills inherent in this unit should be transferable into other units that require similar techniques. It is essential that applicable cleanliness requirements and OHS safety precautions are fully observed, and an awareness of electrostatic d</w:t>
            </w:r>
            <w:r w:rsidRPr="00F75BDF">
              <w:t>ischarge procedures.</w:t>
            </w:r>
          </w:p>
          <w:p w:rsidR="00000000" w:rsidRPr="00F75BDF" w:rsidP="00F75BDF">
            <w:pPr>
              <w:pStyle w:val="BodyText"/>
            </w:pPr>
            <w:r w:rsidRPr="00F75BDF">
              <w:t>Evidence of transferability of skills and knowledge related to enterprise procedures associated with removal and installation is essential. An understanding of the attachment methods, connection of hardware and system operation as they</w:t>
            </w:r>
            <w:r w:rsidRPr="00F75BDF">
              <w:t xml:space="preserve"> relate to the work must be demonstrated before undertaking any action. The work plan should take account of applicable safety and quality requirements in accordance with the industry and regulatory standards.</w:t>
            </w:r>
          </w:p>
          <w:p w:rsidR="00000000" w:rsidP="00F75BDF">
            <w:pPr>
              <w:pStyle w:val="BodyText"/>
              <w:rPr>
                <w:lang w:val="en-NZ"/>
              </w:rPr>
            </w:pPr>
            <w:r w:rsidRPr="00F75BDF">
              <w:t>A person cannot be assessed as competent until</w:t>
            </w:r>
            <w:r w:rsidRPr="00F75BDF">
              <w:t xml:space="preserve"> it can be demonstrated to the satisfaction of the workplace assessor that the relevant elements of the unit of competency are being achieved under qualified person guidance on a range of the electrical components/hardware listed in the Range Statement. Th</w:t>
            </w:r>
            <w:r w:rsidRPr="00F75BDF">
              <w:t>is shall be established via the records in the Log of Industrial Experience and Achievement or, where appropriate, an equivalent Industry Evidence Guide.</w:t>
            </w:r>
          </w:p>
        </w:tc>
      </w:tr>
      <w:tr w:rsidTr="00F97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t>Competency should be assessed in the work environmen</w:t>
            </w:r>
            <w:r w:rsidRPr="00F75BDF">
              <w:t>t, using tools and equipment specified in maintenance manuals. It is also expected that general purpose tools, test and ground support equipment found in most routine situations would be used where appropriate.</w:t>
            </w:r>
          </w:p>
        </w:tc>
      </w:tr>
      <w:tr w:rsidTr="00F97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p>
        </w:tc>
      </w:tr>
      <w:tr w:rsidTr="00F9766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 xml:space="preserve">Guidance information </w:t>
            </w:r>
            <w:r w:rsidRPr="00F75BDF">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BDF" w:rsidP="00F75BDF">
            <w:pPr>
              <w:pStyle w:val="BodyText"/>
            </w:pP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11" w:name="O_399968"/>
      <w:bookmarkEnd w:id="11"/>
      <w:r w:rsidRPr="00F75BDF">
        <w:t>Range Statement</w:t>
      </w:r>
    </w:p>
    <w:tbl>
      <w:tblPr>
        <w:tblW w:w="9360" w:type="dxa"/>
        <w:tblLayout w:type="fixed"/>
        <w:tblCellMar>
          <w:left w:w="62" w:type="dxa"/>
          <w:right w:w="62" w:type="dxa"/>
        </w:tblCellMar>
        <w:tblLook w:val="0000"/>
      </w:tblPr>
      <w:tblGrid>
        <w:gridCol w:w="3454"/>
        <w:gridCol w:w="5906"/>
      </w:tblGrid>
      <w:tr w:rsidTr="00F97666">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t>The range statement relates to the unit of competency as a whole. It allows for different work environments and situations that may affect performance. Bold italicised wording, if used in the performance c</w:t>
            </w:r>
            <w:r w:rsidRPr="00F75BDF">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F97666">
        <w:tblPrEx>
          <w:tblW w:w="9360" w:type="dxa"/>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Application</w:t>
            </w:r>
            <w:r w:rsidRPr="00F75BDF">
              <w:t xml:space="preserve"> </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BDF" w:rsidP="00F75BDF">
            <w:pPr>
              <w:pStyle w:val="BodyText"/>
            </w:pPr>
            <w:r w:rsidRPr="00F75BDF">
              <w:t>Application of this unit may relate to:</w:t>
            </w:r>
          </w:p>
          <w:p w:rsidR="00000000" w:rsidRPr="00F75BDF" w:rsidP="00F75BDF">
            <w:pPr>
              <w:pStyle w:val="ListBullet"/>
            </w:pPr>
            <w:r w:rsidRPr="00F75BDF">
              <w:t xml:space="preserve">scheduled or unscheduled maintenance involving aircraft electrical hardware/components that is performed under qualified person </w:t>
            </w:r>
            <w:r w:rsidRPr="00F75BDF">
              <w:t>guidance in accordance with enterprise procedures and applicable maintenance documentation</w:t>
            </w:r>
          </w:p>
          <w:p w:rsidR="00000000" w:rsidRPr="00F75BDF" w:rsidP="00F75BDF">
            <w:pPr>
              <w:pStyle w:val="ListBullet"/>
            </w:pPr>
            <w:r w:rsidRPr="00F75BDF">
              <w:t xml:space="preserve">work undertaken either autonomously or as part of a team and under the guidance of a qualified person. Routine work is carried out using basic operational knowledge </w:t>
            </w:r>
            <w:r w:rsidRPr="00F75BDF">
              <w:t>and a defined range of skills ('routine' work is that which follows a customary or regular course of procedure). All work outcomes are achieved by applying known solutions chosen from a limited range of pre-determined options consistent with enterprise pro</w:t>
            </w:r>
            <w:r w:rsidRPr="00F75BDF">
              <w:t>cedures. This includes accepting responsibility for own work in terms of quality of outcomes using pre-determined specifications of quality</w:t>
            </w:r>
          </w:p>
          <w:p w:rsidR="00000000" w:rsidRPr="00F75BDF" w:rsidP="00F75BDF">
            <w:pPr>
              <w:pStyle w:val="ListBullet"/>
            </w:pPr>
            <w:r w:rsidRPr="00F75BDF">
              <w:t>the application of enterprise procedures associated with basic soldering and crimping skills required for the remova</w:t>
            </w:r>
            <w:r w:rsidRPr="00F75BDF">
              <w:t>l and installation of electrical hardware</w:t>
            </w:r>
          </w:p>
          <w:p w:rsidR="00000000" w:rsidP="00F75BDF">
            <w:pPr>
              <w:pStyle w:val="ListBullet"/>
              <w:rPr>
                <w:lang w:val="en-NZ"/>
              </w:rPr>
            </w:pPr>
            <w:r w:rsidRPr="00F75BDF">
              <w:t>the demonstration of competency in groups that include bolted, soldered, and plug connections</w:t>
            </w:r>
          </w:p>
        </w:tc>
      </w:tr>
      <w:tr w:rsidTr="00F97666">
        <w:tblPrEx>
          <w:tblW w:w="9360" w:type="dxa"/>
          <w:tblLayout w:type="fixed"/>
          <w:tblCellMar>
            <w:left w:w="62" w:type="dxa"/>
            <w:right w:w="62" w:type="dxa"/>
          </w:tblCellMar>
          <w:tblLook w:val="0000"/>
        </w:tblPrEx>
        <w:tc>
          <w:tcPr>
            <w:tcW w:w="34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5BDF">
            <w:pPr>
              <w:pStyle w:val="BodyText"/>
              <w:rPr>
                <w:lang w:val="en-NZ"/>
              </w:rPr>
            </w:pPr>
            <w:r w:rsidRPr="00F75BDF">
              <w:rPr>
                <w:rStyle w:val="SpecialBold"/>
              </w:rPr>
              <w:t>Electrical hardware may include</w:t>
            </w:r>
            <w:r w:rsidRPr="00F75BDF">
              <w: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5BDF" w:rsidP="00F75BDF">
            <w:pPr>
              <w:pStyle w:val="BodyText"/>
            </w:pPr>
            <w:r w:rsidRPr="00F75BDF">
              <w:t>Electrical hardware may include:</w:t>
            </w:r>
          </w:p>
          <w:p w:rsidR="00000000" w:rsidRPr="00F75BDF" w:rsidP="00F75BDF">
            <w:pPr>
              <w:pStyle w:val="ListBullet"/>
            </w:pPr>
            <w:r w:rsidRPr="00F75BDF">
              <w:t>switches, relays, lamps, terminal blocks, current lim</w:t>
            </w:r>
            <w:r w:rsidRPr="00F75BDF">
              <w:t>iters, circuit breakers, fuses, sockets, potentiometers, capacitors, inductors, magnetic amplifiers, transformers, rheostats, resistors and diodes, miscellaneous sensors and minor components hard mounted throughout the aircraft, busbars, lugs, ferrules, sp</w:t>
            </w:r>
            <w:r w:rsidRPr="00F75BDF">
              <w:t>lices, connectors and electrical, electronic cables and looms. Oxygen systems and components, and fuel tank components and integrated hardware are not included</w:t>
            </w:r>
          </w:p>
        </w:tc>
      </w:tr>
    </w:tbl>
    <w:p w:rsidR="00000000" w:rsidRPr="00F75BDF" w:rsidP="00F75BDF">
      <w:pPr>
        <w:pStyle w:val="BodyText"/>
      </w:pPr>
    </w:p>
    <w:p w:rsidR="00000000" w:rsidRPr="00F75BDF" w:rsidP="00F75BDF">
      <w:pPr>
        <w:pStyle w:val="AllowPageBreak"/>
      </w:pPr>
    </w:p>
    <w:p w:rsidR="00000000" w:rsidRPr="00F75BDF" w:rsidP="00F75BDF">
      <w:pPr>
        <w:pStyle w:val="Heading1"/>
      </w:pPr>
      <w:bookmarkStart w:id="12" w:name="O_399965"/>
      <w:bookmarkEnd w:id="12"/>
      <w:r w:rsidRPr="00F75BDF">
        <w:t>Unit Sector(s)</w:t>
      </w:r>
    </w:p>
    <w:p w:rsidR="00000000" w:rsidRPr="00F75BDF" w:rsidP="00F75BDF">
      <w:pPr>
        <w:pStyle w:val="BodyText"/>
      </w:pPr>
      <w:r w:rsidRPr="00F75BDF">
        <w:t>Aviation maintenance</w:t>
      </w:r>
    </w:p>
    <w:p w:rsidR="00000000" w:rsidRPr="00F75BDF" w:rsidP="00F75BDF">
      <w:pPr>
        <w:pStyle w:val="AllowPageBreak"/>
      </w:pPr>
    </w:p>
    <w:p w:rsidR="00000000" w:rsidRPr="00F75BDF" w:rsidP="00F75BDF">
      <w:pPr>
        <w:pStyle w:val="Heading1"/>
      </w:pPr>
      <w:bookmarkStart w:id="13" w:name="O_399978"/>
      <w:bookmarkEnd w:id="13"/>
      <w:r w:rsidRPr="00F75BDF">
        <w:t>Competency field</w:t>
      </w:r>
    </w:p>
    <w:p w:rsidR="00000000" w:rsidRPr="00F75BDF" w:rsidP="00F75BDF">
      <w:pPr>
        <w:pStyle w:val="Heading1"/>
      </w:pPr>
      <w:bookmarkStart w:id="14" w:name="O_399977"/>
      <w:bookmarkEnd w:id="14"/>
      <w:r w:rsidRPr="00F75BDF">
        <w:t>Co-requisite units</w:t>
      </w:r>
    </w:p>
    <w:p w:rsidR="00000000" w:rsidRPr="00F75BDF" w:rsidP="00F75BDF">
      <w:pPr>
        <w:pStyle w:val="BodyText"/>
      </w:pPr>
      <w:r w:rsidRPr="00F75BDF">
        <w:t>Not applicable</w:t>
      </w:r>
    </w:p>
    <w:p w:rsidR="00000000" w:rsidRPr="00F75BDF" w:rsidP="00F75BDF"/>
    <w:sectPr w:rsidSect="00F75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7666" w:rsidP="00F976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6" w:rsidP="00F75BD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97666" w:rsidP="00F75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7666" w:rsidP="00F75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DF" w:rsidRPr="00F97666" w:rsidP="00F976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666" w:rsidRPr="002D2AF8" w:rsidP="00F75BDF">
    <w:pPr>
      <w:pStyle w:val="Header"/>
      <w:framePr w:wrap="around"/>
    </w:pPr>
    <w:r>
      <w:fldChar w:fldCharType="begin"/>
    </w:r>
    <w:r>
      <w:instrText xml:space="preserve"> TITLE   \* MERGEFORMAT </w:instrText>
    </w:r>
    <w:r>
      <w:fldChar w:fldCharType="separate"/>
    </w:r>
    <w:r>
      <w:t>MEA238B Perform routine removal and installation of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97666" w:rsidP="00F75B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68C6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8073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7A11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B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BDF"/>
    <w:pPr>
      <w:spacing w:before="360" w:after="60"/>
      <w:outlineLvl w:val="0"/>
    </w:pPr>
    <w:rPr>
      <w:sz w:val="32"/>
    </w:rPr>
  </w:style>
  <w:style w:type="paragraph" w:styleId="Heading2">
    <w:name w:val="heading 2"/>
    <w:basedOn w:val="HeadingBase"/>
    <w:next w:val="BodyText"/>
    <w:link w:val="Heading2Char"/>
    <w:qFormat/>
    <w:rsid w:val="00F75BDF"/>
    <w:pPr>
      <w:keepLines/>
      <w:spacing w:before="240" w:after="120"/>
      <w:outlineLvl w:val="1"/>
    </w:pPr>
    <w:rPr>
      <w:sz w:val="28"/>
      <w:szCs w:val="40"/>
    </w:rPr>
  </w:style>
  <w:style w:type="paragraph" w:styleId="Heading3">
    <w:name w:val="heading 3"/>
    <w:basedOn w:val="HeadingBase"/>
    <w:next w:val="BodyText"/>
    <w:link w:val="Heading3Char"/>
    <w:qFormat/>
    <w:rsid w:val="00F75BDF"/>
    <w:pPr>
      <w:spacing w:before="180" w:after="120"/>
      <w:outlineLvl w:val="2"/>
    </w:pPr>
    <w:rPr>
      <w:spacing w:val="-10"/>
      <w:kern w:val="32"/>
    </w:rPr>
  </w:style>
  <w:style w:type="paragraph" w:styleId="Heading4">
    <w:name w:val="heading 4"/>
    <w:basedOn w:val="HeadingBase"/>
    <w:next w:val="BodyText"/>
    <w:link w:val="Heading4Char"/>
    <w:qFormat/>
    <w:rsid w:val="00F75BDF"/>
    <w:pPr>
      <w:spacing w:before="160" w:after="120"/>
      <w:outlineLvl w:val="3"/>
    </w:pPr>
    <w:rPr>
      <w:sz w:val="22"/>
    </w:rPr>
  </w:style>
  <w:style w:type="paragraph" w:styleId="Heading5">
    <w:name w:val="heading 5"/>
    <w:basedOn w:val="HeadingBase"/>
    <w:next w:val="Normal"/>
    <w:link w:val="Heading5Char"/>
    <w:qFormat/>
    <w:rsid w:val="00F75BDF"/>
    <w:pPr>
      <w:spacing w:before="80"/>
      <w:outlineLvl w:val="4"/>
    </w:pPr>
    <w:rPr>
      <w:color w:val="918585"/>
      <w:sz w:val="20"/>
    </w:rPr>
  </w:style>
  <w:style w:type="paragraph" w:styleId="Heading6">
    <w:name w:val="heading 6"/>
    <w:basedOn w:val="HeadingBase"/>
    <w:next w:val="Normal"/>
    <w:link w:val="Heading6Char"/>
    <w:qFormat/>
    <w:rsid w:val="00F75BDF"/>
    <w:pPr>
      <w:spacing w:before="60"/>
      <w:outlineLvl w:val="5"/>
    </w:pPr>
    <w:rPr>
      <w:color w:val="918585"/>
      <w:sz w:val="20"/>
    </w:rPr>
  </w:style>
  <w:style w:type="paragraph" w:styleId="Heading7">
    <w:name w:val="heading 7"/>
    <w:basedOn w:val="Normal"/>
    <w:next w:val="Normal"/>
    <w:link w:val="Heading7Char"/>
    <w:qFormat/>
    <w:rsid w:val="00F75BDF"/>
    <w:pPr>
      <w:ind w:left="720"/>
      <w:outlineLvl w:val="6"/>
    </w:pPr>
    <w:rPr>
      <w:i/>
    </w:rPr>
  </w:style>
  <w:style w:type="paragraph" w:styleId="Heading8">
    <w:name w:val="heading 8"/>
    <w:basedOn w:val="Normal"/>
    <w:next w:val="Normal"/>
    <w:link w:val="Heading8Char"/>
    <w:qFormat/>
    <w:rsid w:val="00F75BDF"/>
    <w:pPr>
      <w:ind w:left="720"/>
      <w:outlineLvl w:val="7"/>
    </w:pPr>
    <w:rPr>
      <w:i/>
    </w:rPr>
  </w:style>
  <w:style w:type="paragraph" w:styleId="Heading9">
    <w:name w:val="heading 9"/>
    <w:basedOn w:val="Normal"/>
    <w:next w:val="Normal"/>
    <w:link w:val="Heading9Char"/>
    <w:qFormat/>
    <w:rsid w:val="00F75BDF"/>
    <w:pPr>
      <w:ind w:left="720"/>
      <w:outlineLvl w:val="8"/>
    </w:pPr>
    <w:rPr>
      <w:i/>
    </w:rPr>
  </w:style>
  <w:style w:type="character" w:default="1" w:styleId="DefaultParagraphFont">
    <w:name w:val="Default Paragraph Font"/>
    <w:uiPriority w:val="1"/>
    <w:unhideWhenUsed/>
    <w:rsid w:val="00F75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BDF"/>
  </w:style>
  <w:style w:type="character" w:customStyle="1" w:styleId="Heading1Char">
    <w:name w:val="Heading 1 Char"/>
    <w:basedOn w:val="DefaultParagraphFont"/>
    <w:link w:val="Heading1"/>
    <w:rsid w:val="00F75BDF"/>
    <w:rPr>
      <w:rFonts w:ascii="Times New Roman" w:eastAsia="Times New Roman" w:hAnsi="Times New Roman" w:cs="Times New Roman"/>
      <w:b/>
      <w:sz w:val="32"/>
      <w:szCs w:val="20"/>
      <w:lang w:eastAsia="en-US"/>
    </w:rPr>
  </w:style>
  <w:style w:type="paragraph" w:styleId="BodyText">
    <w:name w:val="Body Text"/>
    <w:basedOn w:val="Normal"/>
    <w:link w:val="BodyTextChar"/>
    <w:rsid w:val="00F75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5BDF"/>
    <w:rPr>
      <w:rFonts w:ascii="Times New Roman" w:eastAsia="Times New Roman" w:hAnsi="Times New Roman" w:cs="Times New Roman"/>
      <w:sz w:val="24"/>
      <w:lang w:eastAsia="en-US"/>
    </w:rPr>
  </w:style>
  <w:style w:type="paragraph" w:styleId="Footer">
    <w:name w:val="footer"/>
    <w:basedOn w:val="Normal"/>
    <w:link w:val="FooterChar"/>
    <w:rsid w:val="00F75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BDF"/>
    <w:rPr>
      <w:rFonts w:ascii="Times New Roman" w:eastAsia="Times New Roman" w:hAnsi="Times New Roman" w:cs="Times New Roman"/>
      <w:sz w:val="16"/>
      <w:lang w:eastAsia="en-US"/>
    </w:rPr>
  </w:style>
  <w:style w:type="paragraph" w:styleId="List">
    <w:name w:val="List"/>
    <w:basedOn w:val="BodyText"/>
    <w:next w:val="BodyText"/>
    <w:rsid w:val="00F75BDF"/>
    <w:pPr>
      <w:tabs>
        <w:tab w:val="left" w:pos="340"/>
      </w:tabs>
      <w:spacing w:before="60" w:after="60"/>
      <w:ind w:left="340" w:hanging="340"/>
    </w:pPr>
  </w:style>
  <w:style w:type="paragraph" w:styleId="ListBullet">
    <w:name w:val="List Bullet"/>
    <w:basedOn w:val="List"/>
    <w:rsid w:val="00F75BDF"/>
    <w:pPr>
      <w:numPr>
        <w:numId w:val="13"/>
      </w:numPr>
      <w:tabs>
        <w:tab w:val="clear" w:pos="340"/>
      </w:tabs>
      <w:spacing w:before="40" w:after="40"/>
    </w:pPr>
  </w:style>
  <w:style w:type="character" w:customStyle="1" w:styleId="SpecialBold">
    <w:name w:val="Special Bold"/>
    <w:basedOn w:val="DefaultParagraphFont"/>
    <w:rsid w:val="00F75BDF"/>
    <w:rPr>
      <w:b/>
      <w:spacing w:val="0"/>
    </w:rPr>
  </w:style>
  <w:style w:type="paragraph" w:styleId="ListBullet2">
    <w:name w:val="List Bullet 2"/>
    <w:basedOn w:val="List2"/>
    <w:rsid w:val="00F75BDF"/>
    <w:pPr>
      <w:numPr>
        <w:numId w:val="14"/>
      </w:numPr>
      <w:tabs>
        <w:tab w:val="clear" w:pos="680"/>
      </w:tabs>
    </w:pPr>
  </w:style>
  <w:style w:type="paragraph" w:customStyle="1" w:styleId="SuperHeading">
    <w:name w:val="SuperHeading"/>
    <w:basedOn w:val="Normal"/>
    <w:rsid w:val="00F75BDF"/>
    <w:pPr>
      <w:spacing w:before="240" w:after="120"/>
      <w:outlineLvl w:val="0"/>
    </w:pPr>
    <w:rPr>
      <w:rFonts w:ascii="Times New Roman" w:hAnsi="Times New Roman"/>
      <w:b/>
      <w:sz w:val="28"/>
    </w:rPr>
  </w:style>
  <w:style w:type="paragraph" w:customStyle="1" w:styleId="AllowPageBreak">
    <w:name w:val="AllowPageBreak"/>
    <w:rsid w:val="00F75B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5BDF"/>
    <w:pPr>
      <w:tabs>
        <w:tab w:val="left" w:pos="680"/>
      </w:tabs>
      <w:spacing w:before="60" w:after="60"/>
      <w:ind w:left="680" w:hanging="340"/>
    </w:pPr>
  </w:style>
  <w:style w:type="character" w:customStyle="1" w:styleId="BoldandItalics">
    <w:name w:val="Bold and Italics"/>
    <w:qFormat/>
    <w:rsid w:val="00F75BDF"/>
    <w:rPr>
      <w:b/>
      <w:i/>
      <w:u w:val="none"/>
    </w:rPr>
  </w:style>
  <w:style w:type="character" w:customStyle="1" w:styleId="Heading2Char">
    <w:name w:val="Heading 2 Char"/>
    <w:basedOn w:val="DefaultParagraphFont"/>
    <w:link w:val="Heading2"/>
    <w:rsid w:val="00F75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B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B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BDF"/>
    <w:rPr>
      <w:rFonts w:ascii="Courier New" w:eastAsia="Times New Roman" w:hAnsi="Courier New" w:cs="Times New Roman"/>
      <w:i/>
      <w:szCs w:val="20"/>
      <w:lang w:eastAsia="en-US"/>
    </w:rPr>
  </w:style>
  <w:style w:type="paragraph" w:customStyle="1" w:styleId="HeadingBase">
    <w:name w:val="Heading Base"/>
    <w:rsid w:val="00F75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BDF"/>
    <w:pPr>
      <w:tabs>
        <w:tab w:val="right" w:leader="dot" w:pos="9072"/>
      </w:tabs>
      <w:ind w:left="567"/>
    </w:pPr>
    <w:rPr>
      <w:szCs w:val="22"/>
    </w:rPr>
  </w:style>
  <w:style w:type="paragraph" w:customStyle="1" w:styleId="TOCBase">
    <w:name w:val="TOC Base"/>
    <w:rsid w:val="00F75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BDF"/>
    <w:pPr>
      <w:tabs>
        <w:tab w:val="right" w:leader="dot" w:pos="9072"/>
      </w:tabs>
      <w:spacing w:before="40" w:after="40"/>
      <w:ind w:left="284"/>
    </w:pPr>
    <w:rPr>
      <w:rFonts w:ascii="Times New Roman" w:hAnsi="Times New Roman"/>
    </w:rPr>
  </w:style>
  <w:style w:type="paragraph" w:styleId="TOC1">
    <w:name w:val="toc 1"/>
    <w:basedOn w:val="TOCBase"/>
    <w:next w:val="Normal"/>
    <w:rsid w:val="00F75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5BDF"/>
    <w:pPr>
      <w:spacing w:before="5040"/>
      <w:jc w:val="center"/>
    </w:pPr>
    <w:rPr>
      <w:sz w:val="48"/>
      <w:szCs w:val="72"/>
      <w:lang w:val="en-US"/>
    </w:rPr>
  </w:style>
  <w:style w:type="character" w:customStyle="1" w:styleId="TitleChar">
    <w:name w:val="Title Char"/>
    <w:basedOn w:val="DefaultParagraphFont"/>
    <w:link w:val="Title"/>
    <w:rsid w:val="00F75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BDF"/>
    <w:pPr>
      <w:tabs>
        <w:tab w:val="left" w:pos="3600"/>
        <w:tab w:val="left" w:pos="3958"/>
      </w:tabs>
    </w:pPr>
  </w:style>
  <w:style w:type="paragraph" w:customStyle="1" w:styleId="Note">
    <w:name w:val="Note"/>
    <w:basedOn w:val="BodyText"/>
    <w:rsid w:val="00F75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BDF"/>
    <w:pPr>
      <w:framePr w:wrap="auto" w:hAnchor="text" w:y="6049"/>
    </w:pPr>
    <w:rPr>
      <w:color w:val="000000"/>
      <w:sz w:val="40"/>
    </w:rPr>
  </w:style>
  <w:style w:type="paragraph" w:customStyle="1" w:styleId="TOCTitle">
    <w:name w:val="TOCTitle"/>
    <w:basedOn w:val="Heading1"/>
    <w:rsid w:val="00F75BDF"/>
    <w:pPr>
      <w:spacing w:after="240"/>
      <w:jc w:val="center"/>
      <w:outlineLvl w:val="9"/>
    </w:pPr>
    <w:rPr>
      <w:caps/>
    </w:rPr>
  </w:style>
  <w:style w:type="paragraph" w:customStyle="1" w:styleId="Version">
    <w:name w:val="Version"/>
    <w:rsid w:val="00F75B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BDF"/>
    <w:pPr>
      <w:keepNext w:val="0"/>
      <w:tabs>
        <w:tab w:val="right" w:pos="4176"/>
      </w:tabs>
      <w:ind w:left="198" w:hanging="198"/>
    </w:pPr>
    <w:rPr>
      <w:rFonts w:ascii="Garamond" w:hAnsi="Garamond"/>
    </w:rPr>
  </w:style>
  <w:style w:type="paragraph" w:styleId="IndexHeading">
    <w:name w:val="index heading"/>
    <w:basedOn w:val="Normal"/>
    <w:next w:val="Index1"/>
    <w:semiHidden/>
    <w:rsid w:val="00F75BDF"/>
    <w:pPr>
      <w:spacing w:before="120" w:after="120"/>
    </w:pPr>
    <w:rPr>
      <w:rFonts w:ascii="Arial" w:hAnsi="Arial"/>
      <w:b/>
      <w:color w:val="918585"/>
      <w:sz w:val="24"/>
    </w:rPr>
  </w:style>
  <w:style w:type="paragraph" w:styleId="Header">
    <w:name w:val="header"/>
    <w:basedOn w:val="Normal"/>
    <w:link w:val="HeaderChar"/>
    <w:rsid w:val="00F75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BDF"/>
    <w:rPr>
      <w:rFonts w:ascii="Times New Roman" w:eastAsia="Times New Roman" w:hAnsi="Times New Roman" w:cs="Times New Roman"/>
      <w:sz w:val="16"/>
      <w:szCs w:val="20"/>
      <w:lang w:val="en-GB" w:eastAsia="en-US"/>
    </w:rPr>
  </w:style>
  <w:style w:type="paragraph" w:customStyle="1" w:styleId="Chapter">
    <w:name w:val="Chapter"/>
    <w:basedOn w:val="Normal"/>
    <w:rsid w:val="00F75BDF"/>
    <w:pPr>
      <w:spacing w:before="240"/>
    </w:pPr>
    <w:rPr>
      <w:rFonts w:ascii="Times New Roman" w:hAnsi="Times New Roman"/>
      <w:smallCaps/>
      <w:spacing w:val="80"/>
      <w:sz w:val="28"/>
    </w:rPr>
  </w:style>
  <w:style w:type="paragraph" w:customStyle="1" w:styleId="InChapter">
    <w:name w:val="InChapter"/>
    <w:basedOn w:val="Heading3"/>
    <w:rsid w:val="00F75BDF"/>
    <w:pPr>
      <w:spacing w:after="240"/>
      <w:outlineLvl w:val="9"/>
    </w:pPr>
    <w:rPr>
      <w:noProof/>
    </w:rPr>
  </w:style>
  <w:style w:type="paragraph" w:styleId="Index2">
    <w:name w:val="index 2"/>
    <w:basedOn w:val="Normal"/>
    <w:next w:val="Normal"/>
    <w:semiHidden/>
    <w:rsid w:val="00F75BDF"/>
    <w:pPr>
      <w:tabs>
        <w:tab w:val="right" w:pos="4176"/>
      </w:tabs>
      <w:ind w:left="568" w:hanging="284"/>
    </w:pPr>
    <w:rPr>
      <w:rFonts w:ascii="Garamond" w:hAnsi="Garamond"/>
    </w:rPr>
  </w:style>
  <w:style w:type="paragraph" w:customStyle="1" w:styleId="Byline">
    <w:name w:val="Byline"/>
    <w:rsid w:val="00F75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BDF"/>
    <w:pPr>
      <w:tabs>
        <w:tab w:val="clear" w:pos="3600"/>
        <w:tab w:val="clear" w:pos="3958"/>
      </w:tabs>
      <w:jc w:val="right"/>
    </w:pPr>
  </w:style>
  <w:style w:type="character" w:styleId="Emphasis">
    <w:name w:val="Emphasis"/>
    <w:basedOn w:val="DefaultParagraphFont"/>
    <w:qFormat/>
    <w:rsid w:val="00F75BDF"/>
    <w:rPr>
      <w:i/>
    </w:rPr>
  </w:style>
  <w:style w:type="paragraph" w:styleId="Caption">
    <w:name w:val="caption"/>
    <w:basedOn w:val="BodyText"/>
    <w:next w:val="Normal"/>
    <w:qFormat/>
    <w:rsid w:val="00F75BDF"/>
    <w:pPr>
      <w:framePr w:w="2268" w:hSpace="181" w:vSpace="181" w:wrap="around" w:vAnchor="text" w:hAnchor="page" w:x="1135" w:y="285" w:anchorLock="1"/>
    </w:pPr>
    <w:rPr>
      <w:i/>
    </w:rPr>
  </w:style>
  <w:style w:type="paragraph" w:customStyle="1" w:styleId="MiniTOCTitle">
    <w:name w:val="MiniTOCTitle"/>
    <w:basedOn w:val="Heading4"/>
    <w:rsid w:val="00F75BDF"/>
    <w:pPr>
      <w:spacing w:before="240"/>
      <w:outlineLvl w:val="9"/>
    </w:pPr>
    <w:rPr>
      <w:noProof/>
      <w:sz w:val="24"/>
    </w:rPr>
  </w:style>
  <w:style w:type="paragraph" w:customStyle="1" w:styleId="MiniTOCItem">
    <w:name w:val="MiniTOCItem"/>
    <w:basedOn w:val="ListBullet"/>
    <w:rsid w:val="00F75BDF"/>
    <w:pPr>
      <w:numPr>
        <w:numId w:val="0"/>
      </w:numPr>
      <w:tabs>
        <w:tab w:val="right" w:leader="dot" w:pos="6521"/>
      </w:tabs>
      <w:spacing w:before="0" w:after="0"/>
    </w:pPr>
  </w:style>
  <w:style w:type="paragraph" w:customStyle="1" w:styleId="TOFTitle">
    <w:name w:val="TOFTitle"/>
    <w:basedOn w:val="TOCTitle"/>
    <w:rsid w:val="00F75BDF"/>
  </w:style>
  <w:style w:type="paragraph" w:styleId="TableofFigures">
    <w:name w:val="table of figures"/>
    <w:basedOn w:val="Normal"/>
    <w:next w:val="Normal"/>
    <w:semiHidden/>
    <w:rsid w:val="00F75BDF"/>
    <w:pPr>
      <w:tabs>
        <w:tab w:val="right" w:leader="dot" w:pos="9072"/>
      </w:tabs>
      <w:ind w:left="970" w:hanging="403"/>
    </w:pPr>
    <w:rPr>
      <w:rFonts w:ascii="Times New Roman" w:hAnsi="Times New Roman"/>
      <w:b/>
    </w:rPr>
  </w:style>
  <w:style w:type="paragraph" w:styleId="ListNumber">
    <w:name w:val="List Number"/>
    <w:basedOn w:val="List"/>
    <w:rsid w:val="00F75BDF"/>
    <w:pPr>
      <w:numPr>
        <w:numId w:val="11"/>
      </w:numPr>
    </w:pPr>
  </w:style>
  <w:style w:type="character" w:customStyle="1" w:styleId="WingdingSymbols">
    <w:name w:val="Wingding Symbols"/>
    <w:rsid w:val="00F75BDF"/>
    <w:rPr>
      <w:rFonts w:ascii="Wingdings" w:hAnsi="Wingdings"/>
    </w:rPr>
  </w:style>
  <w:style w:type="paragraph" w:customStyle="1" w:styleId="TableHeading">
    <w:name w:val="Table Heading"/>
    <w:basedOn w:val="HeadingBase"/>
    <w:rsid w:val="00F75BDF"/>
    <w:pPr>
      <w:keepLines/>
      <w:pBdr>
        <w:bottom w:val="single" w:sz="6" w:space="1" w:color="918585"/>
      </w:pBdr>
      <w:spacing w:before="240"/>
    </w:pPr>
  </w:style>
  <w:style w:type="character" w:customStyle="1" w:styleId="HotSpot">
    <w:name w:val="HotSpot"/>
    <w:rsid w:val="00F75BDF"/>
    <w:rPr>
      <w:color w:val="0033CC"/>
      <w:u w:val="none"/>
    </w:rPr>
  </w:style>
  <w:style w:type="paragraph" w:customStyle="1" w:styleId="BodyTextRight">
    <w:name w:val="Body Text Right"/>
    <w:basedOn w:val="BodyText"/>
    <w:rsid w:val="00F75BDF"/>
    <w:pPr>
      <w:spacing w:before="0" w:after="0"/>
      <w:jc w:val="right"/>
    </w:pPr>
  </w:style>
  <w:style w:type="paragraph" w:styleId="Index3">
    <w:name w:val="index 3"/>
    <w:basedOn w:val="ListNumber2"/>
    <w:next w:val="Normal"/>
    <w:semiHidden/>
    <w:rsid w:val="00F75BDF"/>
    <w:pPr>
      <w:numPr>
        <w:numId w:val="0"/>
      </w:numPr>
      <w:tabs>
        <w:tab w:val="right" w:leader="dot" w:pos="4176"/>
      </w:tabs>
    </w:pPr>
  </w:style>
  <w:style w:type="paragraph" w:styleId="ListNumber2">
    <w:name w:val="List Number 2"/>
    <w:basedOn w:val="List2"/>
    <w:rsid w:val="00F75BDF"/>
    <w:pPr>
      <w:numPr>
        <w:numId w:val="10"/>
      </w:numPr>
      <w:tabs>
        <w:tab w:val="clear" w:pos="1060"/>
      </w:tabs>
    </w:pPr>
  </w:style>
  <w:style w:type="paragraph" w:customStyle="1" w:styleId="MarginNote">
    <w:name w:val="Margin Note"/>
    <w:basedOn w:val="BodyText"/>
    <w:rsid w:val="00F75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B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BDF"/>
    <w:rPr>
      <w:sz w:val="32"/>
    </w:rPr>
  </w:style>
  <w:style w:type="paragraph" w:customStyle="1" w:styleId="HeadingProcedure">
    <w:name w:val="Heading Procedure"/>
    <w:basedOn w:val="HeadingBase"/>
    <w:next w:val="Normal"/>
    <w:rsid w:val="00F75BDF"/>
    <w:pPr>
      <w:tabs>
        <w:tab w:val="left" w:pos="0"/>
      </w:tabs>
      <w:spacing w:before="120" w:after="60"/>
    </w:pPr>
    <w:rPr>
      <w:i/>
      <w:color w:val="918585"/>
      <w:sz w:val="22"/>
    </w:rPr>
  </w:style>
  <w:style w:type="paragraph" w:customStyle="1" w:styleId="TableBodyText">
    <w:name w:val="Table Body Text"/>
    <w:basedOn w:val="BodyText"/>
    <w:rsid w:val="00F75BDF"/>
    <w:pPr>
      <w:spacing w:before="60" w:after="60"/>
    </w:pPr>
  </w:style>
  <w:style w:type="paragraph" w:styleId="ListContinue">
    <w:name w:val="List Continue"/>
    <w:basedOn w:val="List"/>
    <w:rsid w:val="00F75BDF"/>
    <w:pPr>
      <w:ind w:firstLine="0"/>
    </w:pPr>
  </w:style>
  <w:style w:type="paragraph" w:customStyle="1" w:styleId="ListNote">
    <w:name w:val="List Note"/>
    <w:basedOn w:val="List"/>
    <w:rsid w:val="00F75BDF"/>
    <w:pPr>
      <w:pBdr>
        <w:top w:val="single" w:sz="6" w:space="2" w:color="918585"/>
        <w:bottom w:val="single" w:sz="6" w:space="2" w:color="918585"/>
      </w:pBdr>
      <w:tabs>
        <w:tab w:val="left" w:pos="1021"/>
      </w:tabs>
      <w:ind w:firstLine="0"/>
    </w:pPr>
  </w:style>
  <w:style w:type="paragraph" w:customStyle="1" w:styleId="Warning">
    <w:name w:val="Warning"/>
    <w:basedOn w:val="BodyText"/>
    <w:rsid w:val="00F75BDF"/>
    <w:pPr>
      <w:shd w:val="clear" w:color="auto" w:fill="D9D9D9"/>
      <w:tabs>
        <w:tab w:val="left" w:pos="992"/>
      </w:tabs>
      <w:ind w:left="119" w:right="119"/>
    </w:pPr>
    <w:rPr>
      <w:sz w:val="20"/>
    </w:rPr>
  </w:style>
  <w:style w:type="paragraph" w:customStyle="1" w:styleId="MarginIcons">
    <w:name w:val="Margin Icons"/>
    <w:basedOn w:val="BodyText"/>
    <w:rsid w:val="00F75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BDF"/>
    <w:rPr>
      <w:rFonts w:ascii="Courier New" w:hAnsi="Courier New"/>
    </w:rPr>
  </w:style>
  <w:style w:type="paragraph" w:customStyle="1" w:styleId="NoteBullet">
    <w:name w:val="Note Bullet"/>
    <w:basedOn w:val="Note"/>
    <w:rsid w:val="00F75BDF"/>
    <w:pPr>
      <w:tabs>
        <w:tab w:val="clear" w:pos="680"/>
      </w:tabs>
      <w:spacing w:before="60" w:after="60"/>
    </w:pPr>
  </w:style>
  <w:style w:type="paragraph" w:customStyle="1" w:styleId="SubHeading2">
    <w:name w:val="SubHeading2"/>
    <w:basedOn w:val="HeadingBase"/>
    <w:rsid w:val="00F75BDF"/>
    <w:pPr>
      <w:spacing w:before="240" w:after="60"/>
    </w:pPr>
    <w:rPr>
      <w:sz w:val="20"/>
    </w:rPr>
  </w:style>
  <w:style w:type="paragraph" w:customStyle="1" w:styleId="SubHeading1">
    <w:name w:val="SubHeading1"/>
    <w:basedOn w:val="HeadingBase"/>
    <w:rsid w:val="00F75BDF"/>
    <w:pPr>
      <w:spacing w:before="240" w:after="60"/>
    </w:pPr>
    <w:rPr>
      <w:color w:val="918585"/>
      <w:sz w:val="22"/>
    </w:rPr>
  </w:style>
  <w:style w:type="paragraph" w:customStyle="1" w:styleId="SideHeading">
    <w:name w:val="Side Heading"/>
    <w:basedOn w:val="HeadingBase"/>
    <w:rsid w:val="00F75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BDF"/>
    <w:pPr>
      <w:numPr>
        <w:numId w:val="12"/>
      </w:numPr>
    </w:pPr>
  </w:style>
  <w:style w:type="paragraph" w:styleId="PlainText">
    <w:name w:val="Plain Text"/>
    <w:basedOn w:val="Normal"/>
    <w:link w:val="PlainTextChar"/>
    <w:rsid w:val="00F75BDF"/>
    <w:rPr>
      <w:sz w:val="20"/>
    </w:rPr>
  </w:style>
  <w:style w:type="character" w:customStyle="1" w:styleId="PlainTextChar">
    <w:name w:val="Plain Text Char"/>
    <w:basedOn w:val="DefaultParagraphFont"/>
    <w:link w:val="PlainText"/>
    <w:rsid w:val="00F75BDF"/>
    <w:rPr>
      <w:rFonts w:ascii="Courier New" w:eastAsia="Times New Roman" w:hAnsi="Courier New" w:cs="Times New Roman"/>
      <w:sz w:val="20"/>
      <w:szCs w:val="20"/>
      <w:lang w:eastAsia="en-US"/>
    </w:rPr>
  </w:style>
  <w:style w:type="character" w:customStyle="1" w:styleId="MenuOption">
    <w:name w:val="Menu Option"/>
    <w:basedOn w:val="DefaultParagraphFont"/>
    <w:rsid w:val="00F75BDF"/>
    <w:rPr>
      <w:b/>
      <w:smallCaps/>
    </w:rPr>
  </w:style>
  <w:style w:type="paragraph" w:customStyle="1" w:styleId="TableListNumber">
    <w:name w:val="Table List Number"/>
    <w:basedOn w:val="ListNumber"/>
    <w:rsid w:val="00F75BDF"/>
    <w:pPr>
      <w:numPr>
        <w:numId w:val="0"/>
      </w:numPr>
    </w:pPr>
  </w:style>
  <w:style w:type="paragraph" w:styleId="TOC4">
    <w:name w:val="toc 4"/>
    <w:basedOn w:val="TOCBase"/>
    <w:next w:val="Normal"/>
    <w:semiHidden/>
    <w:rsid w:val="00F75BDF"/>
    <w:pPr>
      <w:tabs>
        <w:tab w:val="right" w:leader="dot" w:pos="9071"/>
      </w:tabs>
      <w:ind w:left="1701"/>
    </w:pPr>
  </w:style>
  <w:style w:type="paragraph" w:customStyle="1" w:styleId="ListAlpha">
    <w:name w:val="List Alpha"/>
    <w:basedOn w:val="List"/>
    <w:rsid w:val="00F75BDF"/>
    <w:pPr>
      <w:numPr>
        <w:numId w:val="9"/>
      </w:numPr>
    </w:pPr>
  </w:style>
  <w:style w:type="paragraph" w:customStyle="1" w:styleId="ListAlpha2">
    <w:name w:val="List Alpha 2"/>
    <w:basedOn w:val="List2"/>
    <w:rsid w:val="00F75BDF"/>
    <w:pPr>
      <w:numPr>
        <w:numId w:val="8"/>
      </w:numPr>
    </w:pPr>
  </w:style>
  <w:style w:type="paragraph" w:styleId="List3">
    <w:name w:val="List 3"/>
    <w:basedOn w:val="BodyText"/>
    <w:rsid w:val="00F75BDF"/>
    <w:pPr>
      <w:tabs>
        <w:tab w:val="left" w:pos="1021"/>
      </w:tabs>
      <w:spacing w:before="60" w:after="60"/>
      <w:ind w:left="1020" w:hanging="340"/>
    </w:pPr>
  </w:style>
  <w:style w:type="paragraph" w:styleId="List4">
    <w:name w:val="List 4"/>
    <w:basedOn w:val="BodyText"/>
    <w:rsid w:val="00F75BDF"/>
    <w:pPr>
      <w:tabs>
        <w:tab w:val="left" w:pos="1361"/>
      </w:tabs>
      <w:spacing w:before="60" w:after="60"/>
      <w:ind w:left="1361" w:hanging="340"/>
    </w:pPr>
  </w:style>
  <w:style w:type="paragraph" w:styleId="List5">
    <w:name w:val="List 5"/>
    <w:basedOn w:val="BodyText"/>
    <w:rsid w:val="00F75BDF"/>
    <w:pPr>
      <w:tabs>
        <w:tab w:val="left" w:pos="1701"/>
      </w:tabs>
      <w:spacing w:before="60" w:after="60"/>
      <w:ind w:left="1701" w:hanging="340"/>
    </w:pPr>
  </w:style>
  <w:style w:type="paragraph" w:styleId="ListBullet3">
    <w:name w:val="List Bullet 3"/>
    <w:basedOn w:val="List3"/>
    <w:rsid w:val="00F75BDF"/>
    <w:pPr>
      <w:numPr>
        <w:numId w:val="15"/>
      </w:numPr>
      <w:tabs>
        <w:tab w:val="clear" w:pos="1021"/>
      </w:tabs>
      <w:ind w:left="1037" w:hanging="357"/>
    </w:pPr>
  </w:style>
  <w:style w:type="paragraph" w:styleId="ListBullet4">
    <w:name w:val="List Bullet 4"/>
    <w:basedOn w:val="List4"/>
    <w:rsid w:val="00F75BDF"/>
    <w:pPr>
      <w:numPr>
        <w:numId w:val="3"/>
      </w:numPr>
    </w:pPr>
  </w:style>
  <w:style w:type="paragraph" w:styleId="ListBullet5">
    <w:name w:val="List Bullet 5"/>
    <w:basedOn w:val="List5"/>
    <w:rsid w:val="00F75BDF"/>
    <w:pPr>
      <w:numPr>
        <w:numId w:val="4"/>
      </w:numPr>
    </w:pPr>
  </w:style>
  <w:style w:type="paragraph" w:styleId="ListContinue2">
    <w:name w:val="List Continue 2"/>
    <w:basedOn w:val="List2"/>
    <w:rsid w:val="00F75BDF"/>
    <w:pPr>
      <w:ind w:firstLine="0"/>
    </w:pPr>
  </w:style>
  <w:style w:type="paragraph" w:styleId="ListContinue3">
    <w:name w:val="List Continue 3"/>
    <w:basedOn w:val="List3"/>
    <w:rsid w:val="00F75BDF"/>
    <w:pPr>
      <w:ind w:left="1021" w:firstLine="0"/>
    </w:pPr>
  </w:style>
  <w:style w:type="paragraph" w:styleId="ListContinue4">
    <w:name w:val="List Continue 4"/>
    <w:basedOn w:val="List4"/>
    <w:rsid w:val="00F75BDF"/>
    <w:pPr>
      <w:ind w:firstLine="0"/>
    </w:pPr>
  </w:style>
  <w:style w:type="paragraph" w:styleId="ListContinue5">
    <w:name w:val="List Continue 5"/>
    <w:basedOn w:val="List5"/>
    <w:rsid w:val="00F75BDF"/>
    <w:pPr>
      <w:ind w:firstLine="0"/>
    </w:pPr>
  </w:style>
  <w:style w:type="paragraph" w:styleId="ListNumber3">
    <w:name w:val="List Number 3"/>
    <w:basedOn w:val="List3"/>
    <w:rsid w:val="00F75BDF"/>
    <w:pPr>
      <w:numPr>
        <w:numId w:val="5"/>
      </w:numPr>
    </w:pPr>
  </w:style>
  <w:style w:type="paragraph" w:styleId="ListNumber4">
    <w:name w:val="List Number 4"/>
    <w:basedOn w:val="List4"/>
    <w:rsid w:val="00F75BDF"/>
    <w:pPr>
      <w:numPr>
        <w:numId w:val="6"/>
      </w:numPr>
    </w:pPr>
  </w:style>
  <w:style w:type="paragraph" w:styleId="ListNumber5">
    <w:name w:val="List Number 5"/>
    <w:basedOn w:val="List5"/>
    <w:rsid w:val="00F75BDF"/>
    <w:pPr>
      <w:numPr>
        <w:numId w:val="7"/>
      </w:numPr>
    </w:pPr>
  </w:style>
  <w:style w:type="paragraph" w:styleId="BlockText">
    <w:name w:val="Block Text"/>
    <w:basedOn w:val="Normal"/>
    <w:rsid w:val="00F75BDF"/>
    <w:pPr>
      <w:spacing w:after="120"/>
      <w:ind w:left="1440" w:right="1440"/>
    </w:pPr>
  </w:style>
  <w:style w:type="character" w:customStyle="1" w:styleId="Subscript">
    <w:name w:val="Subscript"/>
    <w:basedOn w:val="DefaultParagraphFont"/>
    <w:rsid w:val="00F75BDF"/>
    <w:rPr>
      <w:sz w:val="16"/>
      <w:vertAlign w:val="subscript"/>
    </w:rPr>
  </w:style>
  <w:style w:type="character" w:customStyle="1" w:styleId="Superscript">
    <w:name w:val="Superscript"/>
    <w:basedOn w:val="DefaultParagraphFont"/>
    <w:rsid w:val="00F75BDF"/>
    <w:rPr>
      <w:sz w:val="16"/>
      <w:vertAlign w:val="superscript"/>
    </w:rPr>
  </w:style>
  <w:style w:type="character" w:customStyle="1" w:styleId="Symbols">
    <w:name w:val="Symbols"/>
    <w:basedOn w:val="DefaultParagraphFont"/>
    <w:rsid w:val="00F75BDF"/>
    <w:rPr>
      <w:rFonts w:ascii="Symbol" w:hAnsi="Symbol"/>
    </w:rPr>
  </w:style>
  <w:style w:type="character" w:customStyle="1" w:styleId="MenuOptions">
    <w:name w:val="Menu Options"/>
    <w:basedOn w:val="DefaultParagraphFont"/>
    <w:rsid w:val="00F75BDF"/>
    <w:rPr>
      <w:rFonts w:ascii="Arial Narrow" w:hAnsi="Arial Narrow"/>
      <w:smallCaps/>
    </w:rPr>
  </w:style>
  <w:style w:type="character" w:customStyle="1" w:styleId="Buttons">
    <w:name w:val="Buttons"/>
    <w:basedOn w:val="DefaultParagraphFont"/>
    <w:rsid w:val="00F75BDF"/>
    <w:rPr>
      <w:b/>
    </w:rPr>
  </w:style>
  <w:style w:type="character" w:customStyle="1" w:styleId="Underlined">
    <w:name w:val="Underlined"/>
    <w:basedOn w:val="DefaultParagraphFont"/>
    <w:rsid w:val="00F75BDF"/>
    <w:rPr>
      <w:u w:val="single"/>
    </w:rPr>
  </w:style>
  <w:style w:type="paragraph" w:customStyle="1" w:styleId="TableBodyTextRight">
    <w:name w:val="Table Body Text Right"/>
    <w:basedOn w:val="TableBodyText"/>
    <w:rsid w:val="00F75BDF"/>
    <w:pPr>
      <w:widowControl w:val="0"/>
      <w:autoSpaceDE w:val="0"/>
      <w:autoSpaceDN w:val="0"/>
      <w:adjustRightInd w:val="0"/>
      <w:jc w:val="right"/>
    </w:pPr>
    <w:rPr>
      <w:rFonts w:cs="Arial"/>
      <w:szCs w:val="18"/>
    </w:rPr>
  </w:style>
  <w:style w:type="paragraph" w:customStyle="1" w:styleId="CopyrightText">
    <w:name w:val="Copyright Text"/>
    <w:basedOn w:val="BodyText"/>
    <w:rsid w:val="00F75BDF"/>
    <w:rPr>
      <w:sz w:val="18"/>
    </w:rPr>
  </w:style>
  <w:style w:type="paragraph" w:customStyle="1" w:styleId="BodySmallRight">
    <w:name w:val="Body Small Right"/>
    <w:basedOn w:val="BodyTextRight"/>
    <w:rsid w:val="00F75BDF"/>
    <w:rPr>
      <w:sz w:val="18"/>
      <w:szCs w:val="18"/>
    </w:rPr>
  </w:style>
  <w:style w:type="paragraph" w:customStyle="1" w:styleId="MarginEdition">
    <w:name w:val="Margin Edition"/>
    <w:basedOn w:val="MarginNote"/>
    <w:rsid w:val="00F75BDF"/>
    <w:pPr>
      <w:spacing w:before="0" w:after="0"/>
    </w:pPr>
    <w:rPr>
      <w:rFonts w:ascii="Times New Roman" w:hAnsi="Times New Roman"/>
      <w:color w:val="999999"/>
    </w:rPr>
  </w:style>
  <w:style w:type="paragraph" w:customStyle="1" w:styleId="Spacer">
    <w:name w:val="Spacer"/>
    <w:basedOn w:val="Normal"/>
    <w:rsid w:val="00F75BDF"/>
    <w:rPr>
      <w:sz w:val="2"/>
      <w:szCs w:val="2"/>
    </w:rPr>
  </w:style>
  <w:style w:type="character" w:customStyle="1" w:styleId="Small">
    <w:name w:val="Small"/>
    <w:basedOn w:val="DefaultParagraphFont"/>
    <w:rsid w:val="00F75BDF"/>
    <w:rPr>
      <w:sz w:val="16"/>
    </w:rPr>
  </w:style>
  <w:style w:type="paragraph" w:customStyle="1" w:styleId="WideTable">
    <w:name w:val="Wide Table"/>
    <w:basedOn w:val="Normal"/>
    <w:rsid w:val="00F75BDF"/>
    <w:pPr>
      <w:ind w:left="-1418"/>
    </w:pPr>
    <w:rPr>
      <w:sz w:val="2"/>
      <w:szCs w:val="2"/>
    </w:rPr>
  </w:style>
  <w:style w:type="character" w:styleId="PageNumber">
    <w:name w:val="page number"/>
    <w:basedOn w:val="DefaultParagraphFont"/>
    <w:rsid w:val="00F75BDF"/>
  </w:style>
  <w:style w:type="paragraph" w:styleId="Quote">
    <w:name w:val="Quote"/>
    <w:basedOn w:val="Heading1"/>
    <w:link w:val="QuoteChar"/>
    <w:qFormat/>
    <w:rsid w:val="00F75BDF"/>
    <w:rPr>
      <w:b w:val="0"/>
      <w:sz w:val="72"/>
      <w:szCs w:val="72"/>
      <w:lang w:val="en-NZ"/>
    </w:rPr>
  </w:style>
  <w:style w:type="character" w:customStyle="1" w:styleId="QuoteChar">
    <w:name w:val="Quote Char"/>
    <w:basedOn w:val="DefaultParagraphFont"/>
    <w:link w:val="Quote"/>
    <w:rsid w:val="00F75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BDF"/>
    <w:pPr>
      <w:pageBreakBefore/>
    </w:pPr>
  </w:style>
  <w:style w:type="paragraph" w:customStyle="1" w:styleId="Border">
    <w:name w:val="Border"/>
    <w:basedOn w:val="Normal"/>
    <w:qFormat/>
    <w:rsid w:val="00F75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BDF"/>
    <w:rPr>
      <w:b/>
      <w:bCs/>
      <w:i/>
      <w:iCs/>
      <w:color w:val="auto"/>
    </w:rPr>
  </w:style>
  <w:style w:type="paragraph" w:styleId="IntenseQuote">
    <w:name w:val="Intense Quote"/>
    <w:basedOn w:val="Normal"/>
    <w:next w:val="Normal"/>
    <w:link w:val="IntenseQuoteChar"/>
    <w:uiPriority w:val="30"/>
    <w:qFormat/>
    <w:rsid w:val="00F75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B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BDF"/>
    <w:rPr>
      <w:smallCaps/>
      <w:color w:val="auto"/>
      <w:u w:val="single"/>
    </w:rPr>
  </w:style>
  <w:style w:type="character" w:styleId="IntenseReference">
    <w:name w:val="Intense Reference"/>
    <w:basedOn w:val="DefaultParagraphFont"/>
    <w:uiPriority w:val="32"/>
    <w:qFormat/>
    <w:rsid w:val="00F75BDF"/>
    <w:rPr>
      <w:b/>
      <w:bCs/>
      <w:smallCaps/>
      <w:color w:val="auto"/>
      <w:spacing w:val="5"/>
      <w:u w:val="single"/>
    </w:rPr>
  </w:style>
  <w:style w:type="paragraph" w:customStyle="1" w:styleId="2ColumnHeading">
    <w:name w:val="2Column Heading"/>
    <w:basedOn w:val="BodyText"/>
    <w:qFormat/>
    <w:rsid w:val="00F75BDF"/>
    <w:pPr>
      <w:spacing w:after="60"/>
      <w:ind w:left="-2268"/>
    </w:pPr>
    <w:rPr>
      <w:b/>
    </w:rPr>
  </w:style>
  <w:style w:type="paragraph" w:customStyle="1" w:styleId="Heading1TOC">
    <w:name w:val="Heading1 TOC"/>
    <w:basedOn w:val="Normal"/>
    <w:qFormat/>
    <w:rsid w:val="00F75BDF"/>
    <w:pPr>
      <w:spacing w:before="240" w:after="120"/>
    </w:pPr>
    <w:rPr>
      <w:rFonts w:ascii="Times New Roman" w:hAnsi="Times New Roman"/>
      <w:b/>
      <w:sz w:val="32"/>
    </w:rPr>
  </w:style>
  <w:style w:type="paragraph" w:customStyle="1" w:styleId="Heading2TOC">
    <w:name w:val="Heading2 TOC"/>
    <w:basedOn w:val="Normal"/>
    <w:qFormat/>
    <w:rsid w:val="00F75BDF"/>
    <w:pPr>
      <w:spacing w:before="240" w:after="60"/>
    </w:pPr>
    <w:rPr>
      <w:rFonts w:ascii="Times New Roman" w:hAnsi="Times New Roman"/>
      <w:b/>
      <w:sz w:val="28"/>
    </w:rPr>
  </w:style>
  <w:style w:type="character" w:customStyle="1" w:styleId="Underline">
    <w:name w:val="Underline"/>
    <w:basedOn w:val="DefaultParagraphFont"/>
    <w:qFormat/>
    <w:rsid w:val="00F75BDF"/>
    <w:rPr>
      <w:u w:val="single"/>
    </w:rPr>
  </w:style>
  <w:style w:type="paragraph" w:styleId="BalloonText">
    <w:name w:val="Balloon Text"/>
    <w:basedOn w:val="Normal"/>
    <w:link w:val="BalloonTextChar"/>
    <w:rsid w:val="00F75BDF"/>
    <w:rPr>
      <w:rFonts w:ascii="Tahoma" w:hAnsi="Tahoma" w:cs="Tahoma"/>
      <w:sz w:val="16"/>
      <w:szCs w:val="16"/>
    </w:rPr>
  </w:style>
  <w:style w:type="character" w:customStyle="1" w:styleId="BalloonTextChar">
    <w:name w:val="Balloon Text Char"/>
    <w:basedOn w:val="DefaultParagraphFont"/>
    <w:link w:val="BalloonText"/>
    <w:rsid w:val="00F75B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5B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BDF"/>
    <w:rPr>
      <w:b/>
      <w:color w:val="660033"/>
      <w:spacing w:val="0"/>
    </w:rPr>
  </w:style>
  <w:style w:type="paragraph" w:customStyle="1" w:styleId="Nameditemlist">
    <w:name w:val="Named item list"/>
    <w:basedOn w:val="BodyText"/>
    <w:qFormat/>
    <w:rsid w:val="00F75B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1201</Words>
  <Characters>7755</Characters>
  <Application>Microsoft Office Word</Application>
  <DocSecurity>0</DocSecurity>
  <Lines>222</Lines>
  <Paragraphs>92</Paragraphs>
  <ScaleCrop>false</ScaleCrop>
  <Company>Author-it Software Corporation Ltd.</Company>
  <LinksUpToDate>false</LinksUpToDate>
  <CharactersWithSpaces>8883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MEA238B Perform routine removal and installation of miscellaneous aircraft electrical hardware/components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2012-10-05T07:26:00Z</dcterms:created>
  <dcterms:modified xsi:type="dcterms:W3CDTF">2012-10-05T07:26:00Z</dcterms:modified>
</cp:coreProperties>
</file>