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502" w:rsidP="00945502">
      <w:pPr>
        <w:pStyle w:val="Title"/>
      </w:pPr>
      <w:bookmarkStart w:id="0" w:name="_GoBack"/>
      <w:bookmarkEnd w:id="0"/>
      <w:r>
        <w:fldChar w:fldCharType="begin"/>
      </w:r>
      <w:r>
        <w:instrText xml:space="preserve"> TITLE   \* MERGEFORMAT </w:instrText>
      </w:r>
      <w:r>
        <w:fldChar w:fldCharType="separate"/>
      </w:r>
      <w:r>
        <w:t>MEA235B Perform advanced troubleshooting in aircraft avionic maintenance</w:t>
      </w:r>
      <w:r>
        <w:fldChar w:fldCharType="end"/>
      </w:r>
    </w:p>
    <w:p w:rsidR="00945502" w:rsidP="00945502">
      <w:pPr>
        <w:pStyle w:val="Version"/>
        <w:sectPr w:rsidSect="007F37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F3768" w:rsidP="007F3768">
      <w:pPr>
        <w:pStyle w:val="SuperHeading"/>
      </w:pPr>
      <w:r w:rsidRPr="007F3768">
        <w:t>MEA235B Perform advanced troubleshooting in aircraft avionic maintenance</w:t>
      </w:r>
    </w:p>
    <w:p w:rsidR="00000000" w:rsidRPr="007F3768" w:rsidP="007F3768">
      <w:pPr>
        <w:pStyle w:val="SuperHeading"/>
      </w:pPr>
    </w:p>
    <w:p w:rsidR="00000000" w:rsidRPr="007F3768" w:rsidP="007F3768">
      <w:pPr>
        <w:pStyle w:val="Heading1"/>
      </w:pPr>
      <w:bookmarkStart w:id="1" w:name="O_399939"/>
      <w:bookmarkEnd w:id="1"/>
      <w:r w:rsidRPr="007F3768">
        <w:t>Modification History</w:t>
      </w:r>
    </w:p>
    <w:p w:rsidR="00000000" w:rsidRPr="007F3768" w:rsidP="007F3768">
      <w:pPr>
        <w:pStyle w:val="BodyText"/>
      </w:pPr>
      <w:r w:rsidRPr="007F3768">
        <w:t>Minor formatting and editorial changes made.</w:t>
      </w:r>
    </w:p>
    <w:p w:rsidR="00000000" w:rsidRPr="007F3768" w:rsidP="007F3768">
      <w:pPr>
        <w:pStyle w:val="AllowPageBreak"/>
      </w:pPr>
    </w:p>
    <w:p w:rsidR="00000000" w:rsidRPr="007F3768" w:rsidP="007F3768">
      <w:pPr>
        <w:pStyle w:val="Heading1"/>
      </w:pPr>
      <w:bookmarkStart w:id="2" w:name="O_399935"/>
      <w:bookmarkEnd w:id="2"/>
      <w:r w:rsidRPr="007F3768">
        <w:t>Unit Descriptor</w:t>
      </w:r>
    </w:p>
    <w:tbl>
      <w:tblPr>
        <w:tblW w:w="0" w:type="auto"/>
        <w:tblLayout w:type="fixed"/>
        <w:tblCellMar>
          <w:left w:w="62" w:type="dxa"/>
          <w:right w:w="62" w:type="dxa"/>
        </w:tblCellMar>
        <w:tblLook w:val="0000"/>
      </w:tblPr>
      <w:tblGrid>
        <w:gridCol w:w="8550"/>
      </w:tblGrid>
      <w:tr w:rsidTr="00945502">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7F3768" w:rsidP="007F3768">
            <w:pPr>
              <w:pStyle w:val="BodyText"/>
            </w:pPr>
            <w:r w:rsidRPr="007F3768">
              <w:t>This unit covers competencies required to progress from an Aircraft Maintenance Engineer at Certificate IV to the granting of a B2 Aircraft Maintenance Engineer Licence or Aircraft Maintenance Specialist Certificate under Civil Aviat</w:t>
            </w:r>
            <w:r w:rsidRPr="007F3768">
              <w:t>ion Safety Regulation (CASR) Part 66, in accordance with the licensing provisions in the Assessment Guidelines.</w:t>
            </w:r>
          </w:p>
          <w:p w:rsidR="00000000" w:rsidRPr="007F3768" w:rsidP="007F3768">
            <w:pPr>
              <w:pStyle w:val="BodyText"/>
            </w:pPr>
            <w:r w:rsidRPr="007F3768">
              <w:t>The skills and knowledge covered by the units of competency listed in the Aeroskills Training Package for Aircraft Maintenance Engineer (Avionic</w:t>
            </w:r>
            <w:r w:rsidRPr="007F3768">
              <w:t>s or Mechanical as applicable) at Certificate IV are pre-requisite to the attainment of the elements of competency specified in this unit. This includes full coverage of the CASR Part 66 Avionics or Mechanical Syllabus subjects/topics listed in the Assessm</w:t>
            </w:r>
            <w:r w:rsidRPr="007F3768">
              <w:t>ent Guidelines.</w:t>
            </w: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3" w:name="O_399948"/>
      <w:bookmarkEnd w:id="3"/>
      <w:r w:rsidRPr="007F3768">
        <w:t>Application of the Unit</w:t>
      </w:r>
    </w:p>
    <w:tbl>
      <w:tblPr>
        <w:tblW w:w="0" w:type="auto"/>
        <w:tblLayout w:type="fixed"/>
        <w:tblCellMar>
          <w:left w:w="62" w:type="dxa"/>
          <w:right w:w="62" w:type="dxa"/>
        </w:tblCellMar>
        <w:tblLook w:val="0000"/>
      </w:tblPr>
      <w:tblGrid>
        <w:gridCol w:w="8460"/>
      </w:tblGrid>
      <w:tr w:rsidTr="009455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3768" w:rsidP="007F3768">
            <w:pPr>
              <w:pStyle w:val="BodyText"/>
            </w:pPr>
            <w:r w:rsidRPr="007F3768">
              <w:t xml:space="preserve">This unit requires application of hand skills and the use of fundamental system/component knowledge and applicable maintenance publications </w:t>
            </w:r>
            <w:r w:rsidRPr="007F3768">
              <w:t>and test equipment to troubleshoot faults in avionic systems that are beyond the bounds of maintenance manual fault diagnosis guides.</w:t>
            </w:r>
          </w:p>
          <w:p w:rsidR="00000000" w:rsidRPr="007F3768" w:rsidP="007F3768">
            <w:pPr>
              <w:pStyle w:val="BodyText"/>
            </w:pPr>
            <w:r w:rsidRPr="007F3768">
              <w:t>Applications include fixed and rotary wing aircraft</w:t>
            </w: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4" w:name="O_399940"/>
      <w:bookmarkEnd w:id="4"/>
      <w:r w:rsidRPr="007F3768">
        <w:t>Licensing/Regulatory Information</w:t>
      </w:r>
    </w:p>
    <w:p w:rsidR="00000000" w:rsidRPr="007F3768" w:rsidP="007F3768">
      <w:pPr>
        <w:pStyle w:val="BodyText"/>
      </w:pPr>
      <w:r w:rsidRPr="007F3768">
        <w:t>Not applicable.</w:t>
      </w:r>
    </w:p>
    <w:p w:rsidR="00000000" w:rsidRPr="007F3768" w:rsidP="007F3768">
      <w:pPr>
        <w:pStyle w:val="AllowPageBreak"/>
      </w:pPr>
    </w:p>
    <w:p w:rsidR="00000000" w:rsidRPr="007F3768" w:rsidP="007F3768">
      <w:pPr>
        <w:pStyle w:val="Heading1"/>
      </w:pPr>
      <w:bookmarkStart w:id="5" w:name="O_399938"/>
      <w:bookmarkEnd w:id="5"/>
      <w:r w:rsidRPr="007F3768">
        <w:t>Pre-Requisites</w:t>
      </w:r>
    </w:p>
    <w:p w:rsidR="00000000" w:rsidRPr="007F3768" w:rsidP="007F3768">
      <w:pPr>
        <w:pStyle w:val="BodyText"/>
      </w:pPr>
      <w:r w:rsidRPr="007F3768">
        <w:t>Not applicable</w:t>
      </w:r>
    </w:p>
    <w:p w:rsidR="00000000" w:rsidRPr="007F3768" w:rsidP="007F3768">
      <w:pPr>
        <w:pStyle w:val="AllowPageBreak"/>
      </w:pPr>
    </w:p>
    <w:p w:rsidR="00000000" w:rsidRPr="007F3768" w:rsidP="007F3768">
      <w:pPr>
        <w:pStyle w:val="Heading1"/>
      </w:pPr>
      <w:bookmarkStart w:id="6" w:name="O_399943"/>
      <w:bookmarkEnd w:id="6"/>
      <w:r w:rsidRPr="007F3768">
        <w:t>Employability Skills Information</w:t>
      </w:r>
    </w:p>
    <w:tbl>
      <w:tblPr>
        <w:tblW w:w="0" w:type="auto"/>
        <w:tblLayout w:type="fixed"/>
        <w:tblCellMar>
          <w:left w:w="62" w:type="dxa"/>
          <w:right w:w="62" w:type="dxa"/>
        </w:tblCellMar>
        <w:tblLook w:val="0000"/>
      </w:tblPr>
      <w:tblGrid>
        <w:gridCol w:w="5720"/>
      </w:tblGrid>
      <w:tr w:rsidTr="0094550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F3768" w:rsidP="007F3768">
            <w:pPr>
              <w:pStyle w:val="BodyText"/>
            </w:pPr>
            <w:r w:rsidRPr="007F3768">
              <w:t>This unit contains employability skills.</w:t>
            </w: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7" w:name="O_399944"/>
      <w:bookmarkEnd w:id="7"/>
      <w:r w:rsidRPr="007F3768">
        <w:t>Elements and Performance Criteria Pre-Content</w:t>
      </w:r>
    </w:p>
    <w:tbl>
      <w:tblPr>
        <w:tblW w:w="9360" w:type="dxa"/>
        <w:tblLayout w:type="fixed"/>
        <w:tblCellMar>
          <w:left w:w="62" w:type="dxa"/>
          <w:right w:w="62" w:type="dxa"/>
        </w:tblCellMar>
        <w:tblLook w:val="0000"/>
      </w:tblPr>
      <w:tblGrid>
        <w:gridCol w:w="2572"/>
        <w:gridCol w:w="6788"/>
      </w:tblGrid>
      <w:tr w:rsidTr="00945502">
        <w:tblPrEx>
          <w:tblW w:w="9360" w:type="dxa"/>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t>Elements describe the essential outcomes of a unit of competency.</w:t>
            </w:r>
          </w:p>
        </w:tc>
        <w:tc>
          <w:tcPr>
            <w:tcW w:w="6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68" w:rsidP="007F3768">
            <w:pPr>
              <w:pStyle w:val="BodyText"/>
            </w:pPr>
            <w:r w:rsidRPr="007F3768">
              <w:t>Performance criteria describe the performance needed to demonstrate achievement of the element. Where bold italicised text is used, further information is detailed in the required skills and</w:t>
            </w:r>
            <w:r w:rsidRPr="007F3768">
              <w:t xml:space="preserve"> knowledge section and the range statement. Assessment of performance is to be consistent with the evidence guide.</w:t>
            </w: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8" w:name="O_399945"/>
      <w:bookmarkEnd w:id="8"/>
      <w:r w:rsidRPr="007F3768">
        <w:t>Elements and Performance Criteria</w:t>
      </w:r>
    </w:p>
    <w:tbl>
      <w:tblPr>
        <w:tblW w:w="0" w:type="auto"/>
        <w:tblCellMar>
          <w:left w:w="62" w:type="dxa"/>
          <w:right w:w="62" w:type="dxa"/>
        </w:tblCellMar>
        <w:tblLook w:val="0000"/>
      </w:tblPr>
      <w:tblGrid>
        <w:gridCol w:w="1891"/>
        <w:gridCol w:w="7305"/>
      </w:tblGrid>
      <w:tr w:rsidTr="009455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3768">
            <w:pPr>
              <w:pStyle w:val="List"/>
              <w:rPr>
                <w:lang w:val="en-NZ"/>
              </w:rPr>
            </w:pPr>
            <w:r w:rsidRPr="007F3768">
              <w:t>1.</w:t>
            </w:r>
            <w:r w:rsidRPr="007F3768">
              <w:tab/>
              <w:t>Verify the defect</w:t>
            </w:r>
          </w:p>
        </w:tc>
        <w:tc>
          <w:tcPr>
            <w:tcW w:w="0" w:type="auto"/>
            <w:tcBorders>
              <w:top w:val="nil"/>
              <w:left w:val="nil"/>
              <w:bottom w:val="nil"/>
              <w:right w:val="nil"/>
            </w:tcBorders>
            <w:tcMar>
              <w:top w:w="0" w:type="dxa"/>
              <w:left w:w="62" w:type="dxa"/>
              <w:bottom w:w="0" w:type="dxa"/>
              <w:right w:w="62" w:type="dxa"/>
            </w:tcMar>
          </w:tcPr>
          <w:p w:rsidR="00000000" w:rsidRPr="007F3768" w:rsidP="007F3768">
            <w:pPr>
              <w:pStyle w:val="List2"/>
            </w:pPr>
            <w:r w:rsidRPr="007F3768">
              <w:t>1.1.</w:t>
            </w:r>
            <w:r w:rsidRPr="007F3768">
              <w:tab/>
              <w:t xml:space="preserve">Available information from flight crew, such as flight phase, </w:t>
            </w:r>
            <w:r w:rsidRPr="007F3768">
              <w:t>aircraft configuration, and so on, maintenance documentation both current and previous history, is used as necessary, to assist in fault determination</w:t>
            </w:r>
          </w:p>
          <w:p w:rsidR="00000000" w:rsidRPr="007F3768" w:rsidP="007F3768">
            <w:pPr>
              <w:pStyle w:val="List2"/>
            </w:pPr>
            <w:r w:rsidRPr="007F3768">
              <w:t xml:space="preserve">1.2.Inspection of the affected </w:t>
            </w:r>
            <w:r w:rsidRPr="007F3768">
              <w:rPr>
                <w:rStyle w:val="BoldandItalics"/>
              </w:rPr>
              <w:t>system</w:t>
            </w:r>
            <w:r w:rsidRPr="007F3768">
              <w:t xml:space="preserve"> is carried out to check both physical integrity and correct operation</w:t>
            </w:r>
          </w:p>
          <w:p w:rsidR="00000000" w:rsidRPr="007F3768" w:rsidP="007F3768">
            <w:pPr>
              <w:pStyle w:val="List2"/>
            </w:pPr>
            <w:r w:rsidRPr="007F3768">
              <w:t>1.3.Information gained from Central Maintenance Systems is verified against physical integrity and correct operation, where applicable</w:t>
            </w:r>
          </w:p>
          <w:p w:rsidR="00000000" w:rsidP="007F3768">
            <w:pPr>
              <w:pStyle w:val="List2"/>
              <w:rPr>
                <w:lang w:val="en-NZ"/>
              </w:rPr>
            </w:pPr>
            <w:r w:rsidRPr="007F3768">
              <w:t>1.4. The effects on a system from interfaces/integ</w:t>
            </w:r>
            <w:r w:rsidRPr="007F3768">
              <w:t>ration with other systems are taken into account</w:t>
            </w:r>
          </w:p>
        </w:tc>
      </w:tr>
      <w:tr w:rsidTr="009455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3768">
            <w:pPr>
              <w:pStyle w:val="List"/>
              <w:rPr>
                <w:lang w:val="en-NZ"/>
              </w:rPr>
            </w:pPr>
            <w:r w:rsidRPr="007F3768">
              <w:t>2.</w:t>
            </w:r>
            <w:r w:rsidRPr="007F3768">
              <w:tab/>
              <w:t>Isolate the defect</w:t>
            </w:r>
          </w:p>
        </w:tc>
        <w:tc>
          <w:tcPr>
            <w:tcW w:w="0" w:type="auto"/>
            <w:tcBorders>
              <w:top w:val="nil"/>
              <w:left w:val="nil"/>
              <w:bottom w:val="nil"/>
              <w:right w:val="nil"/>
            </w:tcBorders>
            <w:tcMar>
              <w:top w:w="0" w:type="dxa"/>
              <w:left w:w="62" w:type="dxa"/>
              <w:bottom w:w="0" w:type="dxa"/>
              <w:right w:w="62" w:type="dxa"/>
            </w:tcMar>
          </w:tcPr>
          <w:p w:rsidR="00000000" w:rsidRPr="007F3768" w:rsidP="007F3768">
            <w:pPr>
              <w:pStyle w:val="List2"/>
            </w:pPr>
            <w:r w:rsidRPr="007F3768">
              <w:t>2.1.</w:t>
            </w:r>
            <w:r w:rsidRPr="007F3768">
              <w:tab/>
              <w:t>Logical processes including the application of basic principles and system knowledge and known facts are used to augment maintenance manual fault diagnosis guides to ensure effici</w:t>
            </w:r>
            <w:r w:rsidRPr="007F3768">
              <w:t xml:space="preserve">ent and accurate </w:t>
            </w:r>
            <w:r w:rsidRPr="007F3768">
              <w:rPr>
                <w:rStyle w:val="BoldandItalics"/>
              </w:rPr>
              <w:t>troubleshooting</w:t>
            </w:r>
          </w:p>
          <w:p w:rsidR="00000000" w:rsidRPr="007F3768" w:rsidP="007F3768">
            <w:pPr>
              <w:pStyle w:val="List2"/>
            </w:pPr>
            <w:r w:rsidRPr="007F3768">
              <w:t>2.2.</w:t>
            </w:r>
            <w:r w:rsidRPr="007F3768">
              <w:tab/>
              <w:t>Specialist advice is obtained, where required and/or available, to assist with the troubleshooting process</w:t>
            </w:r>
          </w:p>
          <w:p w:rsidR="00000000" w:rsidP="007F3768">
            <w:pPr>
              <w:pStyle w:val="List2"/>
              <w:rPr>
                <w:lang w:val="en-NZ"/>
              </w:rPr>
            </w:pPr>
            <w:r w:rsidRPr="007F3768">
              <w:t>2.3.</w:t>
            </w:r>
            <w:r w:rsidRPr="007F3768">
              <w:tab/>
              <w:t>Faults are located and the causes of the defects are clearly identified and correctly recorded in maintena</w:t>
            </w:r>
            <w:r w:rsidRPr="007F3768">
              <w:t>nce documentation including any other systems disturbed, where required</w:t>
            </w:r>
          </w:p>
        </w:tc>
      </w:tr>
      <w:tr w:rsidTr="009455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3768">
            <w:pPr>
              <w:pStyle w:val="List"/>
              <w:rPr>
                <w:lang w:val="en-NZ"/>
              </w:rPr>
            </w:pPr>
            <w:r w:rsidRPr="007F3768">
              <w:t>3.</w:t>
            </w:r>
            <w:r w:rsidRPr="007F3768">
              <w:tab/>
              <w:t>Determine defect rectification requirements</w:t>
            </w:r>
          </w:p>
        </w:tc>
        <w:tc>
          <w:tcPr>
            <w:tcW w:w="0" w:type="auto"/>
            <w:tcBorders>
              <w:top w:val="nil"/>
              <w:left w:val="nil"/>
              <w:bottom w:val="nil"/>
              <w:right w:val="nil"/>
            </w:tcBorders>
            <w:tcMar>
              <w:top w:w="0" w:type="dxa"/>
              <w:left w:w="62" w:type="dxa"/>
              <w:bottom w:w="0" w:type="dxa"/>
              <w:right w:w="62" w:type="dxa"/>
            </w:tcMar>
          </w:tcPr>
          <w:p w:rsidR="00000000" w:rsidP="007F3768">
            <w:pPr>
              <w:pStyle w:val="List2"/>
              <w:rPr>
                <w:lang w:val="en-NZ"/>
              </w:rPr>
            </w:pPr>
            <w:r w:rsidRPr="007F3768">
              <w:t>3.1.</w:t>
            </w:r>
            <w:r w:rsidRPr="007F3768">
              <w:tab/>
              <w:t>Defect rectification requirements are determined and the necessary repair action initiated once verification and isolation of the d</w:t>
            </w:r>
            <w:r w:rsidRPr="007F3768">
              <w:t>efect are confirmed</w:t>
            </w:r>
          </w:p>
        </w:tc>
      </w:tr>
      <w:tr w:rsidTr="009455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3768">
            <w:pPr>
              <w:pStyle w:val="List"/>
              <w:rPr>
                <w:lang w:val="en-NZ"/>
              </w:rPr>
            </w:pPr>
            <w:r w:rsidRPr="007F3768">
              <w:t>4.</w:t>
            </w:r>
            <w:r w:rsidRPr="007F3768">
              <w:tab/>
              <w:t>Verify defect rectification</w:t>
            </w:r>
          </w:p>
        </w:tc>
        <w:tc>
          <w:tcPr>
            <w:tcW w:w="0" w:type="auto"/>
            <w:tcBorders>
              <w:top w:val="nil"/>
              <w:left w:val="nil"/>
              <w:bottom w:val="nil"/>
              <w:right w:val="nil"/>
            </w:tcBorders>
            <w:tcMar>
              <w:top w:w="0" w:type="dxa"/>
              <w:left w:w="62" w:type="dxa"/>
              <w:bottom w:w="0" w:type="dxa"/>
              <w:right w:w="62" w:type="dxa"/>
            </w:tcMar>
          </w:tcPr>
          <w:p w:rsidR="00000000" w:rsidRPr="007F3768" w:rsidP="007F3768">
            <w:pPr>
              <w:pStyle w:val="List2"/>
            </w:pPr>
            <w:r w:rsidRPr="007F3768">
              <w:t>4.1.</w:t>
            </w:r>
            <w:r w:rsidRPr="007F3768">
              <w:tab/>
              <w:t>Defect is rectified in accordance with approved maintenance data</w:t>
            </w:r>
          </w:p>
          <w:p w:rsidR="00000000" w:rsidRPr="007F3768" w:rsidP="007F3768">
            <w:pPr>
              <w:pStyle w:val="List2"/>
            </w:pPr>
            <w:r w:rsidRPr="007F3768">
              <w:t>4.2.</w:t>
            </w:r>
            <w:r w:rsidRPr="007F3768">
              <w:tab/>
              <w:t xml:space="preserve">All systems disturbed or accessed during troubleshooting are restored as applicable using maintenance manuals, repair schemes or </w:t>
            </w:r>
            <w:r w:rsidRPr="007F3768">
              <w:t>approved maintenance data</w:t>
            </w:r>
          </w:p>
          <w:p w:rsidR="00000000" w:rsidRPr="007F3768" w:rsidP="007F3768">
            <w:pPr>
              <w:pStyle w:val="List2"/>
            </w:pPr>
            <w:r w:rsidRPr="007F3768">
              <w:t>4.3.</w:t>
            </w:r>
            <w:r w:rsidRPr="007F3768">
              <w:tab/>
              <w:t>All check(s) required by approved maintenance data to ensure correct operation of all disturbed systems are performed</w:t>
            </w: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9" w:name="O_399936"/>
      <w:bookmarkEnd w:id="9"/>
      <w:r w:rsidRPr="007F3768">
        <w:t>Required Skills and Knowledge</w:t>
      </w:r>
    </w:p>
    <w:tbl>
      <w:tblPr>
        <w:tblW w:w="9360" w:type="dxa"/>
        <w:tblLayout w:type="fixed"/>
        <w:tblCellMar>
          <w:left w:w="62" w:type="dxa"/>
          <w:right w:w="62" w:type="dxa"/>
        </w:tblCellMar>
        <w:tblLook w:val="0000"/>
      </w:tblPr>
      <w:tblGrid>
        <w:gridCol w:w="9360"/>
      </w:tblGrid>
      <w:tr w:rsidTr="0094550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F3768">
            <w:pPr>
              <w:pStyle w:val="BodyText"/>
              <w:rPr>
                <w:lang w:val="en-NZ"/>
              </w:rPr>
            </w:pPr>
            <w:r w:rsidRPr="007F3768">
              <w:rPr>
                <w:rStyle w:val="SpecialBold"/>
              </w:rPr>
              <w:t>Required skills</w:t>
            </w:r>
          </w:p>
        </w:tc>
      </w:tr>
      <w:tr w:rsidTr="0094550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F3768" w:rsidP="007F3768">
            <w:pPr>
              <w:pStyle w:val="BodyText"/>
            </w:pPr>
            <w:r w:rsidRPr="007F3768">
              <w:t>Look for evidence that confirms skills in:</w:t>
            </w:r>
          </w:p>
          <w:p w:rsidR="00000000" w:rsidP="007F3768">
            <w:pPr>
              <w:pStyle w:val="ListBullet"/>
              <w:rPr>
                <w:lang w:val="en-NZ"/>
              </w:rPr>
            </w:pPr>
            <w:r w:rsidRPr="007F3768">
              <w:t>the diagnosis of faults that are beyond the coverage of maintenance manual fault diagnosis guides in simulated applications in the training environment and/or in the workplace across a representative range of syst</w:t>
            </w:r>
            <w:r w:rsidRPr="007F3768">
              <w:t>ems and components.=</w:t>
            </w:r>
          </w:p>
        </w:tc>
      </w:tr>
      <w:tr w:rsidTr="0094550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F3768">
            <w:pPr>
              <w:pStyle w:val="BodyText"/>
              <w:rPr>
                <w:lang w:val="en-NZ"/>
              </w:rPr>
            </w:pPr>
            <w:r w:rsidRPr="007F3768">
              <w:rPr>
                <w:rStyle w:val="SpecialBold"/>
              </w:rPr>
              <w:t>Required knowledge</w:t>
            </w:r>
          </w:p>
        </w:tc>
      </w:tr>
      <w:tr w:rsidTr="0094550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F3768" w:rsidP="007F3768">
            <w:pPr>
              <w:pStyle w:val="BodyText"/>
            </w:pPr>
            <w:r w:rsidRPr="007F3768">
              <w:t>For systems and components relevant to the scope of the licence/ratings sought as per CASR Part 43 Manual of Standards, look for evidence that confirms knowledge of:</w:t>
            </w:r>
          </w:p>
          <w:p w:rsidR="00000000" w:rsidRPr="007F3768" w:rsidP="007F3768">
            <w:pPr>
              <w:pStyle w:val="ListBullet"/>
            </w:pPr>
            <w:r w:rsidRPr="007F3768">
              <w:t>theory related to system operation and interface</w:t>
            </w:r>
            <w:r w:rsidRPr="007F3768">
              <w:t>s between systems and with electrical/electronic control media to a level that will facilitate the diagnosis of faults beyond the level of maintenance manual fault diagnosis guides using reported symptoms and functional test results</w:t>
            </w:r>
          </w:p>
          <w:p w:rsidR="00000000" w:rsidRPr="007F3768" w:rsidP="007F3768">
            <w:pPr>
              <w:pStyle w:val="ListBullet"/>
            </w:pPr>
            <w:r w:rsidRPr="007F3768">
              <w:t xml:space="preserve">component construction </w:t>
            </w:r>
            <w:r w:rsidRPr="007F3768">
              <w:t>and theory of operation to a level that will facilitate the diagnosis of faults beyond the level of maintenance manual fault diagnosis guides using reported symptoms and functional test results</w:t>
            </w:r>
          </w:p>
          <w:p w:rsidR="00000000" w:rsidRPr="007F3768" w:rsidP="007F3768">
            <w:pPr>
              <w:pStyle w:val="ListBullet"/>
            </w:pPr>
            <w:r w:rsidRPr="007F3768">
              <w:t>advanced fault diagnostic techniques</w:t>
            </w:r>
          </w:p>
          <w:p w:rsidR="00000000" w:rsidRPr="007F3768" w:rsidP="007F3768">
            <w:pPr>
              <w:pStyle w:val="ListBullet"/>
            </w:pPr>
            <w:r w:rsidRPr="007F3768">
              <w:t xml:space="preserve">condition monitoring and </w:t>
            </w:r>
            <w:r w:rsidRPr="007F3768">
              <w:t>trend analysis techniques</w:t>
            </w: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10" w:name="O_399942"/>
      <w:bookmarkEnd w:id="10"/>
      <w:r w:rsidRPr="007F3768">
        <w:t>Evidence Guide</w:t>
      </w:r>
    </w:p>
    <w:tbl>
      <w:tblPr>
        <w:tblW w:w="9570" w:type="dxa"/>
        <w:tblLayout w:type="fixed"/>
        <w:tblCellMar>
          <w:left w:w="62" w:type="dxa"/>
          <w:right w:w="62" w:type="dxa"/>
        </w:tblCellMar>
        <w:tblLook w:val="0000"/>
      </w:tblPr>
      <w:tblGrid>
        <w:gridCol w:w="3908"/>
        <w:gridCol w:w="5662"/>
      </w:tblGrid>
      <w:tr w:rsidTr="009455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t>The Evidence Guide provides advice on assessment and must be read in conjunction with the performance criteria, required skills and knowledge, range statement and the Assessment Guidelines for the</w:t>
            </w:r>
            <w:r w:rsidRPr="007F3768">
              <w:t xml:space="preserve"> Training Package.</w:t>
            </w:r>
          </w:p>
        </w:tc>
      </w:tr>
      <w:tr w:rsidTr="009455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t>A person who demonstrates competency in this unit must be able to diagnose a range of system faults that are beyond the bounds of maintenance manual fault diagnosis guides while observing</w:t>
            </w:r>
            <w:r w:rsidRPr="007F3768">
              <w:t xml:space="preserve"> all relevant safety precautions.</w:t>
            </w:r>
          </w:p>
        </w:tc>
      </w:tr>
      <w:tr w:rsidTr="009455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68" w:rsidP="007F3768">
            <w:pPr>
              <w:pStyle w:val="BodyText"/>
            </w:pPr>
            <w:r w:rsidRPr="007F3768">
              <w:t>The underlying skills inherent in this unit should be transferable across a range of inspection, testing and troubleshooting app</w:t>
            </w:r>
            <w:r w:rsidRPr="007F3768">
              <w:t>lications related to avionic systems, and where applicable other system interfaces/integration. It is essential that system testing procedures, cleanliness requirements and safety precautions applicable to the system being maintained are fully observed, un</w:t>
            </w:r>
            <w:r w:rsidRPr="007F3768">
              <w:t>derstood and complied with. Ability to interpret inspection procedures and specifications (allowable limits) and apply them in practice is critical, as is the demonstrated ability to apply fundamental system theory in the logical diagnosis of complex fault</w:t>
            </w:r>
            <w:r w:rsidRPr="007F3768">
              <w:t>s.</w:t>
            </w:r>
          </w:p>
          <w:p w:rsidR="00000000" w:rsidRPr="007F3768" w:rsidP="007F3768">
            <w:pPr>
              <w:pStyle w:val="BodyText"/>
            </w:pPr>
            <w:r w:rsidRPr="007F3768">
              <w:t>Evidence of transferability of skills and knowledge related to performance and supervision of inspection, testing and troubleshooting is essential. This must be demonstrated through application across a number of aircraft avionic systems, including syst</w:t>
            </w:r>
            <w:r w:rsidRPr="007F3768">
              <w:t>em interfaces/integration. The troubleshooting approach should clearly demonstrate an in-depth knowledge of underpinning theory of a system, with this knowledge being used in a logical process to augment and extend the scope of the aircraft/system fault fi</w:t>
            </w:r>
            <w:r w:rsidRPr="007F3768">
              <w:t>nding guide. The fault rectification work plan should take account of applicable safety (including safe handling of heavy components) and quality requirements in accordance with the industry and regulatory standards.</w:t>
            </w:r>
          </w:p>
          <w:p w:rsidR="00000000" w:rsidP="007F3768">
            <w:pPr>
              <w:pStyle w:val="BodyText"/>
              <w:rPr>
                <w:lang w:val="en-NZ"/>
              </w:rPr>
            </w:pPr>
            <w:r w:rsidRPr="007F3768">
              <w:t>A person cannot be assessed as competen</w:t>
            </w:r>
            <w:r w:rsidRPr="007F3768">
              <w:t>t until it can be demonstrated to the satisfaction of the workplace assessor that the relevant elements of the Unit of Competency are being achieved under supervision without intervention and the ability has been demonstrated to identify the causes of defe</w:t>
            </w:r>
            <w:r w:rsidRPr="007F3768">
              <w:t>cts not covered fully by maintenance manual fault diagnosis guides. Competency shall be assessed via simulated activities at the CASR Part 147 Maintenance Training Organisation and through performance during observed workplace activities.</w:t>
            </w:r>
          </w:p>
        </w:tc>
      </w:tr>
      <w:tr w:rsidTr="009455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Context of and s</w:t>
            </w:r>
            <w:r w:rsidRPr="007F3768">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t>Competency is assessed in the workplace or simulated workplace and shall involve successfully dealing with a number of maintenance and fault scenarios across a range of avionic systems listed as Groups 1 to 5 in the Range S</w:t>
            </w:r>
            <w:r w:rsidRPr="007F3768">
              <w:t>tatement and related system components.</w:t>
            </w:r>
          </w:p>
        </w:tc>
      </w:tr>
      <w:tr w:rsidTr="009455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p>
        </w:tc>
      </w:tr>
      <w:tr w:rsidTr="009455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68" w:rsidP="007F3768">
            <w:pPr>
              <w:pStyle w:val="BodyText"/>
            </w:pP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11" w:name="O_399937"/>
      <w:bookmarkEnd w:id="11"/>
      <w:r w:rsidRPr="007F3768">
        <w:t>Range Statement</w:t>
      </w:r>
    </w:p>
    <w:tbl>
      <w:tblPr>
        <w:tblW w:w="9450" w:type="dxa"/>
        <w:tblLayout w:type="fixed"/>
        <w:tblCellMar>
          <w:left w:w="62" w:type="dxa"/>
          <w:right w:w="62" w:type="dxa"/>
        </w:tblCellMar>
        <w:tblLook w:val="0000"/>
      </w:tblPr>
      <w:tblGrid>
        <w:gridCol w:w="3552"/>
        <w:gridCol w:w="5898"/>
      </w:tblGrid>
      <w:tr w:rsidTr="0094550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t>The range statement relates to the unit of competency</w:t>
            </w:r>
            <w:r w:rsidRPr="007F3768">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7F3768">
              <w:t>ent (depending on the work situation, needs of the candidate, accessibility of the item, and local industry and regional contexts) may also be included.</w:t>
            </w:r>
          </w:p>
        </w:tc>
      </w:tr>
      <w:tr w:rsidTr="00945502">
        <w:tblPrEx>
          <w:tblW w:w="9450" w:type="dxa"/>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Note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t>Range statements listed below are numbered to facilitate specification of the assessment require</w:t>
            </w:r>
            <w:r w:rsidRPr="007F3768">
              <w:t>ments included in the Evidence Guide</w:t>
            </w:r>
          </w:p>
        </w:tc>
      </w:tr>
      <w:tr w:rsidTr="00945502">
        <w:tblPrEx>
          <w:tblW w:w="9450" w:type="dxa"/>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Systems and related components</w:t>
            </w:r>
            <w:r w:rsidRPr="007F3768">
              <w:t xml:space="preserve"> </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68" w:rsidP="007F3768">
            <w:pPr>
              <w:pStyle w:val="BodyText"/>
            </w:pPr>
            <w:r w:rsidRPr="007F3768">
              <w:t>Systems and related components to be covered include:</w:t>
            </w:r>
          </w:p>
          <w:p w:rsidR="00000000" w:rsidRPr="007F3768" w:rsidP="007F3768">
            <w:pPr>
              <w:pStyle w:val="BodyText"/>
            </w:pPr>
            <w:r w:rsidRPr="007F3768">
              <w:t>1.  Electrical systems</w:t>
            </w:r>
          </w:p>
          <w:p w:rsidR="00000000" w:rsidRPr="007F3768" w:rsidP="007F3768">
            <w:pPr>
              <w:pStyle w:val="BodyText"/>
            </w:pPr>
            <w:r w:rsidRPr="007F3768">
              <w:t>2.  Electronic systems</w:t>
            </w:r>
          </w:p>
          <w:p w:rsidR="00000000" w:rsidRPr="007F3768" w:rsidP="007F3768">
            <w:pPr>
              <w:pStyle w:val="BodyText"/>
            </w:pPr>
            <w:r w:rsidRPr="007F3768">
              <w:t>3.  Instrument systems</w:t>
            </w:r>
          </w:p>
          <w:p w:rsidR="00000000" w:rsidRPr="007F3768" w:rsidP="007F3768">
            <w:pPr>
              <w:pStyle w:val="BodyText"/>
            </w:pPr>
            <w:r w:rsidRPr="007F3768">
              <w:t>4.  Radio communication and navigation systems</w:t>
            </w:r>
          </w:p>
          <w:p w:rsidR="00000000" w:rsidP="007F3768">
            <w:pPr>
              <w:pStyle w:val="BodyText"/>
              <w:rPr>
                <w:lang w:val="en-NZ"/>
              </w:rPr>
            </w:pPr>
            <w:r w:rsidRPr="007F3768">
              <w:t>5.  Autoflight systems</w:t>
            </w:r>
          </w:p>
        </w:tc>
      </w:tr>
      <w:tr w:rsidTr="00945502">
        <w:tblPrEx>
          <w:tblW w:w="9450" w:type="dxa"/>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Troubleshooting</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68" w:rsidP="007F3768">
            <w:pPr>
              <w:pStyle w:val="BodyText"/>
            </w:pPr>
            <w:r w:rsidRPr="007F3768">
              <w:t>Troubleshooting, for the purpose of this unit, is defined as:</w:t>
            </w:r>
          </w:p>
          <w:p w:rsidR="00000000" w:rsidRPr="007F3768" w:rsidP="007F3768">
            <w:pPr>
              <w:pStyle w:val="ListBullet"/>
            </w:pPr>
            <w:r w:rsidRPr="007F3768">
              <w:t xml:space="preserve">the troubleshooting from first principles, of defects beyond available maintenance data in the systems of fixed or rotary wing aircraft types </w:t>
            </w:r>
          </w:p>
          <w:p w:rsidR="00000000" w:rsidRPr="007F3768" w:rsidP="007F3768">
            <w:pPr>
              <w:pStyle w:val="BodyText"/>
            </w:pPr>
            <w:r w:rsidRPr="007F3768">
              <w:t>Troubleshoo</w:t>
            </w:r>
            <w:r w:rsidRPr="007F3768">
              <w:t>ting must be demonstrated across a range of typical systems and system components that includes, but is not limited to:</w:t>
            </w:r>
          </w:p>
          <w:p w:rsidR="00000000" w:rsidP="007F3768">
            <w:pPr>
              <w:pStyle w:val="ListBullet"/>
              <w:rPr>
                <w:lang w:val="en-NZ"/>
              </w:rPr>
            </w:pPr>
            <w:r w:rsidRPr="007F3768">
              <w:t>airframes, engine(s) and other systems (and parts thereof) operated by inherently electrical, electronic, instrument or radio principles</w:t>
            </w:r>
            <w:r w:rsidRPr="007F3768">
              <w:t xml:space="preserve"> or means. Coverage is not required of specific type systems that are included in type training and PCT activities leading to a specific type licence rating</w:t>
            </w:r>
          </w:p>
        </w:tc>
      </w:tr>
      <w:tr w:rsidTr="00945502">
        <w:tblPrEx>
          <w:tblW w:w="9450" w:type="dxa"/>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Application</w:t>
            </w:r>
            <w:r w:rsidRPr="007F3768">
              <w:t xml:space="preserve"> </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68" w:rsidP="007F3768">
            <w:pPr>
              <w:pStyle w:val="BodyText"/>
            </w:pPr>
            <w:r w:rsidRPr="007F3768">
              <w:t>Application of this unit may relate to:</w:t>
            </w:r>
          </w:p>
          <w:p w:rsidR="00000000" w:rsidRPr="007F3768" w:rsidP="007F3768">
            <w:pPr>
              <w:pStyle w:val="ListBullet"/>
            </w:pPr>
            <w:r w:rsidRPr="007F3768">
              <w:t>scheduled or unscheduled maintenance activiti</w:t>
            </w:r>
            <w:r w:rsidRPr="007F3768">
              <w:t>es</w:t>
            </w:r>
          </w:p>
          <w:p w:rsidR="00000000" w:rsidP="007F3768">
            <w:pPr>
              <w:pStyle w:val="ListBullet"/>
              <w:rPr>
                <w:lang w:val="en-NZ"/>
              </w:rPr>
            </w:pPr>
            <w:r w:rsidRPr="007F3768">
              <w:t>individual activities or troubleshooting tasks performed during the supervision of other personnel</w:t>
            </w:r>
          </w:p>
        </w:tc>
      </w:tr>
      <w:tr w:rsidTr="00945502">
        <w:tblPrEx>
          <w:tblW w:w="9450" w:type="dxa"/>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68">
            <w:pPr>
              <w:pStyle w:val="BodyText"/>
              <w:rPr>
                <w:lang w:val="en-NZ"/>
              </w:rPr>
            </w:pPr>
            <w:r w:rsidRPr="007F3768">
              <w:rPr>
                <w:rStyle w:val="SpecialBold"/>
              </w:rPr>
              <w:t>Procedures and requirements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68" w:rsidP="007F3768">
            <w:pPr>
              <w:pStyle w:val="BodyText"/>
            </w:pPr>
            <w:r w:rsidRPr="007F3768">
              <w:t>Refer to industry standard procedures specified by manufacturers, regulatory authorities or the enterprise</w:t>
            </w:r>
          </w:p>
        </w:tc>
      </w:tr>
    </w:tbl>
    <w:p w:rsidR="00000000" w:rsidRPr="007F3768" w:rsidP="007F3768">
      <w:pPr>
        <w:pStyle w:val="BodyText"/>
      </w:pPr>
    </w:p>
    <w:p w:rsidR="00000000" w:rsidRPr="007F3768" w:rsidP="007F3768">
      <w:pPr>
        <w:pStyle w:val="AllowPageBreak"/>
      </w:pPr>
    </w:p>
    <w:p w:rsidR="00000000" w:rsidRPr="007F3768" w:rsidP="007F3768">
      <w:pPr>
        <w:pStyle w:val="Heading1"/>
      </w:pPr>
      <w:bookmarkStart w:id="12" w:name="O_399934"/>
      <w:bookmarkEnd w:id="12"/>
      <w:r w:rsidRPr="007F3768">
        <w:t>Unit Sector(s)</w:t>
      </w:r>
    </w:p>
    <w:p w:rsidR="00000000" w:rsidRPr="007F3768" w:rsidP="007F3768">
      <w:pPr>
        <w:pStyle w:val="BodyText"/>
      </w:pPr>
      <w:r w:rsidRPr="007F3768">
        <w:t>Aviation maintenance</w:t>
      </w:r>
    </w:p>
    <w:p w:rsidR="00000000" w:rsidRPr="007F3768" w:rsidP="007F3768">
      <w:pPr>
        <w:pStyle w:val="AllowPageBreak"/>
      </w:pPr>
    </w:p>
    <w:p w:rsidR="00000000" w:rsidRPr="007F3768" w:rsidP="007F3768">
      <w:pPr>
        <w:pStyle w:val="Heading1"/>
      </w:pPr>
      <w:bookmarkStart w:id="13" w:name="O_399947"/>
      <w:bookmarkEnd w:id="13"/>
      <w:r w:rsidRPr="007F3768">
        <w:t>Competency field</w:t>
      </w:r>
    </w:p>
    <w:p w:rsidR="00000000" w:rsidRPr="007F3768" w:rsidP="007F3768">
      <w:pPr>
        <w:pStyle w:val="Heading1"/>
      </w:pPr>
      <w:bookmarkStart w:id="14" w:name="O_399946"/>
      <w:bookmarkEnd w:id="14"/>
      <w:r w:rsidRPr="007F3768">
        <w:t>Co-requisite units</w:t>
      </w:r>
    </w:p>
    <w:p w:rsidR="00000000" w:rsidRPr="007F3768" w:rsidP="007F3768">
      <w:pPr>
        <w:pStyle w:val="BodyText"/>
      </w:pPr>
      <w:r w:rsidRPr="007F3768">
        <w:t>Not applicable</w:t>
      </w:r>
    </w:p>
    <w:p w:rsidR="00000000" w:rsidRPr="007F3768" w:rsidP="007F3768"/>
    <w:sectPr w:rsidSect="007F37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502" w:rsidP="009455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02" w:rsidP="007F37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45502" w:rsidP="007F37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5502" w:rsidP="007F37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68" w:rsidRPr="00945502" w:rsidP="009455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02" w:rsidRPr="002D2AF8" w:rsidP="007F3768">
    <w:pPr>
      <w:pStyle w:val="Header"/>
      <w:framePr w:wrap="around"/>
    </w:pPr>
    <w:r>
      <w:fldChar w:fldCharType="begin"/>
    </w:r>
    <w:r>
      <w:instrText xml:space="preserve"> TITLE   \* MERGEFORMAT </w:instrText>
    </w:r>
    <w:r>
      <w:fldChar w:fldCharType="separate"/>
    </w:r>
    <w:r>
      <w:t>MEA235B Perform advanced troubleshooting in aircraft avionic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45502" w:rsidP="007F3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D67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768"/>
    <w:pPr>
      <w:spacing w:before="360" w:after="60"/>
      <w:outlineLvl w:val="0"/>
    </w:pPr>
    <w:rPr>
      <w:sz w:val="32"/>
    </w:rPr>
  </w:style>
  <w:style w:type="paragraph" w:styleId="Heading2">
    <w:name w:val="heading 2"/>
    <w:basedOn w:val="HeadingBase"/>
    <w:next w:val="BodyText"/>
    <w:link w:val="Heading2Char"/>
    <w:qFormat/>
    <w:rsid w:val="007F3768"/>
    <w:pPr>
      <w:keepLines/>
      <w:spacing w:before="240" w:after="120"/>
      <w:outlineLvl w:val="1"/>
    </w:pPr>
    <w:rPr>
      <w:sz w:val="28"/>
      <w:szCs w:val="40"/>
    </w:rPr>
  </w:style>
  <w:style w:type="paragraph" w:styleId="Heading3">
    <w:name w:val="heading 3"/>
    <w:basedOn w:val="HeadingBase"/>
    <w:next w:val="BodyText"/>
    <w:link w:val="Heading3Char"/>
    <w:qFormat/>
    <w:rsid w:val="007F3768"/>
    <w:pPr>
      <w:spacing w:before="180" w:after="120"/>
      <w:outlineLvl w:val="2"/>
    </w:pPr>
    <w:rPr>
      <w:spacing w:val="-10"/>
      <w:kern w:val="32"/>
    </w:rPr>
  </w:style>
  <w:style w:type="paragraph" w:styleId="Heading4">
    <w:name w:val="heading 4"/>
    <w:basedOn w:val="HeadingBase"/>
    <w:next w:val="BodyText"/>
    <w:link w:val="Heading4Char"/>
    <w:qFormat/>
    <w:rsid w:val="007F3768"/>
    <w:pPr>
      <w:spacing w:before="160" w:after="120"/>
      <w:outlineLvl w:val="3"/>
    </w:pPr>
    <w:rPr>
      <w:sz w:val="22"/>
    </w:rPr>
  </w:style>
  <w:style w:type="paragraph" w:styleId="Heading5">
    <w:name w:val="heading 5"/>
    <w:basedOn w:val="HeadingBase"/>
    <w:next w:val="Normal"/>
    <w:link w:val="Heading5Char"/>
    <w:qFormat/>
    <w:rsid w:val="007F3768"/>
    <w:pPr>
      <w:spacing w:before="80"/>
      <w:outlineLvl w:val="4"/>
    </w:pPr>
    <w:rPr>
      <w:color w:val="918585"/>
      <w:sz w:val="20"/>
    </w:rPr>
  </w:style>
  <w:style w:type="paragraph" w:styleId="Heading6">
    <w:name w:val="heading 6"/>
    <w:basedOn w:val="HeadingBase"/>
    <w:next w:val="Normal"/>
    <w:link w:val="Heading6Char"/>
    <w:qFormat/>
    <w:rsid w:val="007F3768"/>
    <w:pPr>
      <w:spacing w:before="60"/>
      <w:outlineLvl w:val="5"/>
    </w:pPr>
    <w:rPr>
      <w:color w:val="918585"/>
      <w:sz w:val="20"/>
    </w:rPr>
  </w:style>
  <w:style w:type="paragraph" w:styleId="Heading7">
    <w:name w:val="heading 7"/>
    <w:basedOn w:val="Normal"/>
    <w:next w:val="Normal"/>
    <w:link w:val="Heading7Char"/>
    <w:qFormat/>
    <w:rsid w:val="007F3768"/>
    <w:pPr>
      <w:ind w:left="720"/>
      <w:outlineLvl w:val="6"/>
    </w:pPr>
    <w:rPr>
      <w:i/>
    </w:rPr>
  </w:style>
  <w:style w:type="paragraph" w:styleId="Heading8">
    <w:name w:val="heading 8"/>
    <w:basedOn w:val="Normal"/>
    <w:next w:val="Normal"/>
    <w:link w:val="Heading8Char"/>
    <w:qFormat/>
    <w:rsid w:val="007F3768"/>
    <w:pPr>
      <w:ind w:left="720"/>
      <w:outlineLvl w:val="7"/>
    </w:pPr>
    <w:rPr>
      <w:i/>
    </w:rPr>
  </w:style>
  <w:style w:type="paragraph" w:styleId="Heading9">
    <w:name w:val="heading 9"/>
    <w:basedOn w:val="Normal"/>
    <w:next w:val="Normal"/>
    <w:link w:val="Heading9Char"/>
    <w:qFormat/>
    <w:rsid w:val="007F3768"/>
    <w:pPr>
      <w:ind w:left="720"/>
      <w:outlineLvl w:val="8"/>
    </w:pPr>
    <w:rPr>
      <w:i/>
    </w:rPr>
  </w:style>
  <w:style w:type="character" w:default="1" w:styleId="DefaultParagraphFont">
    <w:name w:val="Default Paragraph Font"/>
    <w:uiPriority w:val="1"/>
    <w:unhideWhenUsed/>
    <w:rsid w:val="007F3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768"/>
  </w:style>
  <w:style w:type="character" w:customStyle="1" w:styleId="Heading1Char">
    <w:name w:val="Heading 1 Char"/>
    <w:basedOn w:val="DefaultParagraphFont"/>
    <w:link w:val="Heading1"/>
    <w:rsid w:val="007F3768"/>
    <w:rPr>
      <w:rFonts w:ascii="Times New Roman" w:eastAsia="Times New Roman" w:hAnsi="Times New Roman" w:cs="Times New Roman"/>
      <w:b/>
      <w:sz w:val="32"/>
      <w:szCs w:val="20"/>
      <w:lang w:eastAsia="en-US"/>
    </w:rPr>
  </w:style>
  <w:style w:type="paragraph" w:styleId="BodyText">
    <w:name w:val="Body Text"/>
    <w:basedOn w:val="Normal"/>
    <w:link w:val="BodyTextChar"/>
    <w:rsid w:val="007F37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768"/>
    <w:rPr>
      <w:rFonts w:ascii="Times New Roman" w:eastAsia="Times New Roman" w:hAnsi="Times New Roman" w:cs="Times New Roman"/>
      <w:sz w:val="24"/>
      <w:lang w:eastAsia="en-US"/>
    </w:rPr>
  </w:style>
  <w:style w:type="paragraph" w:styleId="Footer">
    <w:name w:val="footer"/>
    <w:basedOn w:val="Normal"/>
    <w:link w:val="FooterChar"/>
    <w:rsid w:val="007F3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768"/>
    <w:rPr>
      <w:rFonts w:ascii="Times New Roman" w:eastAsia="Times New Roman" w:hAnsi="Times New Roman" w:cs="Times New Roman"/>
      <w:sz w:val="16"/>
      <w:lang w:eastAsia="en-US"/>
    </w:rPr>
  </w:style>
  <w:style w:type="paragraph" w:styleId="List">
    <w:name w:val="List"/>
    <w:basedOn w:val="BodyText"/>
    <w:next w:val="BodyText"/>
    <w:rsid w:val="007F3768"/>
    <w:pPr>
      <w:tabs>
        <w:tab w:val="left" w:pos="340"/>
      </w:tabs>
      <w:spacing w:before="60" w:after="60"/>
      <w:ind w:left="340" w:hanging="340"/>
    </w:pPr>
  </w:style>
  <w:style w:type="paragraph" w:styleId="ListBullet">
    <w:name w:val="List Bullet"/>
    <w:basedOn w:val="List"/>
    <w:rsid w:val="007F3768"/>
    <w:pPr>
      <w:numPr>
        <w:numId w:val="12"/>
      </w:numPr>
      <w:tabs>
        <w:tab w:val="clear" w:pos="340"/>
      </w:tabs>
      <w:spacing w:before="40" w:after="40"/>
    </w:pPr>
  </w:style>
  <w:style w:type="character" w:customStyle="1" w:styleId="SpecialBold">
    <w:name w:val="Special Bold"/>
    <w:basedOn w:val="DefaultParagraphFont"/>
    <w:rsid w:val="007F3768"/>
    <w:rPr>
      <w:b/>
      <w:spacing w:val="0"/>
    </w:rPr>
  </w:style>
  <w:style w:type="paragraph" w:customStyle="1" w:styleId="SuperHeading">
    <w:name w:val="SuperHeading"/>
    <w:basedOn w:val="Normal"/>
    <w:rsid w:val="007F3768"/>
    <w:pPr>
      <w:spacing w:before="240" w:after="120"/>
      <w:outlineLvl w:val="0"/>
    </w:pPr>
    <w:rPr>
      <w:rFonts w:ascii="Times New Roman" w:hAnsi="Times New Roman"/>
      <w:b/>
      <w:sz w:val="28"/>
    </w:rPr>
  </w:style>
  <w:style w:type="paragraph" w:customStyle="1" w:styleId="AllowPageBreak">
    <w:name w:val="AllowPageBreak"/>
    <w:rsid w:val="007F37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3768"/>
    <w:pPr>
      <w:tabs>
        <w:tab w:val="left" w:pos="680"/>
      </w:tabs>
      <w:spacing w:before="60" w:after="60"/>
      <w:ind w:left="680" w:hanging="340"/>
    </w:pPr>
  </w:style>
  <w:style w:type="character" w:customStyle="1" w:styleId="BoldandItalics">
    <w:name w:val="Bold and Italics"/>
    <w:qFormat/>
    <w:rsid w:val="007F3768"/>
    <w:rPr>
      <w:b/>
      <w:i/>
      <w:u w:val="none"/>
    </w:rPr>
  </w:style>
  <w:style w:type="character" w:customStyle="1" w:styleId="Heading2Char">
    <w:name w:val="Heading 2 Char"/>
    <w:basedOn w:val="DefaultParagraphFont"/>
    <w:link w:val="Heading2"/>
    <w:rsid w:val="007F3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768"/>
    <w:rPr>
      <w:rFonts w:ascii="Courier New" w:eastAsia="Times New Roman" w:hAnsi="Courier New" w:cs="Times New Roman"/>
      <w:i/>
      <w:szCs w:val="20"/>
      <w:lang w:eastAsia="en-US"/>
    </w:rPr>
  </w:style>
  <w:style w:type="paragraph" w:customStyle="1" w:styleId="HeadingBase">
    <w:name w:val="Heading Base"/>
    <w:rsid w:val="007F3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768"/>
    <w:pPr>
      <w:tabs>
        <w:tab w:val="right" w:leader="dot" w:pos="9072"/>
      </w:tabs>
      <w:ind w:left="567"/>
    </w:pPr>
    <w:rPr>
      <w:szCs w:val="22"/>
    </w:rPr>
  </w:style>
  <w:style w:type="paragraph" w:customStyle="1" w:styleId="TOCBase">
    <w:name w:val="TOC Base"/>
    <w:rsid w:val="007F3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768"/>
    <w:pPr>
      <w:tabs>
        <w:tab w:val="right" w:leader="dot" w:pos="9072"/>
      </w:tabs>
      <w:spacing w:before="40" w:after="40"/>
      <w:ind w:left="284"/>
    </w:pPr>
    <w:rPr>
      <w:rFonts w:ascii="Times New Roman" w:hAnsi="Times New Roman"/>
    </w:rPr>
  </w:style>
  <w:style w:type="paragraph" w:styleId="TOC1">
    <w:name w:val="toc 1"/>
    <w:basedOn w:val="TOCBase"/>
    <w:next w:val="Normal"/>
    <w:rsid w:val="007F37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768"/>
    <w:pPr>
      <w:spacing w:before="5040"/>
      <w:jc w:val="center"/>
    </w:pPr>
    <w:rPr>
      <w:sz w:val="48"/>
      <w:szCs w:val="72"/>
      <w:lang w:val="en-US"/>
    </w:rPr>
  </w:style>
  <w:style w:type="character" w:customStyle="1" w:styleId="TitleChar">
    <w:name w:val="Title Char"/>
    <w:basedOn w:val="DefaultParagraphFont"/>
    <w:link w:val="Title"/>
    <w:rsid w:val="007F3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768"/>
    <w:pPr>
      <w:tabs>
        <w:tab w:val="left" w:pos="3600"/>
        <w:tab w:val="left" w:pos="3958"/>
      </w:tabs>
    </w:pPr>
  </w:style>
  <w:style w:type="paragraph" w:customStyle="1" w:styleId="Note">
    <w:name w:val="Note"/>
    <w:basedOn w:val="BodyText"/>
    <w:rsid w:val="007F3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768"/>
    <w:pPr>
      <w:framePr w:wrap="auto" w:hAnchor="text" w:y="6049"/>
    </w:pPr>
    <w:rPr>
      <w:color w:val="000000"/>
      <w:sz w:val="40"/>
    </w:rPr>
  </w:style>
  <w:style w:type="paragraph" w:customStyle="1" w:styleId="TOCTitle">
    <w:name w:val="TOCTitle"/>
    <w:basedOn w:val="Heading1"/>
    <w:rsid w:val="007F3768"/>
    <w:pPr>
      <w:spacing w:after="240"/>
      <w:jc w:val="center"/>
      <w:outlineLvl w:val="9"/>
    </w:pPr>
    <w:rPr>
      <w:caps/>
    </w:rPr>
  </w:style>
  <w:style w:type="paragraph" w:customStyle="1" w:styleId="Version">
    <w:name w:val="Version"/>
    <w:rsid w:val="007F3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768"/>
    <w:pPr>
      <w:numPr>
        <w:numId w:val="13"/>
      </w:numPr>
      <w:tabs>
        <w:tab w:val="clear" w:pos="680"/>
      </w:tabs>
    </w:pPr>
  </w:style>
  <w:style w:type="paragraph" w:styleId="Index1">
    <w:name w:val="index 1"/>
    <w:basedOn w:val="Normal"/>
    <w:next w:val="Normal"/>
    <w:semiHidden/>
    <w:rsid w:val="007F3768"/>
    <w:pPr>
      <w:keepNext w:val="0"/>
      <w:tabs>
        <w:tab w:val="right" w:pos="4176"/>
      </w:tabs>
      <w:ind w:left="198" w:hanging="198"/>
    </w:pPr>
    <w:rPr>
      <w:rFonts w:ascii="Garamond" w:hAnsi="Garamond"/>
    </w:rPr>
  </w:style>
  <w:style w:type="paragraph" w:styleId="IndexHeading">
    <w:name w:val="index heading"/>
    <w:basedOn w:val="Normal"/>
    <w:next w:val="Index1"/>
    <w:semiHidden/>
    <w:rsid w:val="007F3768"/>
    <w:pPr>
      <w:spacing w:before="120" w:after="120"/>
    </w:pPr>
    <w:rPr>
      <w:rFonts w:ascii="Arial" w:hAnsi="Arial"/>
      <w:b/>
      <w:color w:val="918585"/>
      <w:sz w:val="24"/>
    </w:rPr>
  </w:style>
  <w:style w:type="paragraph" w:styleId="Header">
    <w:name w:val="header"/>
    <w:basedOn w:val="Normal"/>
    <w:link w:val="HeaderChar"/>
    <w:rsid w:val="007F3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768"/>
    <w:rPr>
      <w:rFonts w:ascii="Times New Roman" w:eastAsia="Times New Roman" w:hAnsi="Times New Roman" w:cs="Times New Roman"/>
      <w:sz w:val="16"/>
      <w:szCs w:val="20"/>
      <w:lang w:val="en-GB" w:eastAsia="en-US"/>
    </w:rPr>
  </w:style>
  <w:style w:type="paragraph" w:customStyle="1" w:styleId="Chapter">
    <w:name w:val="Chapter"/>
    <w:basedOn w:val="Normal"/>
    <w:rsid w:val="007F3768"/>
    <w:pPr>
      <w:spacing w:before="240"/>
    </w:pPr>
    <w:rPr>
      <w:rFonts w:ascii="Times New Roman" w:hAnsi="Times New Roman"/>
      <w:smallCaps/>
      <w:spacing w:val="80"/>
      <w:sz w:val="28"/>
    </w:rPr>
  </w:style>
  <w:style w:type="paragraph" w:customStyle="1" w:styleId="InChapter">
    <w:name w:val="InChapter"/>
    <w:basedOn w:val="Heading3"/>
    <w:rsid w:val="007F3768"/>
    <w:pPr>
      <w:spacing w:after="240"/>
      <w:outlineLvl w:val="9"/>
    </w:pPr>
    <w:rPr>
      <w:noProof/>
    </w:rPr>
  </w:style>
  <w:style w:type="paragraph" w:styleId="Index2">
    <w:name w:val="index 2"/>
    <w:basedOn w:val="Normal"/>
    <w:next w:val="Normal"/>
    <w:semiHidden/>
    <w:rsid w:val="007F3768"/>
    <w:pPr>
      <w:tabs>
        <w:tab w:val="right" w:pos="4176"/>
      </w:tabs>
      <w:ind w:left="568" w:hanging="284"/>
    </w:pPr>
    <w:rPr>
      <w:rFonts w:ascii="Garamond" w:hAnsi="Garamond"/>
    </w:rPr>
  </w:style>
  <w:style w:type="paragraph" w:customStyle="1" w:styleId="Byline">
    <w:name w:val="Byline"/>
    <w:rsid w:val="007F3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768"/>
    <w:pPr>
      <w:tabs>
        <w:tab w:val="clear" w:pos="3600"/>
        <w:tab w:val="clear" w:pos="3958"/>
      </w:tabs>
      <w:jc w:val="right"/>
    </w:pPr>
  </w:style>
  <w:style w:type="character" w:styleId="Emphasis">
    <w:name w:val="Emphasis"/>
    <w:basedOn w:val="DefaultParagraphFont"/>
    <w:qFormat/>
    <w:rsid w:val="007F3768"/>
    <w:rPr>
      <w:i/>
    </w:rPr>
  </w:style>
  <w:style w:type="paragraph" w:styleId="Caption">
    <w:name w:val="caption"/>
    <w:basedOn w:val="BodyText"/>
    <w:next w:val="Normal"/>
    <w:qFormat/>
    <w:rsid w:val="007F3768"/>
    <w:pPr>
      <w:framePr w:w="2268" w:hSpace="181" w:vSpace="181" w:wrap="around" w:vAnchor="text" w:hAnchor="page" w:x="1135" w:y="285" w:anchorLock="1"/>
    </w:pPr>
    <w:rPr>
      <w:i/>
    </w:rPr>
  </w:style>
  <w:style w:type="paragraph" w:customStyle="1" w:styleId="MiniTOCTitle">
    <w:name w:val="MiniTOCTitle"/>
    <w:basedOn w:val="Heading4"/>
    <w:rsid w:val="007F3768"/>
    <w:pPr>
      <w:spacing w:before="240"/>
      <w:outlineLvl w:val="9"/>
    </w:pPr>
    <w:rPr>
      <w:noProof/>
      <w:sz w:val="24"/>
    </w:rPr>
  </w:style>
  <w:style w:type="paragraph" w:customStyle="1" w:styleId="MiniTOCItem">
    <w:name w:val="MiniTOCItem"/>
    <w:basedOn w:val="ListBullet"/>
    <w:rsid w:val="007F3768"/>
    <w:pPr>
      <w:numPr>
        <w:numId w:val="0"/>
      </w:numPr>
      <w:tabs>
        <w:tab w:val="right" w:leader="dot" w:pos="6521"/>
      </w:tabs>
      <w:spacing w:before="0" w:after="0"/>
    </w:pPr>
  </w:style>
  <w:style w:type="paragraph" w:customStyle="1" w:styleId="TOFTitle">
    <w:name w:val="TOFTitle"/>
    <w:basedOn w:val="TOCTitle"/>
    <w:rsid w:val="007F3768"/>
  </w:style>
  <w:style w:type="paragraph" w:styleId="TableofFigures">
    <w:name w:val="table of figures"/>
    <w:basedOn w:val="Normal"/>
    <w:next w:val="Normal"/>
    <w:semiHidden/>
    <w:rsid w:val="007F3768"/>
    <w:pPr>
      <w:tabs>
        <w:tab w:val="right" w:leader="dot" w:pos="9072"/>
      </w:tabs>
      <w:ind w:left="970" w:hanging="403"/>
    </w:pPr>
    <w:rPr>
      <w:rFonts w:ascii="Times New Roman" w:hAnsi="Times New Roman"/>
      <w:b/>
    </w:rPr>
  </w:style>
  <w:style w:type="paragraph" w:styleId="ListNumber">
    <w:name w:val="List Number"/>
    <w:basedOn w:val="List"/>
    <w:rsid w:val="007F3768"/>
    <w:pPr>
      <w:numPr>
        <w:numId w:val="10"/>
      </w:numPr>
    </w:pPr>
  </w:style>
  <w:style w:type="character" w:customStyle="1" w:styleId="WingdingSymbols">
    <w:name w:val="Wingding Symbols"/>
    <w:rsid w:val="007F3768"/>
    <w:rPr>
      <w:rFonts w:ascii="Wingdings" w:hAnsi="Wingdings"/>
    </w:rPr>
  </w:style>
  <w:style w:type="paragraph" w:customStyle="1" w:styleId="TableHeading">
    <w:name w:val="Table Heading"/>
    <w:basedOn w:val="HeadingBase"/>
    <w:rsid w:val="007F3768"/>
    <w:pPr>
      <w:keepLines/>
      <w:pBdr>
        <w:bottom w:val="single" w:sz="6" w:space="1" w:color="918585"/>
      </w:pBdr>
      <w:spacing w:before="240"/>
    </w:pPr>
  </w:style>
  <w:style w:type="character" w:customStyle="1" w:styleId="HotSpot">
    <w:name w:val="HotSpot"/>
    <w:rsid w:val="007F3768"/>
    <w:rPr>
      <w:color w:val="0033CC"/>
      <w:u w:val="none"/>
    </w:rPr>
  </w:style>
  <w:style w:type="paragraph" w:customStyle="1" w:styleId="BodyTextRight">
    <w:name w:val="Body Text Right"/>
    <w:basedOn w:val="BodyText"/>
    <w:rsid w:val="007F3768"/>
    <w:pPr>
      <w:spacing w:before="0" w:after="0"/>
      <w:jc w:val="right"/>
    </w:pPr>
  </w:style>
  <w:style w:type="paragraph" w:styleId="Index3">
    <w:name w:val="index 3"/>
    <w:basedOn w:val="ListNumber2"/>
    <w:next w:val="Normal"/>
    <w:semiHidden/>
    <w:rsid w:val="007F3768"/>
    <w:pPr>
      <w:numPr>
        <w:numId w:val="0"/>
      </w:numPr>
      <w:tabs>
        <w:tab w:val="right" w:leader="dot" w:pos="4176"/>
      </w:tabs>
    </w:pPr>
  </w:style>
  <w:style w:type="paragraph" w:styleId="ListNumber2">
    <w:name w:val="List Number 2"/>
    <w:basedOn w:val="List2"/>
    <w:rsid w:val="007F3768"/>
    <w:pPr>
      <w:numPr>
        <w:numId w:val="9"/>
      </w:numPr>
      <w:tabs>
        <w:tab w:val="clear" w:pos="1060"/>
      </w:tabs>
    </w:pPr>
  </w:style>
  <w:style w:type="paragraph" w:customStyle="1" w:styleId="MarginNote">
    <w:name w:val="Margin Note"/>
    <w:basedOn w:val="BodyText"/>
    <w:rsid w:val="007F3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768"/>
    <w:rPr>
      <w:sz w:val="32"/>
    </w:rPr>
  </w:style>
  <w:style w:type="paragraph" w:customStyle="1" w:styleId="HeadingProcedure">
    <w:name w:val="Heading Procedure"/>
    <w:basedOn w:val="HeadingBase"/>
    <w:next w:val="Normal"/>
    <w:rsid w:val="007F3768"/>
    <w:pPr>
      <w:tabs>
        <w:tab w:val="left" w:pos="0"/>
      </w:tabs>
      <w:spacing w:before="120" w:after="60"/>
    </w:pPr>
    <w:rPr>
      <w:i/>
      <w:color w:val="918585"/>
      <w:sz w:val="22"/>
    </w:rPr>
  </w:style>
  <w:style w:type="paragraph" w:customStyle="1" w:styleId="TableBodyText">
    <w:name w:val="Table Body Text"/>
    <w:basedOn w:val="BodyText"/>
    <w:rsid w:val="007F3768"/>
    <w:pPr>
      <w:spacing w:before="60" w:after="60"/>
    </w:pPr>
  </w:style>
  <w:style w:type="paragraph" w:styleId="ListContinue">
    <w:name w:val="List Continue"/>
    <w:basedOn w:val="List"/>
    <w:rsid w:val="007F3768"/>
    <w:pPr>
      <w:ind w:firstLine="0"/>
    </w:pPr>
  </w:style>
  <w:style w:type="paragraph" w:customStyle="1" w:styleId="ListNote">
    <w:name w:val="List Note"/>
    <w:basedOn w:val="List"/>
    <w:rsid w:val="007F3768"/>
    <w:pPr>
      <w:pBdr>
        <w:top w:val="single" w:sz="6" w:space="2" w:color="918585"/>
        <w:bottom w:val="single" w:sz="6" w:space="2" w:color="918585"/>
      </w:pBdr>
      <w:tabs>
        <w:tab w:val="left" w:pos="1021"/>
      </w:tabs>
      <w:ind w:firstLine="0"/>
    </w:pPr>
  </w:style>
  <w:style w:type="paragraph" w:customStyle="1" w:styleId="Warning">
    <w:name w:val="Warning"/>
    <w:basedOn w:val="BodyText"/>
    <w:rsid w:val="007F3768"/>
    <w:pPr>
      <w:shd w:val="clear" w:color="auto" w:fill="D9D9D9"/>
      <w:tabs>
        <w:tab w:val="left" w:pos="992"/>
      </w:tabs>
      <w:ind w:left="119" w:right="119"/>
    </w:pPr>
    <w:rPr>
      <w:sz w:val="20"/>
    </w:rPr>
  </w:style>
  <w:style w:type="paragraph" w:customStyle="1" w:styleId="MarginIcons">
    <w:name w:val="Margin Icons"/>
    <w:basedOn w:val="BodyText"/>
    <w:rsid w:val="007F3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768"/>
    <w:rPr>
      <w:rFonts w:ascii="Courier New" w:hAnsi="Courier New"/>
    </w:rPr>
  </w:style>
  <w:style w:type="paragraph" w:customStyle="1" w:styleId="NoteBullet">
    <w:name w:val="Note Bullet"/>
    <w:basedOn w:val="Note"/>
    <w:rsid w:val="007F3768"/>
    <w:pPr>
      <w:tabs>
        <w:tab w:val="clear" w:pos="680"/>
      </w:tabs>
      <w:spacing w:before="60" w:after="60"/>
    </w:pPr>
  </w:style>
  <w:style w:type="paragraph" w:customStyle="1" w:styleId="SubHeading2">
    <w:name w:val="SubHeading2"/>
    <w:basedOn w:val="HeadingBase"/>
    <w:rsid w:val="007F3768"/>
    <w:pPr>
      <w:spacing w:before="240" w:after="60"/>
    </w:pPr>
    <w:rPr>
      <w:sz w:val="20"/>
    </w:rPr>
  </w:style>
  <w:style w:type="paragraph" w:customStyle="1" w:styleId="SubHeading1">
    <w:name w:val="SubHeading1"/>
    <w:basedOn w:val="HeadingBase"/>
    <w:rsid w:val="007F3768"/>
    <w:pPr>
      <w:spacing w:before="240" w:after="60"/>
    </w:pPr>
    <w:rPr>
      <w:color w:val="918585"/>
      <w:sz w:val="22"/>
    </w:rPr>
  </w:style>
  <w:style w:type="paragraph" w:customStyle="1" w:styleId="SideHeading">
    <w:name w:val="Side Heading"/>
    <w:basedOn w:val="HeadingBase"/>
    <w:rsid w:val="007F3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768"/>
    <w:pPr>
      <w:tabs>
        <w:tab w:val="num" w:pos="360"/>
      </w:tabs>
    </w:pPr>
  </w:style>
  <w:style w:type="paragraph" w:styleId="PlainText">
    <w:name w:val="Plain Text"/>
    <w:basedOn w:val="Normal"/>
    <w:link w:val="PlainTextChar"/>
    <w:rsid w:val="007F3768"/>
    <w:rPr>
      <w:sz w:val="20"/>
    </w:rPr>
  </w:style>
  <w:style w:type="character" w:customStyle="1" w:styleId="PlainTextChar">
    <w:name w:val="Plain Text Char"/>
    <w:basedOn w:val="DefaultParagraphFont"/>
    <w:link w:val="PlainText"/>
    <w:rsid w:val="007F3768"/>
    <w:rPr>
      <w:rFonts w:ascii="Courier New" w:eastAsia="Times New Roman" w:hAnsi="Courier New" w:cs="Times New Roman"/>
      <w:sz w:val="20"/>
      <w:szCs w:val="20"/>
      <w:lang w:eastAsia="en-US"/>
    </w:rPr>
  </w:style>
  <w:style w:type="character" w:customStyle="1" w:styleId="MenuOption">
    <w:name w:val="Menu Option"/>
    <w:basedOn w:val="DefaultParagraphFont"/>
    <w:rsid w:val="007F3768"/>
    <w:rPr>
      <w:b/>
      <w:smallCaps/>
    </w:rPr>
  </w:style>
  <w:style w:type="paragraph" w:customStyle="1" w:styleId="TableListNumber">
    <w:name w:val="Table List Number"/>
    <w:basedOn w:val="ListNumber"/>
    <w:rsid w:val="007F3768"/>
    <w:pPr>
      <w:numPr>
        <w:numId w:val="0"/>
      </w:numPr>
    </w:pPr>
  </w:style>
  <w:style w:type="paragraph" w:styleId="TOC4">
    <w:name w:val="toc 4"/>
    <w:basedOn w:val="TOCBase"/>
    <w:next w:val="Normal"/>
    <w:semiHidden/>
    <w:rsid w:val="007F3768"/>
    <w:pPr>
      <w:tabs>
        <w:tab w:val="right" w:leader="dot" w:pos="9071"/>
      </w:tabs>
      <w:ind w:left="1701"/>
    </w:pPr>
  </w:style>
  <w:style w:type="paragraph" w:customStyle="1" w:styleId="ListAlpha">
    <w:name w:val="List Alpha"/>
    <w:basedOn w:val="List"/>
    <w:rsid w:val="007F3768"/>
    <w:pPr>
      <w:numPr>
        <w:numId w:val="8"/>
      </w:numPr>
    </w:pPr>
  </w:style>
  <w:style w:type="paragraph" w:customStyle="1" w:styleId="ListAlpha2">
    <w:name w:val="List Alpha 2"/>
    <w:basedOn w:val="List2"/>
    <w:rsid w:val="007F3768"/>
    <w:pPr>
      <w:numPr>
        <w:numId w:val="7"/>
      </w:numPr>
    </w:pPr>
  </w:style>
  <w:style w:type="paragraph" w:styleId="List3">
    <w:name w:val="List 3"/>
    <w:basedOn w:val="BodyText"/>
    <w:rsid w:val="007F3768"/>
    <w:pPr>
      <w:tabs>
        <w:tab w:val="left" w:pos="1021"/>
      </w:tabs>
      <w:spacing w:before="60" w:after="60"/>
      <w:ind w:left="1020" w:hanging="340"/>
    </w:pPr>
  </w:style>
  <w:style w:type="paragraph" w:styleId="List4">
    <w:name w:val="List 4"/>
    <w:basedOn w:val="BodyText"/>
    <w:rsid w:val="007F3768"/>
    <w:pPr>
      <w:tabs>
        <w:tab w:val="left" w:pos="1361"/>
      </w:tabs>
      <w:spacing w:before="60" w:after="60"/>
      <w:ind w:left="1361" w:hanging="340"/>
    </w:pPr>
  </w:style>
  <w:style w:type="paragraph" w:styleId="List5">
    <w:name w:val="List 5"/>
    <w:basedOn w:val="BodyText"/>
    <w:rsid w:val="007F3768"/>
    <w:pPr>
      <w:tabs>
        <w:tab w:val="left" w:pos="1701"/>
      </w:tabs>
      <w:spacing w:before="60" w:after="60"/>
      <w:ind w:left="1701" w:hanging="340"/>
    </w:pPr>
  </w:style>
  <w:style w:type="paragraph" w:styleId="ListBullet3">
    <w:name w:val="List Bullet 3"/>
    <w:basedOn w:val="List3"/>
    <w:rsid w:val="007F3768"/>
    <w:pPr>
      <w:numPr>
        <w:numId w:val="14"/>
      </w:numPr>
      <w:tabs>
        <w:tab w:val="clear" w:pos="1021"/>
      </w:tabs>
      <w:ind w:left="1037" w:hanging="357"/>
    </w:pPr>
  </w:style>
  <w:style w:type="paragraph" w:styleId="ListBullet4">
    <w:name w:val="List Bullet 4"/>
    <w:basedOn w:val="List4"/>
    <w:rsid w:val="007F3768"/>
    <w:pPr>
      <w:numPr>
        <w:numId w:val="2"/>
      </w:numPr>
    </w:pPr>
  </w:style>
  <w:style w:type="paragraph" w:styleId="ListBullet5">
    <w:name w:val="List Bullet 5"/>
    <w:basedOn w:val="List5"/>
    <w:rsid w:val="007F3768"/>
    <w:pPr>
      <w:numPr>
        <w:numId w:val="3"/>
      </w:numPr>
    </w:pPr>
  </w:style>
  <w:style w:type="paragraph" w:styleId="ListContinue2">
    <w:name w:val="List Continue 2"/>
    <w:basedOn w:val="List2"/>
    <w:rsid w:val="007F3768"/>
    <w:pPr>
      <w:ind w:firstLine="0"/>
    </w:pPr>
  </w:style>
  <w:style w:type="paragraph" w:styleId="ListContinue3">
    <w:name w:val="List Continue 3"/>
    <w:basedOn w:val="List3"/>
    <w:rsid w:val="007F3768"/>
    <w:pPr>
      <w:ind w:left="1021" w:firstLine="0"/>
    </w:pPr>
  </w:style>
  <w:style w:type="paragraph" w:styleId="ListContinue4">
    <w:name w:val="List Continue 4"/>
    <w:basedOn w:val="List4"/>
    <w:rsid w:val="007F3768"/>
    <w:pPr>
      <w:ind w:firstLine="0"/>
    </w:pPr>
  </w:style>
  <w:style w:type="paragraph" w:styleId="ListContinue5">
    <w:name w:val="List Continue 5"/>
    <w:basedOn w:val="List5"/>
    <w:rsid w:val="007F3768"/>
    <w:pPr>
      <w:ind w:firstLine="0"/>
    </w:pPr>
  </w:style>
  <w:style w:type="paragraph" w:styleId="ListNumber3">
    <w:name w:val="List Number 3"/>
    <w:basedOn w:val="List3"/>
    <w:rsid w:val="007F3768"/>
    <w:pPr>
      <w:numPr>
        <w:numId w:val="4"/>
      </w:numPr>
    </w:pPr>
  </w:style>
  <w:style w:type="paragraph" w:styleId="ListNumber4">
    <w:name w:val="List Number 4"/>
    <w:basedOn w:val="List4"/>
    <w:rsid w:val="007F3768"/>
    <w:pPr>
      <w:numPr>
        <w:numId w:val="5"/>
      </w:numPr>
    </w:pPr>
  </w:style>
  <w:style w:type="paragraph" w:styleId="ListNumber5">
    <w:name w:val="List Number 5"/>
    <w:basedOn w:val="List5"/>
    <w:rsid w:val="007F3768"/>
    <w:pPr>
      <w:numPr>
        <w:numId w:val="6"/>
      </w:numPr>
    </w:pPr>
  </w:style>
  <w:style w:type="paragraph" w:styleId="BlockText">
    <w:name w:val="Block Text"/>
    <w:basedOn w:val="Normal"/>
    <w:rsid w:val="007F3768"/>
    <w:pPr>
      <w:spacing w:after="120"/>
      <w:ind w:left="1440" w:right="1440"/>
    </w:pPr>
  </w:style>
  <w:style w:type="character" w:customStyle="1" w:styleId="Subscript">
    <w:name w:val="Subscript"/>
    <w:basedOn w:val="DefaultParagraphFont"/>
    <w:rsid w:val="007F3768"/>
    <w:rPr>
      <w:sz w:val="16"/>
      <w:vertAlign w:val="subscript"/>
    </w:rPr>
  </w:style>
  <w:style w:type="character" w:customStyle="1" w:styleId="Superscript">
    <w:name w:val="Superscript"/>
    <w:basedOn w:val="DefaultParagraphFont"/>
    <w:rsid w:val="007F3768"/>
    <w:rPr>
      <w:sz w:val="16"/>
      <w:vertAlign w:val="superscript"/>
    </w:rPr>
  </w:style>
  <w:style w:type="character" w:customStyle="1" w:styleId="Symbols">
    <w:name w:val="Symbols"/>
    <w:basedOn w:val="DefaultParagraphFont"/>
    <w:rsid w:val="007F3768"/>
    <w:rPr>
      <w:rFonts w:ascii="Symbol" w:hAnsi="Symbol"/>
    </w:rPr>
  </w:style>
  <w:style w:type="character" w:customStyle="1" w:styleId="MenuOptions">
    <w:name w:val="Menu Options"/>
    <w:basedOn w:val="DefaultParagraphFont"/>
    <w:rsid w:val="007F3768"/>
    <w:rPr>
      <w:rFonts w:ascii="Arial Narrow" w:hAnsi="Arial Narrow"/>
      <w:smallCaps/>
    </w:rPr>
  </w:style>
  <w:style w:type="character" w:customStyle="1" w:styleId="Buttons">
    <w:name w:val="Buttons"/>
    <w:basedOn w:val="DefaultParagraphFont"/>
    <w:rsid w:val="007F3768"/>
    <w:rPr>
      <w:b/>
    </w:rPr>
  </w:style>
  <w:style w:type="character" w:customStyle="1" w:styleId="Underlined">
    <w:name w:val="Underlined"/>
    <w:basedOn w:val="DefaultParagraphFont"/>
    <w:rsid w:val="007F3768"/>
    <w:rPr>
      <w:u w:val="single"/>
    </w:rPr>
  </w:style>
  <w:style w:type="paragraph" w:customStyle="1" w:styleId="TableBodyTextRight">
    <w:name w:val="Table Body Text Right"/>
    <w:basedOn w:val="TableBodyText"/>
    <w:rsid w:val="007F3768"/>
    <w:pPr>
      <w:widowControl w:val="0"/>
      <w:autoSpaceDE w:val="0"/>
      <w:autoSpaceDN w:val="0"/>
      <w:adjustRightInd w:val="0"/>
      <w:jc w:val="right"/>
    </w:pPr>
    <w:rPr>
      <w:rFonts w:cs="Arial"/>
      <w:szCs w:val="18"/>
    </w:rPr>
  </w:style>
  <w:style w:type="paragraph" w:customStyle="1" w:styleId="CopyrightText">
    <w:name w:val="Copyright Text"/>
    <w:basedOn w:val="BodyText"/>
    <w:rsid w:val="007F3768"/>
    <w:rPr>
      <w:sz w:val="18"/>
    </w:rPr>
  </w:style>
  <w:style w:type="paragraph" w:customStyle="1" w:styleId="BodySmallRight">
    <w:name w:val="Body Small Right"/>
    <w:basedOn w:val="BodyTextRight"/>
    <w:rsid w:val="007F3768"/>
    <w:rPr>
      <w:sz w:val="18"/>
      <w:szCs w:val="18"/>
    </w:rPr>
  </w:style>
  <w:style w:type="paragraph" w:customStyle="1" w:styleId="MarginEdition">
    <w:name w:val="Margin Edition"/>
    <w:basedOn w:val="MarginNote"/>
    <w:rsid w:val="007F3768"/>
    <w:pPr>
      <w:spacing w:before="0" w:after="0"/>
    </w:pPr>
    <w:rPr>
      <w:rFonts w:ascii="Times New Roman" w:hAnsi="Times New Roman"/>
      <w:color w:val="999999"/>
    </w:rPr>
  </w:style>
  <w:style w:type="paragraph" w:customStyle="1" w:styleId="Spacer">
    <w:name w:val="Spacer"/>
    <w:basedOn w:val="Normal"/>
    <w:rsid w:val="007F3768"/>
    <w:rPr>
      <w:sz w:val="2"/>
      <w:szCs w:val="2"/>
    </w:rPr>
  </w:style>
  <w:style w:type="character" w:customStyle="1" w:styleId="Small">
    <w:name w:val="Small"/>
    <w:basedOn w:val="DefaultParagraphFont"/>
    <w:rsid w:val="007F3768"/>
    <w:rPr>
      <w:sz w:val="16"/>
    </w:rPr>
  </w:style>
  <w:style w:type="paragraph" w:customStyle="1" w:styleId="WideTable">
    <w:name w:val="Wide Table"/>
    <w:basedOn w:val="Normal"/>
    <w:rsid w:val="007F3768"/>
    <w:pPr>
      <w:ind w:left="-1418"/>
    </w:pPr>
    <w:rPr>
      <w:sz w:val="2"/>
      <w:szCs w:val="2"/>
    </w:rPr>
  </w:style>
  <w:style w:type="character" w:styleId="PageNumber">
    <w:name w:val="page number"/>
    <w:basedOn w:val="DefaultParagraphFont"/>
    <w:rsid w:val="007F3768"/>
  </w:style>
  <w:style w:type="paragraph" w:styleId="Quote">
    <w:name w:val="Quote"/>
    <w:basedOn w:val="Heading1"/>
    <w:link w:val="QuoteChar"/>
    <w:qFormat/>
    <w:rsid w:val="007F3768"/>
    <w:rPr>
      <w:b w:val="0"/>
      <w:sz w:val="72"/>
      <w:szCs w:val="72"/>
      <w:lang w:val="en-NZ"/>
    </w:rPr>
  </w:style>
  <w:style w:type="character" w:customStyle="1" w:styleId="QuoteChar">
    <w:name w:val="Quote Char"/>
    <w:basedOn w:val="DefaultParagraphFont"/>
    <w:link w:val="Quote"/>
    <w:rsid w:val="007F3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768"/>
    <w:pPr>
      <w:pageBreakBefore/>
    </w:pPr>
  </w:style>
  <w:style w:type="paragraph" w:customStyle="1" w:styleId="Border">
    <w:name w:val="Border"/>
    <w:basedOn w:val="Normal"/>
    <w:qFormat/>
    <w:rsid w:val="007F3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768"/>
    <w:rPr>
      <w:b/>
      <w:bCs/>
      <w:i/>
      <w:iCs/>
      <w:color w:val="auto"/>
    </w:rPr>
  </w:style>
  <w:style w:type="paragraph" w:styleId="IntenseQuote">
    <w:name w:val="Intense Quote"/>
    <w:basedOn w:val="Normal"/>
    <w:next w:val="Normal"/>
    <w:link w:val="IntenseQuoteChar"/>
    <w:uiPriority w:val="30"/>
    <w:qFormat/>
    <w:rsid w:val="007F3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768"/>
    <w:rPr>
      <w:smallCaps/>
      <w:color w:val="auto"/>
      <w:u w:val="single"/>
    </w:rPr>
  </w:style>
  <w:style w:type="character" w:styleId="IntenseReference">
    <w:name w:val="Intense Reference"/>
    <w:basedOn w:val="DefaultParagraphFont"/>
    <w:uiPriority w:val="32"/>
    <w:qFormat/>
    <w:rsid w:val="007F3768"/>
    <w:rPr>
      <w:b/>
      <w:bCs/>
      <w:smallCaps/>
      <w:color w:val="auto"/>
      <w:spacing w:val="5"/>
      <w:u w:val="single"/>
    </w:rPr>
  </w:style>
  <w:style w:type="paragraph" w:customStyle="1" w:styleId="2ColumnHeading">
    <w:name w:val="2Column Heading"/>
    <w:basedOn w:val="BodyText"/>
    <w:qFormat/>
    <w:rsid w:val="007F3768"/>
    <w:pPr>
      <w:spacing w:after="60"/>
      <w:ind w:left="-2268"/>
    </w:pPr>
    <w:rPr>
      <w:b/>
    </w:rPr>
  </w:style>
  <w:style w:type="paragraph" w:customStyle="1" w:styleId="Heading1TOC">
    <w:name w:val="Heading1 TOC"/>
    <w:basedOn w:val="Normal"/>
    <w:qFormat/>
    <w:rsid w:val="007F3768"/>
    <w:pPr>
      <w:spacing w:before="240" w:after="120"/>
    </w:pPr>
    <w:rPr>
      <w:rFonts w:ascii="Times New Roman" w:hAnsi="Times New Roman"/>
      <w:b/>
      <w:sz w:val="32"/>
    </w:rPr>
  </w:style>
  <w:style w:type="paragraph" w:customStyle="1" w:styleId="Heading2TOC">
    <w:name w:val="Heading2 TOC"/>
    <w:basedOn w:val="Normal"/>
    <w:qFormat/>
    <w:rsid w:val="007F3768"/>
    <w:pPr>
      <w:spacing w:before="240" w:after="60"/>
    </w:pPr>
    <w:rPr>
      <w:rFonts w:ascii="Times New Roman" w:hAnsi="Times New Roman"/>
      <w:b/>
      <w:sz w:val="28"/>
    </w:rPr>
  </w:style>
  <w:style w:type="character" w:customStyle="1" w:styleId="Underline">
    <w:name w:val="Underline"/>
    <w:basedOn w:val="DefaultParagraphFont"/>
    <w:qFormat/>
    <w:rsid w:val="007F3768"/>
    <w:rPr>
      <w:u w:val="single"/>
    </w:rPr>
  </w:style>
  <w:style w:type="paragraph" w:styleId="BalloonText">
    <w:name w:val="Balloon Text"/>
    <w:basedOn w:val="Normal"/>
    <w:link w:val="BalloonTextChar"/>
    <w:rsid w:val="007F3768"/>
    <w:rPr>
      <w:rFonts w:ascii="Tahoma" w:hAnsi="Tahoma" w:cs="Tahoma"/>
      <w:sz w:val="16"/>
      <w:szCs w:val="16"/>
    </w:rPr>
  </w:style>
  <w:style w:type="character" w:customStyle="1" w:styleId="BalloonTextChar">
    <w:name w:val="Balloon Text Char"/>
    <w:basedOn w:val="DefaultParagraphFont"/>
    <w:link w:val="BalloonText"/>
    <w:rsid w:val="007F3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7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768"/>
    <w:rPr>
      <w:b/>
      <w:color w:val="660033"/>
      <w:spacing w:val="0"/>
    </w:rPr>
  </w:style>
  <w:style w:type="paragraph" w:customStyle="1" w:styleId="Nameditemlist">
    <w:name w:val="Named item list"/>
    <w:basedOn w:val="BodyText"/>
    <w:qFormat/>
    <w:rsid w:val="007F37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8176</Characters>
  <Application>Microsoft Office Word</Application>
  <DocSecurity>0</DocSecurity>
  <Lines>216</Lines>
  <Paragraphs>85</Paragraphs>
  <ScaleCrop>false</ScaleCrop>
  <Company>Author-it Software Corporation Ltd.</Company>
  <LinksUpToDate>false</LinksUpToDate>
  <CharactersWithSpaces>9437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MEA235B Perform advanced troubleshooting in aircraft avionic maintenance</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2012-10-05T17:03:00Z</dcterms:created>
  <dcterms:modified xsi:type="dcterms:W3CDTF">2012-10-05T17:03:00Z</dcterms:modified>
</cp:coreProperties>
</file>