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FE1" w:rsidP="00615FE1">
      <w:pPr>
        <w:pStyle w:val="Title"/>
      </w:pPr>
      <w:r>
        <w:fldChar w:fldCharType="begin"/>
      </w:r>
      <w:r>
        <w:instrText xml:space="preserve"> TITLE   \* MERGEFORMAT </w:instrText>
      </w:r>
      <w:r>
        <w:fldChar w:fldCharType="separate"/>
      </w:r>
      <w:r>
        <w:t>MEA226C Inspect aircraft electronic systems and components</w:t>
      </w:r>
      <w:r>
        <w:fldChar w:fldCharType="end"/>
      </w:r>
    </w:p>
    <w:p w:rsidR="00615FE1" w:rsidP="00615FE1">
      <w:pPr>
        <w:pStyle w:val="Version"/>
        <w:sectPr w:rsidSect="00FF1D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1DFF" w:rsidP="00FF1DFF">
      <w:pPr>
        <w:pStyle w:val="SuperHeading"/>
      </w:pPr>
      <w:r w:rsidRPr="00FF1DFF">
        <w:t>MEA226C Inspect aircraft electronic systems and components</w:t>
      </w:r>
    </w:p>
    <w:p w:rsidR="00000000" w:rsidRPr="00FF1DFF" w:rsidP="00FF1DFF">
      <w:pPr>
        <w:pStyle w:val="SuperHeading"/>
      </w:pPr>
    </w:p>
    <w:p w:rsidR="00000000" w:rsidRPr="00FF1DFF" w:rsidP="00FF1DFF">
      <w:pPr>
        <w:pStyle w:val="Heading1"/>
      </w:pPr>
      <w:bookmarkStart w:id="1" w:name="O_98127"/>
      <w:bookmarkEnd w:id="1"/>
      <w:r w:rsidRPr="00FF1DFF">
        <w:t>Modification History</w:t>
      </w:r>
    </w:p>
    <w:p w:rsidR="00000000" w:rsidRPr="00FF1DFF" w:rsidP="00FF1DFF">
      <w:pPr>
        <w:pStyle w:val="BodyText"/>
      </w:pPr>
      <w:r w:rsidRPr="00FF1DFF">
        <w:t>Not applicable.</w:t>
      </w:r>
    </w:p>
    <w:p w:rsidR="00000000" w:rsidRPr="00FF1DFF" w:rsidP="00FF1DFF">
      <w:pPr>
        <w:pStyle w:val="AllowPageBreak"/>
      </w:pPr>
    </w:p>
    <w:p w:rsidR="00000000" w:rsidRPr="00FF1DFF" w:rsidP="00FF1DFF">
      <w:pPr>
        <w:pStyle w:val="Heading1"/>
      </w:pPr>
      <w:bookmarkStart w:id="2" w:name="O_98128"/>
      <w:bookmarkEnd w:id="2"/>
      <w:r w:rsidRPr="00FF1DFF">
        <w:t>Unit Descriptor</w:t>
      </w:r>
    </w:p>
    <w:tbl>
      <w:tblPr>
        <w:tblW w:w="0" w:type="auto"/>
        <w:tblLayout w:type="fixed"/>
        <w:tblCellMar>
          <w:left w:w="62" w:type="dxa"/>
          <w:right w:w="62" w:type="dxa"/>
        </w:tblCellMar>
        <w:tblLook w:val="0000"/>
      </w:tblPr>
      <w:tblGrid>
        <w:gridCol w:w="2667"/>
        <w:gridCol w:w="5855"/>
      </w:tblGrid>
      <w:tr w:rsidTr="00615FE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This unit is part of the Avionic AME Certificate IV training pathways. It covers the competenc</w:t>
            </w:r>
            <w:r w:rsidRPr="00FF1DFF">
              <w:t>ies required to inspect electronic systems and components of fixed and rotary wing aircraft. Where a CASA licensing outcome is sought this unit forms part of the CASA requirement for the granting of the B2 Aircraft Maintenance Engineer Licence under CASR P</w:t>
            </w:r>
            <w:r w:rsidRPr="00FF1DFF">
              <w:t>art 66, in accordance with the licensing provisions in Section 3, Assessment Guidelines.</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3" w:name="O_98129"/>
      <w:bookmarkEnd w:id="3"/>
      <w:r w:rsidRPr="00FF1DFF">
        <w:t>Application of the Unit</w:t>
      </w:r>
    </w:p>
    <w:tbl>
      <w:tblPr>
        <w:tblW w:w="0" w:type="auto"/>
        <w:tblLayout w:type="fixed"/>
        <w:tblCellMar>
          <w:left w:w="62" w:type="dxa"/>
          <w:right w:w="62" w:type="dxa"/>
        </w:tblCellMar>
        <w:tblLook w:val="0000"/>
      </w:tblPr>
      <w:tblGrid>
        <w:gridCol w:w="2748"/>
        <w:gridCol w:w="5774"/>
      </w:tblGrid>
      <w:tr w:rsidTr="00615FE1">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This unit requires application of hand skills and the use of system/component knowledge and applicable maintenance publications to inspect aircraft electronic systems and components.</w:t>
            </w:r>
          </w:p>
          <w:p w:rsidR="00000000" w:rsidRPr="00FF1DFF" w:rsidP="00FF1DFF">
            <w:pPr>
              <w:pStyle w:val="BodyText"/>
            </w:pPr>
            <w:r w:rsidRPr="00FF1DFF">
              <w:t>Applications include fixed and rotary wing aircraft.</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4" w:name="O_98130"/>
      <w:bookmarkEnd w:id="4"/>
      <w:r w:rsidRPr="00FF1DFF">
        <w:t>Lic</w:t>
      </w:r>
      <w:r w:rsidRPr="00FF1DFF">
        <w:t>ensing/Regulatory Information</w:t>
      </w:r>
    </w:p>
    <w:p w:rsidR="00000000" w:rsidRPr="00FF1DFF" w:rsidP="00FF1DFF">
      <w:pPr>
        <w:pStyle w:val="BodyText"/>
      </w:pPr>
      <w:r w:rsidRPr="00FF1DFF">
        <w:t>Not applicable.</w:t>
      </w:r>
    </w:p>
    <w:p w:rsidR="00000000" w:rsidRPr="00FF1DFF" w:rsidP="00FF1DFF">
      <w:pPr>
        <w:pStyle w:val="AllowPageBreak"/>
      </w:pPr>
    </w:p>
    <w:p w:rsidR="00000000" w:rsidRPr="00FF1DFF" w:rsidP="00FF1DFF">
      <w:pPr>
        <w:pStyle w:val="Heading1"/>
      </w:pPr>
      <w:bookmarkStart w:id="5" w:name="O_98132"/>
      <w:bookmarkEnd w:id="5"/>
      <w:r w:rsidRPr="00FF1DFF">
        <w:t>Pre-Requisites</w:t>
      </w:r>
    </w:p>
    <w:tbl>
      <w:tblPr>
        <w:tblW w:w="0" w:type="auto"/>
        <w:tblLayout w:type="fixed"/>
        <w:tblCellMar>
          <w:left w:w="62" w:type="dxa"/>
          <w:right w:w="62" w:type="dxa"/>
        </w:tblCellMar>
        <w:tblLook w:val="0000"/>
      </w:tblPr>
      <w:tblGrid>
        <w:gridCol w:w="2725"/>
        <w:gridCol w:w="1926"/>
        <w:gridCol w:w="3871"/>
      </w:tblGrid>
      <w:tr w:rsidTr="00615FE1">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p>
        </w:tc>
      </w:tr>
      <w:tr w:rsidTr="00615FE1">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 xml:space="preserve">MEA246C </w:t>
            </w: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Fabricate and/or repair aircraft electrical components or parts</w:t>
            </w:r>
          </w:p>
        </w:tc>
      </w:tr>
      <w:tr w:rsidTr="00615FE1">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6" w:name="O_98131"/>
      <w:bookmarkEnd w:id="6"/>
      <w:r w:rsidRPr="00FF1DFF">
        <w:t>Employability Skills Information</w:t>
      </w:r>
    </w:p>
    <w:tbl>
      <w:tblPr>
        <w:tblW w:w="0" w:type="auto"/>
        <w:tblLayout w:type="fixed"/>
        <w:tblCellMar>
          <w:left w:w="62" w:type="dxa"/>
          <w:right w:w="62" w:type="dxa"/>
        </w:tblCellMar>
        <w:tblLook w:val="0000"/>
      </w:tblPr>
      <w:tblGrid>
        <w:gridCol w:w="2802"/>
        <w:gridCol w:w="5720"/>
      </w:tblGrid>
      <w:tr w:rsidTr="00615F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This unit contains employability skills.</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7" w:name="O_98133"/>
      <w:bookmarkEnd w:id="7"/>
      <w:r w:rsidRPr="00FF1DFF">
        <w:t>Elements and Performance Criteria Pre-Content</w:t>
      </w:r>
    </w:p>
    <w:tbl>
      <w:tblPr>
        <w:tblW w:w="0" w:type="auto"/>
        <w:tblLayout w:type="fixed"/>
        <w:tblCellMar>
          <w:left w:w="62" w:type="dxa"/>
          <w:right w:w="62" w:type="dxa"/>
        </w:tblCellMar>
        <w:tblLook w:val="0000"/>
      </w:tblPr>
      <w:tblGrid>
        <w:gridCol w:w="2558"/>
        <w:gridCol w:w="5964"/>
      </w:tblGrid>
      <w:tr w:rsidTr="00615FE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Performance criteria describe the performance needed to demonstrate achievement of the</w:t>
            </w:r>
            <w:r w:rsidRPr="00FF1DF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8" w:name="O_98134"/>
      <w:bookmarkEnd w:id="8"/>
      <w:r w:rsidRPr="00FF1DFF">
        <w:t>Elements and Perform</w:t>
      </w:r>
      <w:r w:rsidRPr="00FF1DFF">
        <w:t>ance Criteria</w:t>
      </w:r>
    </w:p>
    <w:tbl>
      <w:tblPr>
        <w:tblW w:w="0" w:type="auto"/>
        <w:tblLayout w:type="fixed"/>
        <w:tblCellMar>
          <w:left w:w="62" w:type="dxa"/>
          <w:right w:w="62" w:type="dxa"/>
        </w:tblCellMar>
        <w:tblLook w:val="0000"/>
      </w:tblPr>
      <w:tblGrid>
        <w:gridCol w:w="2558"/>
        <w:gridCol w:w="5964"/>
      </w:tblGrid>
      <w:tr w:rsidTr="00615FE1">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PERFORMANCE CRITERIA</w:t>
            </w:r>
          </w:p>
        </w:tc>
      </w:tr>
      <w:tr w:rsidTr="00615FE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List"/>
              <w:rPr>
                <w:lang w:val="en-NZ"/>
              </w:rPr>
            </w:pPr>
            <w:r w:rsidRPr="00FF1DFF">
              <w:t>1.</w:t>
            </w:r>
            <w:r w:rsidRPr="00FF1DFF">
              <w:tab/>
              <w:t>Inspect electronic systems and components.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List2"/>
            </w:pPr>
            <w:r w:rsidRPr="00FF1DFF">
              <w:t>1.1.</w:t>
            </w:r>
            <w:r w:rsidRPr="00FF1DFF">
              <w:tab/>
              <w:t>Isolation tags are checked and aircraft configured for safe system inspection and operation in accordance with the applicable maintenance manual.</w:t>
            </w:r>
          </w:p>
          <w:p w:rsidR="00000000" w:rsidRPr="00FF1DFF" w:rsidP="00FF1DFF">
            <w:pPr>
              <w:pStyle w:val="List2"/>
            </w:pPr>
            <w:r w:rsidRPr="00FF1DFF">
              <w:t>1.2.</w:t>
            </w:r>
            <w:r w:rsidRPr="00FF1DFF">
              <w:tab/>
            </w:r>
            <w:r w:rsidRPr="00FF1DFF">
              <w:rPr>
                <w:rStyle w:val="BoldandItalics"/>
              </w:rPr>
              <w:t>Electronic system components</w:t>
            </w:r>
            <w:r w:rsidRPr="00FF1DFF">
              <w:t xml:space="preserve"> are visually or physically checked for external signs of defects in accordance with applicable maintenance manual.</w:t>
            </w:r>
          </w:p>
          <w:p w:rsidR="00000000" w:rsidRPr="00FF1DFF" w:rsidP="00FF1DFF">
            <w:pPr>
              <w:pStyle w:val="List2"/>
            </w:pPr>
            <w:r w:rsidRPr="00FF1DFF">
              <w:t>1.3.</w:t>
            </w:r>
            <w:r w:rsidRPr="00FF1DFF">
              <w:tab/>
              <w:t>Defects are correctly identified and recorded in accordance with standard enterprise procedures.</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9" w:name="O_98135"/>
      <w:bookmarkEnd w:id="9"/>
      <w:r w:rsidRPr="00FF1DFF">
        <w:t>Required Skills and Knowledge</w:t>
      </w:r>
    </w:p>
    <w:tbl>
      <w:tblPr>
        <w:tblW w:w="0" w:type="auto"/>
        <w:tblLayout w:type="fixed"/>
        <w:tblCellMar>
          <w:left w:w="62" w:type="dxa"/>
          <w:right w:w="62" w:type="dxa"/>
        </w:tblCellMar>
        <w:tblLook w:val="0000"/>
      </w:tblPr>
      <w:tblGrid>
        <w:gridCol w:w="8522"/>
      </w:tblGrid>
      <w:tr w:rsidTr="00615F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REQUIRED SKILLS AND KNOWLEDGE</w:t>
            </w:r>
          </w:p>
        </w:tc>
      </w:tr>
      <w:tr w:rsidTr="00615F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This section describes the skills and knowledge required for this unit.</w:t>
            </w:r>
          </w:p>
        </w:tc>
      </w:tr>
      <w:tr w:rsidTr="00615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Required skills</w:t>
            </w:r>
          </w:p>
        </w:tc>
      </w:tr>
      <w:tr w:rsidTr="00615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Look for evidence that confirms skills in:</w:t>
            </w:r>
          </w:p>
          <w:p w:rsidR="00000000" w:rsidRPr="00FF1DFF" w:rsidP="00FF1DFF">
            <w:pPr>
              <w:pStyle w:val="ListBullet"/>
            </w:pPr>
            <w:r w:rsidRPr="00FF1DFF">
              <w:t>Application of relevant occupational health and safety (OHS) practices</w:t>
            </w:r>
          </w:p>
          <w:p w:rsidR="00000000" w:rsidRPr="00FF1DFF" w:rsidP="00FF1DFF">
            <w:pPr>
              <w:pStyle w:val="ListBullet"/>
            </w:pPr>
            <w:r w:rsidRPr="00FF1DFF">
              <w:t>The use of approved maintenance documentation and aircraft publications relating to the avionic system being maintained</w:t>
            </w:r>
          </w:p>
          <w:p w:rsidR="00000000" w:rsidRPr="00FF1DFF" w:rsidP="00FF1DFF">
            <w:pPr>
              <w:pStyle w:val="ListBullet"/>
            </w:pPr>
            <w:r w:rsidRPr="00FF1DFF">
              <w:t>Recognition of system and component defects/external damage, correct installation, connection of plugs, terminations, attaching hardware (including cabling/harnesses) and security in:</w:t>
            </w:r>
          </w:p>
          <w:p w:rsidR="00000000" w:rsidRPr="00FF1DFF" w:rsidP="00FF1DFF">
            <w:pPr>
              <w:pStyle w:val="ListBullet2"/>
            </w:pPr>
            <w:r w:rsidRPr="00FF1DFF">
              <w:t>multi-function display systems (interface units, display generators, di</w:t>
            </w:r>
            <w:r w:rsidRPr="00FF1DFF">
              <w:t>splay units), i.e. head-up display systems (HUD), engine indicating and crew alerting systems (EICAS), flight management systems (FMS), ACARS, electronic flight instrument systems (EFIS), electronic centralised aircraft monitor systems (ECAM)</w:t>
            </w:r>
          </w:p>
          <w:p w:rsidR="00000000" w:rsidRPr="00FF1DFF" w:rsidP="00FF1DFF">
            <w:pPr>
              <w:pStyle w:val="ListBullet2"/>
            </w:pPr>
            <w:r w:rsidRPr="00FF1DFF">
              <w:t>integrated mo</w:t>
            </w:r>
            <w:r w:rsidRPr="00FF1DFF">
              <w:t>dular avionics</w:t>
            </w:r>
          </w:p>
          <w:p w:rsidR="00000000" w:rsidRPr="00FF1DFF" w:rsidP="00FF1DFF">
            <w:pPr>
              <w:pStyle w:val="ListBullet2"/>
            </w:pPr>
            <w:r w:rsidRPr="00FF1DFF">
              <w:t>inertial navigation systems (INS), inertial reference systems (IRS)</w:t>
            </w:r>
          </w:p>
          <w:p w:rsidR="00000000" w:rsidRPr="00FF1DFF" w:rsidP="00FF1DFF">
            <w:pPr>
              <w:pStyle w:val="ListBullet2"/>
            </w:pPr>
            <w:r w:rsidRPr="00FF1DFF">
              <w:t>external communications systems - high frequency (HF), ultra high frequency (UHF), very high frequency (VHF), satellite communication (SATCOM), emergency location transmitte</w:t>
            </w:r>
            <w:r w:rsidRPr="00FF1DFF">
              <w:t>r (ELT)</w:t>
            </w:r>
          </w:p>
          <w:p w:rsidR="00000000" w:rsidRPr="00FF1DFF" w:rsidP="00FF1DFF">
            <w:pPr>
              <w:pStyle w:val="ListBullet2"/>
            </w:pPr>
            <w:r w:rsidRPr="00FF1DFF">
              <w:t>internal communications systems - intercommunication, cockpit voice recorders (CVR), cockpit/cabin audio visual, data systems, cabin network services)</w:t>
            </w:r>
          </w:p>
          <w:p w:rsidR="00000000" w:rsidRPr="00FF1DFF" w:rsidP="00FF1DFF">
            <w:pPr>
              <w:pStyle w:val="ListBullet2"/>
            </w:pPr>
            <w:r w:rsidRPr="00FF1DFF">
              <w:t>information systems such as air traffic and information management systems and network server sys</w:t>
            </w:r>
            <w:r w:rsidRPr="00FF1DFF">
              <w:t xml:space="preserve">tems </w:t>
            </w:r>
          </w:p>
          <w:p w:rsidR="00000000" w:rsidRPr="00FF1DFF" w:rsidP="00FF1DFF">
            <w:pPr>
              <w:pStyle w:val="ListBullet2"/>
            </w:pPr>
            <w:r w:rsidRPr="00FF1DFF">
              <w:t>radio frequency navigation systems - instrument landing system (ILS), very high frequency omni-range (VOR), automatic direction finding (ADF), global navigation system (GNS)</w:t>
            </w:r>
          </w:p>
          <w:p w:rsidR="00000000" w:rsidRPr="00FF1DFF" w:rsidP="00FF1DFF">
            <w:pPr>
              <w:pStyle w:val="ListBullet2"/>
            </w:pPr>
            <w:r w:rsidRPr="00FF1DFF">
              <w:t>primary radar (navigation/weather) components and interface</w:t>
            </w:r>
          </w:p>
          <w:p w:rsidR="00000000" w:rsidRPr="00FF1DFF" w:rsidP="00FF1DFF">
            <w:pPr>
              <w:pStyle w:val="ListBullet2"/>
            </w:pPr>
            <w:r w:rsidRPr="00FF1DFF">
              <w:t>aircraft collisi</w:t>
            </w:r>
            <w:r w:rsidRPr="00FF1DFF">
              <w:t>on avoidance (ACAS) components and interface</w:t>
            </w:r>
          </w:p>
          <w:p w:rsidR="00000000" w:rsidRPr="00FF1DFF" w:rsidP="00FF1DFF">
            <w:pPr>
              <w:pStyle w:val="ListBullet2"/>
            </w:pPr>
            <w:r w:rsidRPr="00FF1DFF">
              <w:t>radio altimeter components and interface</w:t>
            </w:r>
          </w:p>
          <w:p w:rsidR="00000000" w:rsidRPr="00FF1DFF" w:rsidP="00FF1DFF">
            <w:pPr>
              <w:pStyle w:val="ListBullet2"/>
            </w:pPr>
            <w:r w:rsidRPr="00FF1DFF">
              <w:t>distance measuring equipment (DME) components and interface</w:t>
            </w:r>
          </w:p>
          <w:p w:rsidR="00000000" w:rsidP="00FF1DFF">
            <w:pPr>
              <w:pStyle w:val="ListBullet2"/>
              <w:rPr>
                <w:lang w:val="en-NZ"/>
              </w:rPr>
            </w:pPr>
            <w:r w:rsidRPr="00FF1DFF">
              <w:t>ATC Transponders</w:t>
            </w:r>
          </w:p>
        </w:tc>
      </w:tr>
      <w:tr w:rsidTr="00615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Required knowledge</w:t>
            </w:r>
          </w:p>
        </w:tc>
      </w:tr>
      <w:tr w:rsidTr="00615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Look for evidence that confirms knowledge of:</w:t>
            </w:r>
          </w:p>
          <w:p w:rsidR="00000000" w:rsidRPr="00FF1DFF" w:rsidP="00FF1DFF">
            <w:pPr>
              <w:pStyle w:val="ListBullet"/>
            </w:pPr>
            <w:r w:rsidRPr="00FF1DFF">
              <w:t>Component attachment methods and connection of hardware</w:t>
            </w:r>
          </w:p>
          <w:p w:rsidR="00000000" w:rsidRPr="00FF1DFF" w:rsidP="00FF1DFF">
            <w:pPr>
              <w:pStyle w:val="ListBullet"/>
            </w:pPr>
            <w:r w:rsidRPr="00FF1DFF">
              <w:t>The basic layout (block diagram level) and operation of:</w:t>
            </w:r>
          </w:p>
          <w:p w:rsidR="00000000" w:rsidRPr="00FF1DFF" w:rsidP="00FF1DFF">
            <w:pPr>
              <w:pStyle w:val="ListBullet2"/>
            </w:pPr>
            <w:r w:rsidRPr="00FF1DFF">
              <w:t>multi-function display systems (interface units, display generators, display units), i.e. HUD, ICAS, FMS, ACARS, EFIS, ECAM</w:t>
            </w:r>
          </w:p>
          <w:p w:rsidR="00000000" w:rsidRPr="00FF1DFF" w:rsidP="00FF1DFF">
            <w:pPr>
              <w:pStyle w:val="ListBullet2"/>
            </w:pPr>
            <w:r w:rsidRPr="00FF1DFF">
              <w:t>integrated modular avionics</w:t>
            </w:r>
          </w:p>
          <w:p w:rsidR="00000000" w:rsidRPr="00FF1DFF" w:rsidP="00FF1DFF">
            <w:pPr>
              <w:pStyle w:val="ListBullet2"/>
            </w:pPr>
            <w:r w:rsidRPr="00FF1DFF">
              <w:t>INS, IRS</w:t>
            </w:r>
          </w:p>
          <w:p w:rsidR="00000000" w:rsidRPr="00FF1DFF" w:rsidP="00FF1DFF">
            <w:pPr>
              <w:pStyle w:val="ListBullet2"/>
            </w:pPr>
            <w:r w:rsidRPr="00FF1DFF">
              <w:t>external communications systems - HF, UHF, VHF, SATCOM, ELT</w:t>
            </w:r>
          </w:p>
          <w:p w:rsidR="00000000" w:rsidRPr="00FF1DFF" w:rsidP="00FF1DFF">
            <w:pPr>
              <w:pStyle w:val="ListBullet2"/>
            </w:pPr>
            <w:r w:rsidRPr="00FF1DFF">
              <w:t>internal communications systems - intercommunication, Cockpit Voice Recorders, cockpit/cabin audio visual, data systems, cabin network services</w:t>
            </w:r>
          </w:p>
          <w:p w:rsidR="00000000" w:rsidRPr="00FF1DFF" w:rsidP="00FF1DFF">
            <w:pPr>
              <w:pStyle w:val="ListBullet2"/>
            </w:pPr>
            <w:r w:rsidRPr="00FF1DFF">
              <w:t>information sys</w:t>
            </w:r>
            <w:r w:rsidRPr="00FF1DFF">
              <w:t>tems such as air traffic and information management systems and network server systems</w:t>
            </w:r>
          </w:p>
          <w:p w:rsidR="00000000" w:rsidRPr="00FF1DFF" w:rsidP="00FF1DFF">
            <w:pPr>
              <w:pStyle w:val="ListBullet2"/>
            </w:pPr>
            <w:r w:rsidRPr="00FF1DFF">
              <w:t>radio frequency navigation systems - ILS, VOR, ADF, GNS</w:t>
            </w:r>
          </w:p>
          <w:p w:rsidR="00000000" w:rsidRPr="00FF1DFF" w:rsidP="00FF1DFF">
            <w:pPr>
              <w:pStyle w:val="ListBullet2"/>
            </w:pPr>
            <w:r w:rsidRPr="00FF1DFF">
              <w:t>primary radar (navigation/weather) components and interface</w:t>
            </w:r>
          </w:p>
          <w:p w:rsidR="00000000" w:rsidRPr="00FF1DFF" w:rsidP="00FF1DFF">
            <w:pPr>
              <w:pStyle w:val="ListBullet2"/>
            </w:pPr>
            <w:r w:rsidRPr="00FF1DFF">
              <w:t>ACAS components and interface</w:t>
            </w:r>
          </w:p>
          <w:p w:rsidR="00000000" w:rsidRPr="00FF1DFF" w:rsidP="00FF1DFF">
            <w:pPr>
              <w:pStyle w:val="ListBullet2"/>
            </w:pPr>
            <w:r w:rsidRPr="00FF1DFF">
              <w:t>radio altimeter compone</w:t>
            </w:r>
            <w:r w:rsidRPr="00FF1DFF">
              <w:t>nts and interface</w:t>
            </w:r>
          </w:p>
          <w:p w:rsidR="00000000" w:rsidRPr="00FF1DFF" w:rsidP="00FF1DFF">
            <w:pPr>
              <w:pStyle w:val="ListBullet2"/>
            </w:pPr>
            <w:r w:rsidRPr="00FF1DFF">
              <w:t>DME components and interface</w:t>
            </w:r>
          </w:p>
          <w:p w:rsidR="00000000" w:rsidRPr="00FF1DFF" w:rsidP="00FF1DFF">
            <w:pPr>
              <w:pStyle w:val="ListBullet2"/>
            </w:pPr>
            <w:r w:rsidRPr="00FF1DFF">
              <w:t>ATC Transponders.</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10" w:name="O_98136"/>
      <w:bookmarkEnd w:id="10"/>
      <w:r w:rsidRPr="00FF1DFF">
        <w:t>Evidence Guide</w:t>
      </w:r>
    </w:p>
    <w:tbl>
      <w:tblPr>
        <w:tblW w:w="9570" w:type="dxa"/>
        <w:tblLayout w:type="fixed"/>
        <w:tblCellMar>
          <w:left w:w="62" w:type="dxa"/>
          <w:right w:w="62" w:type="dxa"/>
        </w:tblCellMar>
        <w:tblLook w:val="0000"/>
      </w:tblPr>
      <w:tblGrid>
        <w:gridCol w:w="3908"/>
        <w:gridCol w:w="5662"/>
      </w:tblGrid>
      <w:tr w:rsidTr="00615F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EVIDENCE GUIDE</w:t>
            </w:r>
          </w:p>
        </w:tc>
      </w:tr>
      <w:tr w:rsidTr="00615F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The Evidence Guide provides advice on assessment and must be read in conjunction with the performance criteria, required skills and knowledge, range statement and the Assessment Guidelines for the Training Package.</w:t>
            </w:r>
          </w:p>
        </w:tc>
      </w:tr>
      <w:tr w:rsidTr="00615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A person who demonstrates competency in this unit must be able to inspect aircraft electronic systems and components while observing all relevant safety precautions.</w:t>
            </w:r>
          </w:p>
        </w:tc>
      </w:tr>
      <w:tr w:rsidTr="00615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Critical aspects for assessment and evidence required to demonstrate competency in this u</w:t>
            </w:r>
            <w:r w:rsidRPr="00FF1DFF">
              <w:rPr>
                <w:rStyle w:val="SpecialBold"/>
              </w:rPr>
              <w:t>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The underlying skills inherent in this unit should be transferable across a range of inspection applications (including the timely involvement of supervisors or other trades) associated with aircraft electronic systems and components. It is essential t</w:t>
            </w:r>
            <w:r w:rsidRPr="00FF1DFF">
              <w:t>hat cleanliness requirements and safety precautions applicable to the system being maintained are fully observed, understood and complied with. Ability to interpret inspection procedures and specifications (allowable limits) and apply them in practice is c</w:t>
            </w:r>
            <w:r w:rsidRPr="00FF1DFF">
              <w:t>ritical.</w:t>
            </w:r>
          </w:p>
          <w:p w:rsidR="00000000" w:rsidRPr="00FF1DFF" w:rsidP="00FF1DFF">
            <w:pPr>
              <w:pStyle w:val="BodyText"/>
            </w:pPr>
            <w:r w:rsidRPr="00FF1DFF">
              <w:t>Evidence of transferability of skills and knowledge related to inspection is essential. This is to be demonstrated through application across a range of electronic systems and components listed in the Range Statement. The work plan should take acc</w:t>
            </w:r>
            <w:r w:rsidRPr="00FF1DFF">
              <w:t>ount of applicable safety and quality requirements in accordance with the industry and regulatory standards.</w:t>
            </w:r>
          </w:p>
          <w:p w:rsidR="00000000" w:rsidP="00FF1DFF">
            <w:pPr>
              <w:pStyle w:val="BodyText"/>
              <w:rPr>
                <w:lang w:val="en-NZ"/>
              </w:rPr>
            </w:pPr>
            <w:r w:rsidRPr="00FF1DFF">
              <w:t>A person cannot be assessed as competent until it can be demonstrated to the satisfaction of the workplace assessor that the relevant elements of t</w:t>
            </w:r>
            <w:r w:rsidRPr="00FF1DFF">
              <w:t xml:space="preserve">he Unit of Competency are being achieved under routine supervision on each type of system listed in Groups 1 to 7 in the Range Statement and at least one component for each listed system type (Groups 6 and 7 may be omitted where they are not applicable to </w:t>
            </w:r>
            <w:r w:rsidRPr="00FF1DFF">
              <w:t>the enterprise). This shall be established via the records in the Log of Industrial Experience and Achievement or, where appropriate, an equivalent Industry .</w:t>
            </w:r>
          </w:p>
        </w:tc>
      </w:tr>
      <w:tr w:rsidTr="00615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 xml:space="preserve">Competency should be assessed in the workplace </w:t>
            </w:r>
            <w:r w:rsidRPr="00FF1DFF">
              <w:t>or simulated workplace using tools and equipment specified in the maintenance manuals. It is also expected that general and special purpose tools, test and ground support equipment would be used where appropriate.</w:t>
            </w:r>
          </w:p>
        </w:tc>
      </w:tr>
      <w:tr w:rsidTr="00615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p>
        </w:tc>
      </w:tr>
      <w:tr w:rsidTr="00615F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Guidance informati</w:t>
            </w:r>
            <w:r w:rsidRPr="00FF1DFF">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11" w:name="O_98137"/>
      <w:bookmarkEnd w:id="11"/>
      <w:r w:rsidRPr="00FF1DFF">
        <w:t>Range Statement</w:t>
      </w:r>
    </w:p>
    <w:tbl>
      <w:tblPr>
        <w:tblW w:w="0" w:type="auto"/>
        <w:tblLayout w:type="fixed"/>
        <w:tblCellMar>
          <w:left w:w="62" w:type="dxa"/>
          <w:right w:w="62" w:type="dxa"/>
        </w:tblCellMar>
        <w:tblLook w:val="0000"/>
      </w:tblPr>
      <w:tblGrid>
        <w:gridCol w:w="3521"/>
        <w:gridCol w:w="5001"/>
      </w:tblGrid>
      <w:tr w:rsidTr="00615F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RANGE STATEMENT</w:t>
            </w:r>
          </w:p>
        </w:tc>
      </w:tr>
      <w:tr w:rsidTr="00615F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 xml:space="preserve">The range statement relates to the unit of competency as a whole. It allows for different work environments and situations that may affect </w:t>
            </w:r>
            <w:r w:rsidRPr="00FF1DFF">
              <w:t>performance. Bold italicised wording, if used in the performance criteria, is detailed below. Essential operating conditions that may be present with training and assessment (depending on the work situation, needs of the candidate, accessibility of the ite</w:t>
            </w:r>
            <w:r w:rsidRPr="00FF1DFF">
              <w:t>m, and local industry and regional contexts) may also be included.</w:t>
            </w:r>
          </w:p>
        </w:tc>
      </w:tr>
      <w:tr w:rsidTr="00615FE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Note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Range statements listed below are numbered to facilitate specification of the assessment requirements included in the Evidence Guide.</w:t>
            </w:r>
          </w:p>
        </w:tc>
      </w:tr>
      <w:tr w:rsidTr="00615FE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rPr>
                <w:rStyle w:val="SpecialBold"/>
              </w:rPr>
              <w:t>Electronic systems and components</w:t>
            </w:r>
            <w:r w:rsidRPr="00FF1DFF">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rPr>
                <w:rStyle w:val="Emphasis"/>
              </w:rPr>
              <w:t>Electronic s</w:t>
            </w:r>
            <w:r w:rsidRPr="00FF1DFF">
              <w:rPr>
                <w:rStyle w:val="Emphasis"/>
              </w:rPr>
              <w:t>ystems and components include</w:t>
            </w:r>
            <w:r w:rsidRPr="00FF1DFF">
              <w:t>:</w:t>
            </w:r>
          </w:p>
          <w:p w:rsidR="00000000" w:rsidRPr="00FF1DFF" w:rsidP="00FF1DFF">
            <w:pPr>
              <w:pStyle w:val="BodyText"/>
            </w:pPr>
            <w:r w:rsidRPr="00FF1DFF">
              <w:t>1.  Electronic instrument displays - electronic flight instrument systems (EFIS), engine indicating and crew alerting systems (EICAS), flight management systems (FMS), electronic centralised aircraft monitor systems (ECAM), and head-up display systems (HUD</w:t>
            </w:r>
            <w:r w:rsidRPr="00FF1DFF">
              <w:t>) (where applicable to enterprise)</w:t>
            </w:r>
          </w:p>
          <w:p w:rsidR="00000000" w:rsidRPr="00FF1DFF" w:rsidP="00FF1DFF">
            <w:pPr>
              <w:pStyle w:val="BodyText"/>
            </w:pPr>
            <w:r w:rsidRPr="00FF1DFF">
              <w:t>2.  Instrument navigation systems - inertial navigation systems (INS), inertial reference systems (IRS), compasses and attitude and heading reference systems (AHRS)</w:t>
            </w:r>
          </w:p>
          <w:p w:rsidR="00000000" w:rsidRPr="00FF1DFF" w:rsidP="00FF1DFF">
            <w:pPr>
              <w:pStyle w:val="BodyText"/>
            </w:pPr>
            <w:r w:rsidRPr="00FF1DFF">
              <w:t>3.  Communication systems - high frequency (HF), very high frequency (VHF), ultra high frequency (UHF), satellite communication (SATCOM), intercom, data and cabin network services, emergency location transmitter (ELT) and cockpit voice recorder (CVR)</w:t>
            </w:r>
          </w:p>
          <w:p w:rsidR="00000000" w:rsidRPr="00FF1DFF" w:rsidP="00FF1DFF">
            <w:pPr>
              <w:pStyle w:val="BodyText"/>
            </w:pPr>
            <w:r w:rsidRPr="00FF1DFF">
              <w:t>4.  R</w:t>
            </w:r>
            <w:r w:rsidRPr="00FF1DFF">
              <w:t>adio navigation systems - automatic direction finding (ADF), very high frequency omni-range (VOR), instrument landing system (ILS), and global navigation system (GNS)</w:t>
            </w:r>
          </w:p>
          <w:p w:rsidR="00000000" w:rsidRPr="00FF1DFF" w:rsidP="00FF1DFF">
            <w:pPr>
              <w:pStyle w:val="BodyText"/>
            </w:pPr>
            <w:r w:rsidRPr="00FF1DFF">
              <w:t>5.  Pulse operated systems - weather radar, navigation radar, ATC transponder, radio alti</w:t>
            </w:r>
            <w:r w:rsidRPr="00FF1DFF">
              <w:t>meter (RADALT), distance measuring equipment (DME), doppler and aircraft collision avoidance system (ACAS) (where applicable to enterprise)</w:t>
            </w:r>
          </w:p>
          <w:p w:rsidR="00000000" w:rsidRPr="00FF1DFF" w:rsidP="00FF1DFF">
            <w:pPr>
              <w:pStyle w:val="BodyText"/>
            </w:pPr>
            <w:r w:rsidRPr="00FF1DFF">
              <w:t>6.  Integrated modular avionics (where applicable to enterprise)</w:t>
            </w:r>
          </w:p>
          <w:p w:rsidR="00000000" w:rsidP="00FF1DFF">
            <w:pPr>
              <w:pStyle w:val="BodyText"/>
              <w:rPr>
                <w:lang w:val="en-NZ"/>
              </w:rPr>
            </w:pPr>
            <w:r w:rsidRPr="00FF1DFF">
              <w:t>7.  Information systems - air traffic and informati</w:t>
            </w:r>
            <w:r w:rsidRPr="00FF1DFF">
              <w:t>on management, network servers (where applicable to enterprise)</w:t>
            </w:r>
          </w:p>
        </w:tc>
      </w:tr>
      <w:tr w:rsidTr="00615FE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Application</w:t>
            </w:r>
            <w:r w:rsidRPr="00FF1DFF">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Application of this unit may relate to:</w:t>
            </w:r>
          </w:p>
          <w:p w:rsidR="00000000" w:rsidRPr="00FF1DFF" w:rsidP="00FF1DFF">
            <w:pPr>
              <w:pStyle w:val="ListBullet"/>
            </w:pPr>
            <w:r w:rsidRPr="00FF1DFF">
              <w:t>Scheduled or unscheduled maintenance activities</w:t>
            </w:r>
          </w:p>
          <w:p w:rsidR="00000000" w:rsidP="00FF1DFF">
            <w:pPr>
              <w:pStyle w:val="ListBullet"/>
              <w:rPr>
                <w:lang w:val="en-NZ"/>
              </w:rPr>
            </w:pPr>
            <w:r w:rsidRPr="00FF1DFF">
              <w:t>Individual or team related activities</w:t>
            </w:r>
          </w:p>
        </w:tc>
      </w:tr>
      <w:tr w:rsidTr="00615FE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Procedures and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Refer to industry stan</w:t>
            </w:r>
            <w:r w:rsidRPr="00FF1DFF">
              <w:t>dard procedures specified by manufacturers, regulatory authorities or the enterprise</w:t>
            </w:r>
          </w:p>
        </w:tc>
      </w:tr>
    </w:tbl>
    <w:p w:rsidR="00615FE1" w:rsidP="00FF1DFF">
      <w:pPr>
        <w:pStyle w:val="BodyText"/>
      </w:pPr>
    </w:p>
    <w:p w:rsidR="00615FE1" w:rsidP="00FF1DFF">
      <w:pPr>
        <w:pStyle w:val="BodyText"/>
      </w:pPr>
    </w:p>
    <w:p w:rsidR="00000000" w:rsidRPr="00FF1DFF" w:rsidP="00FF1DFF">
      <w:pPr>
        <w:pStyle w:val="Heading1"/>
      </w:pPr>
      <w:bookmarkStart w:id="12" w:name="O_98138"/>
      <w:bookmarkEnd w:id="12"/>
      <w:r w:rsidRPr="00FF1DFF">
        <w:t>Unit Sector(s)</w:t>
      </w:r>
    </w:p>
    <w:tbl>
      <w:tblPr>
        <w:tblW w:w="0" w:type="auto"/>
        <w:tblLayout w:type="fixed"/>
        <w:tblCellMar>
          <w:left w:w="62" w:type="dxa"/>
          <w:right w:w="62" w:type="dxa"/>
        </w:tblCellMar>
        <w:tblLook w:val="0000"/>
      </w:tblPr>
      <w:tblGrid>
        <w:gridCol w:w="2654"/>
        <w:gridCol w:w="5868"/>
      </w:tblGrid>
      <w:tr w:rsidTr="00615F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13" w:name="O_158784"/>
      <w:bookmarkEnd w:id="13"/>
      <w:r w:rsidRPr="00FF1DFF">
        <w:t>Competency field</w:t>
      </w:r>
    </w:p>
    <w:tbl>
      <w:tblPr>
        <w:tblW w:w="0" w:type="auto"/>
        <w:tblLayout w:type="fixed"/>
        <w:tblCellMar>
          <w:left w:w="62" w:type="dxa"/>
          <w:right w:w="62" w:type="dxa"/>
        </w:tblCellMar>
        <w:tblLook w:val="0000"/>
      </w:tblPr>
      <w:tblGrid>
        <w:gridCol w:w="2778"/>
        <w:gridCol w:w="5744"/>
      </w:tblGrid>
      <w:tr w:rsidTr="00615FE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r w:rsidRPr="00FF1DFF">
              <w:t>Aviation maintenance</w:t>
            </w:r>
          </w:p>
        </w:tc>
      </w:tr>
    </w:tbl>
    <w:p w:rsidR="00000000" w:rsidRPr="00FF1DFF" w:rsidP="00FF1DFF">
      <w:pPr>
        <w:pStyle w:val="BodyText"/>
      </w:pPr>
    </w:p>
    <w:p w:rsidR="00000000" w:rsidRPr="00FF1DFF" w:rsidP="00FF1DFF">
      <w:pPr>
        <w:pStyle w:val="AllowPageBreak"/>
      </w:pPr>
    </w:p>
    <w:p w:rsidR="00000000" w:rsidRPr="00FF1DFF" w:rsidP="00FF1DFF">
      <w:pPr>
        <w:pStyle w:val="Heading1"/>
      </w:pPr>
      <w:bookmarkStart w:id="14" w:name="O_158783"/>
      <w:bookmarkEnd w:id="14"/>
      <w:r w:rsidRPr="00FF1DFF">
        <w:t>Co-requisite units</w:t>
      </w:r>
    </w:p>
    <w:tbl>
      <w:tblPr>
        <w:tblW w:w="0" w:type="auto"/>
        <w:tblLayout w:type="fixed"/>
        <w:tblCellMar>
          <w:left w:w="62" w:type="dxa"/>
          <w:right w:w="62" w:type="dxa"/>
        </w:tblCellMar>
        <w:tblLook w:val="0000"/>
      </w:tblPr>
      <w:tblGrid>
        <w:gridCol w:w="2435"/>
        <w:gridCol w:w="1926"/>
        <w:gridCol w:w="4161"/>
      </w:tblGrid>
      <w:tr w:rsidTr="00615FE1">
        <w:tblPrEx>
          <w:tblW w:w="0" w:type="auto"/>
          <w:tblLayout w:type="fixed"/>
          <w:tblCellMar>
            <w:left w:w="62" w:type="dxa"/>
            <w:right w:w="62" w:type="dxa"/>
          </w:tblCellMar>
          <w:tblLook w:val="0000"/>
        </w:tblPrEx>
        <w:trPr>
          <w:tblHeader/>
        </w:trPr>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rPr>
                <w:rStyle w:val="SpecialBold"/>
              </w:rPr>
              <w:t>Co-requisite units</w:t>
            </w:r>
          </w:p>
        </w:tc>
        <w:tc>
          <w:tcPr>
            <w:tcW w:w="60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p>
        </w:tc>
      </w:tr>
      <w:tr w:rsidTr="00615FE1">
        <w:tblPrEx>
          <w:tblW w:w="0" w:type="auto"/>
          <w:tblLayout w:type="fixed"/>
          <w:tblCellMar>
            <w:left w:w="62" w:type="dxa"/>
            <w:right w:w="62" w:type="dxa"/>
          </w:tblCellMar>
          <w:tblLook w:val="0000"/>
        </w:tblPrEx>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MEA207C</w:t>
            </w: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1DFF">
            <w:pPr>
              <w:pStyle w:val="BodyText"/>
              <w:rPr>
                <w:lang w:val="en-NZ"/>
              </w:rPr>
            </w:pPr>
            <w:r w:rsidRPr="00FF1DFF">
              <w:t>Remove and install aircraft electronic system components</w:t>
            </w:r>
          </w:p>
        </w:tc>
      </w:tr>
      <w:tr w:rsidTr="00615FE1">
        <w:tblPrEx>
          <w:tblW w:w="0" w:type="auto"/>
          <w:tblLayout w:type="fixed"/>
          <w:tblCellMar>
            <w:left w:w="62" w:type="dxa"/>
            <w:right w:w="62" w:type="dxa"/>
          </w:tblCellMar>
          <w:tblLook w:val="0000"/>
        </w:tblPrEx>
        <w:tc>
          <w:tcPr>
            <w:tcW w:w="2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1DFF" w:rsidP="00FF1DFF">
            <w:pPr>
              <w:pStyle w:val="BodyText"/>
            </w:pPr>
          </w:p>
        </w:tc>
      </w:tr>
    </w:tbl>
    <w:p w:rsidR="00000000" w:rsidRPr="00FF1DFF" w:rsidP="00FF1DFF">
      <w:pPr>
        <w:pStyle w:val="BodyText"/>
      </w:pPr>
    </w:p>
    <w:p w:rsidR="00000000" w:rsidRPr="00FF1DFF" w:rsidP="00FF1DFF"/>
    <w:sectPr w:rsidSect="00FF1D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FE1" w:rsidP="00615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E1" w:rsidP="00FF1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5FE1" w:rsidP="00FF1D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5FE1" w:rsidP="00FF1D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FE1" w:rsidP="00615F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E1" w:rsidP="00FF1DFF">
    <w:pPr>
      <w:pStyle w:val="Header"/>
      <w:framePr w:wrap="around"/>
    </w:pPr>
    <w:r>
      <w:fldChar w:fldCharType="begin"/>
    </w:r>
    <w:r>
      <w:instrText xml:space="preserve"> TITLE   \* MERGEFORMAT </w:instrText>
    </w:r>
    <w:r>
      <w:fldChar w:fldCharType="separate"/>
    </w:r>
    <w:r>
      <w:t>MEA226C Inspect aircraft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5FE1" w:rsidP="00FF1D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0D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81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28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D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DFF"/>
    <w:pPr>
      <w:spacing w:before="360" w:after="60"/>
      <w:outlineLvl w:val="0"/>
    </w:pPr>
    <w:rPr>
      <w:sz w:val="32"/>
    </w:rPr>
  </w:style>
  <w:style w:type="paragraph" w:styleId="Heading2">
    <w:name w:val="heading 2"/>
    <w:basedOn w:val="HeadingBase"/>
    <w:next w:val="BodyText"/>
    <w:link w:val="Heading2Char"/>
    <w:qFormat/>
    <w:rsid w:val="00FF1DFF"/>
    <w:pPr>
      <w:keepLines/>
      <w:spacing w:before="240" w:after="120"/>
      <w:outlineLvl w:val="1"/>
    </w:pPr>
    <w:rPr>
      <w:sz w:val="28"/>
      <w:szCs w:val="40"/>
    </w:rPr>
  </w:style>
  <w:style w:type="paragraph" w:styleId="Heading3">
    <w:name w:val="heading 3"/>
    <w:basedOn w:val="HeadingBase"/>
    <w:next w:val="BodyText"/>
    <w:link w:val="Heading3Char"/>
    <w:qFormat/>
    <w:rsid w:val="00FF1DFF"/>
    <w:pPr>
      <w:spacing w:before="180" w:after="120"/>
      <w:outlineLvl w:val="2"/>
    </w:pPr>
    <w:rPr>
      <w:spacing w:val="-10"/>
      <w:kern w:val="32"/>
    </w:rPr>
  </w:style>
  <w:style w:type="paragraph" w:styleId="Heading4">
    <w:name w:val="heading 4"/>
    <w:basedOn w:val="HeadingBase"/>
    <w:next w:val="BodyText"/>
    <w:link w:val="Heading4Char"/>
    <w:qFormat/>
    <w:rsid w:val="00FF1DFF"/>
    <w:pPr>
      <w:spacing w:before="160" w:after="120"/>
      <w:outlineLvl w:val="3"/>
    </w:pPr>
    <w:rPr>
      <w:sz w:val="22"/>
    </w:rPr>
  </w:style>
  <w:style w:type="paragraph" w:styleId="Heading5">
    <w:name w:val="heading 5"/>
    <w:basedOn w:val="HeadingBase"/>
    <w:next w:val="Normal"/>
    <w:link w:val="Heading5Char"/>
    <w:qFormat/>
    <w:rsid w:val="00FF1DFF"/>
    <w:pPr>
      <w:spacing w:before="80"/>
      <w:outlineLvl w:val="4"/>
    </w:pPr>
    <w:rPr>
      <w:color w:val="918585"/>
      <w:sz w:val="20"/>
    </w:rPr>
  </w:style>
  <w:style w:type="paragraph" w:styleId="Heading6">
    <w:name w:val="heading 6"/>
    <w:basedOn w:val="HeadingBase"/>
    <w:next w:val="Normal"/>
    <w:link w:val="Heading6Char"/>
    <w:qFormat/>
    <w:rsid w:val="00FF1DFF"/>
    <w:pPr>
      <w:spacing w:before="60"/>
      <w:outlineLvl w:val="5"/>
    </w:pPr>
    <w:rPr>
      <w:color w:val="918585"/>
      <w:sz w:val="20"/>
    </w:rPr>
  </w:style>
  <w:style w:type="paragraph" w:styleId="Heading7">
    <w:name w:val="heading 7"/>
    <w:basedOn w:val="Normal"/>
    <w:next w:val="Normal"/>
    <w:link w:val="Heading7Char"/>
    <w:qFormat/>
    <w:rsid w:val="00FF1DFF"/>
    <w:pPr>
      <w:ind w:left="720"/>
      <w:outlineLvl w:val="6"/>
    </w:pPr>
    <w:rPr>
      <w:i/>
    </w:rPr>
  </w:style>
  <w:style w:type="paragraph" w:styleId="Heading8">
    <w:name w:val="heading 8"/>
    <w:basedOn w:val="Normal"/>
    <w:next w:val="Normal"/>
    <w:link w:val="Heading8Char"/>
    <w:qFormat/>
    <w:rsid w:val="00FF1DFF"/>
    <w:pPr>
      <w:ind w:left="720"/>
      <w:outlineLvl w:val="7"/>
    </w:pPr>
    <w:rPr>
      <w:i/>
    </w:rPr>
  </w:style>
  <w:style w:type="paragraph" w:styleId="Heading9">
    <w:name w:val="heading 9"/>
    <w:basedOn w:val="Normal"/>
    <w:next w:val="Normal"/>
    <w:link w:val="Heading9Char"/>
    <w:qFormat/>
    <w:rsid w:val="00FF1DFF"/>
    <w:pPr>
      <w:ind w:left="720"/>
      <w:outlineLvl w:val="8"/>
    </w:pPr>
    <w:rPr>
      <w:i/>
    </w:rPr>
  </w:style>
  <w:style w:type="character" w:default="1" w:styleId="DefaultParagraphFont">
    <w:name w:val="Default Paragraph Font"/>
    <w:uiPriority w:val="1"/>
    <w:unhideWhenUsed/>
    <w:rsid w:val="00FF1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DFF"/>
  </w:style>
  <w:style w:type="character" w:customStyle="1" w:styleId="Heading1Char">
    <w:name w:val="Heading 1 Char"/>
    <w:basedOn w:val="DefaultParagraphFont"/>
    <w:link w:val="Heading1"/>
    <w:rsid w:val="00FF1DFF"/>
    <w:rPr>
      <w:rFonts w:ascii="Times New Roman" w:eastAsia="Times New Roman" w:hAnsi="Times New Roman" w:cs="Times New Roman"/>
      <w:b/>
      <w:sz w:val="32"/>
      <w:szCs w:val="20"/>
      <w:lang w:eastAsia="en-US"/>
    </w:rPr>
  </w:style>
  <w:style w:type="paragraph" w:styleId="BodyText">
    <w:name w:val="Body Text"/>
    <w:basedOn w:val="Normal"/>
    <w:link w:val="BodyTextChar"/>
    <w:rsid w:val="00FF1D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DFF"/>
    <w:rPr>
      <w:rFonts w:ascii="Times New Roman" w:eastAsia="Times New Roman" w:hAnsi="Times New Roman" w:cs="Times New Roman"/>
      <w:sz w:val="24"/>
      <w:lang w:val="en-US" w:eastAsia="en-US"/>
    </w:rPr>
  </w:style>
  <w:style w:type="paragraph" w:styleId="Footer">
    <w:name w:val="footer"/>
    <w:basedOn w:val="Normal"/>
    <w:link w:val="FooterChar"/>
    <w:rsid w:val="00FF1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DFF"/>
    <w:rPr>
      <w:rFonts w:ascii="Times New Roman" w:eastAsia="Times New Roman" w:hAnsi="Times New Roman" w:cs="Times New Roman"/>
      <w:sz w:val="16"/>
      <w:lang w:val="en-US" w:eastAsia="en-US"/>
    </w:rPr>
  </w:style>
  <w:style w:type="paragraph" w:styleId="List">
    <w:name w:val="List"/>
    <w:basedOn w:val="BodyText"/>
    <w:next w:val="BodyText"/>
    <w:rsid w:val="00FF1DFF"/>
    <w:pPr>
      <w:tabs>
        <w:tab w:val="left" w:pos="340"/>
      </w:tabs>
      <w:spacing w:before="60" w:after="60"/>
      <w:ind w:left="340" w:hanging="340"/>
    </w:pPr>
  </w:style>
  <w:style w:type="paragraph" w:styleId="ListBullet">
    <w:name w:val="List Bullet"/>
    <w:basedOn w:val="List"/>
    <w:rsid w:val="00FF1DFF"/>
    <w:pPr>
      <w:numPr>
        <w:numId w:val="13"/>
      </w:numPr>
      <w:tabs>
        <w:tab w:val="clear" w:pos="340"/>
      </w:tabs>
      <w:spacing w:before="40" w:after="40"/>
    </w:pPr>
  </w:style>
  <w:style w:type="character" w:customStyle="1" w:styleId="SpecialBold">
    <w:name w:val="Special Bold"/>
    <w:basedOn w:val="DefaultParagraphFont"/>
    <w:rsid w:val="00FF1DFF"/>
    <w:rPr>
      <w:b/>
      <w:spacing w:val="0"/>
    </w:rPr>
  </w:style>
  <w:style w:type="paragraph" w:styleId="ListBullet2">
    <w:name w:val="List Bullet 2"/>
    <w:basedOn w:val="List2"/>
    <w:rsid w:val="00FF1DFF"/>
    <w:pPr>
      <w:numPr>
        <w:numId w:val="14"/>
      </w:numPr>
      <w:tabs>
        <w:tab w:val="clear" w:pos="680"/>
      </w:tabs>
    </w:pPr>
  </w:style>
  <w:style w:type="paragraph" w:styleId="Header">
    <w:name w:val="header"/>
    <w:basedOn w:val="Normal"/>
    <w:link w:val="HeaderChar"/>
    <w:rsid w:val="00FF1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D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1DFF"/>
    <w:rPr>
      <w:i/>
    </w:rPr>
  </w:style>
  <w:style w:type="paragraph" w:customStyle="1" w:styleId="SuperHeading">
    <w:name w:val="SuperHeading"/>
    <w:basedOn w:val="Normal"/>
    <w:rsid w:val="00FF1DFF"/>
    <w:pPr>
      <w:spacing w:before="240" w:after="120"/>
      <w:outlineLvl w:val="0"/>
    </w:pPr>
    <w:rPr>
      <w:rFonts w:ascii="Times New Roman" w:hAnsi="Times New Roman"/>
      <w:b/>
      <w:sz w:val="28"/>
    </w:rPr>
  </w:style>
  <w:style w:type="paragraph" w:customStyle="1" w:styleId="AllowPageBreak">
    <w:name w:val="AllowPageBreak"/>
    <w:rsid w:val="00FF1D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DFF"/>
    <w:pPr>
      <w:tabs>
        <w:tab w:val="left" w:pos="680"/>
      </w:tabs>
      <w:spacing w:before="60" w:after="60"/>
      <w:ind w:left="680" w:hanging="340"/>
    </w:pPr>
  </w:style>
  <w:style w:type="character" w:customStyle="1" w:styleId="BoldandItalics">
    <w:name w:val="Bold and Italics"/>
    <w:qFormat/>
    <w:rsid w:val="00FF1DFF"/>
    <w:rPr>
      <w:b/>
      <w:i/>
      <w:u w:val="none"/>
    </w:rPr>
  </w:style>
  <w:style w:type="character" w:customStyle="1" w:styleId="Heading2Char">
    <w:name w:val="Heading 2 Char"/>
    <w:basedOn w:val="DefaultParagraphFont"/>
    <w:link w:val="Heading2"/>
    <w:rsid w:val="00FF1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D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D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DFF"/>
    <w:rPr>
      <w:rFonts w:ascii="Courier New" w:eastAsia="Times New Roman" w:hAnsi="Courier New" w:cs="Times New Roman"/>
      <w:i/>
      <w:szCs w:val="20"/>
      <w:lang w:val="en-US" w:eastAsia="en-US"/>
    </w:rPr>
  </w:style>
  <w:style w:type="paragraph" w:customStyle="1" w:styleId="HeadingBase">
    <w:name w:val="Heading Base"/>
    <w:rsid w:val="00FF1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DFF"/>
    <w:pPr>
      <w:tabs>
        <w:tab w:val="right" w:leader="dot" w:pos="9072"/>
      </w:tabs>
      <w:ind w:left="567"/>
    </w:pPr>
    <w:rPr>
      <w:szCs w:val="22"/>
    </w:rPr>
  </w:style>
  <w:style w:type="paragraph" w:customStyle="1" w:styleId="TOCBase">
    <w:name w:val="TOC Base"/>
    <w:rsid w:val="00FF1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DFF"/>
    <w:pPr>
      <w:tabs>
        <w:tab w:val="right" w:leader="dot" w:pos="9072"/>
      </w:tabs>
      <w:spacing w:before="40" w:after="40"/>
      <w:ind w:left="284"/>
    </w:pPr>
    <w:rPr>
      <w:rFonts w:ascii="Times New Roman" w:hAnsi="Times New Roman"/>
    </w:rPr>
  </w:style>
  <w:style w:type="paragraph" w:styleId="TOC1">
    <w:name w:val="toc 1"/>
    <w:basedOn w:val="TOCBase"/>
    <w:next w:val="Normal"/>
    <w:rsid w:val="00FF1D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DFF"/>
    <w:pPr>
      <w:spacing w:before="5040"/>
      <w:jc w:val="center"/>
    </w:pPr>
    <w:rPr>
      <w:sz w:val="48"/>
      <w:szCs w:val="72"/>
      <w:lang w:val="en-US"/>
    </w:rPr>
  </w:style>
  <w:style w:type="character" w:customStyle="1" w:styleId="TitleChar">
    <w:name w:val="Title Char"/>
    <w:basedOn w:val="DefaultParagraphFont"/>
    <w:link w:val="Title"/>
    <w:rsid w:val="00FF1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DFF"/>
    <w:pPr>
      <w:tabs>
        <w:tab w:val="left" w:pos="3600"/>
        <w:tab w:val="left" w:pos="3958"/>
      </w:tabs>
    </w:pPr>
  </w:style>
  <w:style w:type="paragraph" w:customStyle="1" w:styleId="Note">
    <w:name w:val="Note"/>
    <w:basedOn w:val="BodyText"/>
    <w:rsid w:val="00FF1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DFF"/>
    <w:pPr>
      <w:framePr w:wrap="auto" w:hAnchor="text" w:y="6049"/>
    </w:pPr>
    <w:rPr>
      <w:color w:val="000000"/>
      <w:sz w:val="40"/>
    </w:rPr>
  </w:style>
  <w:style w:type="paragraph" w:customStyle="1" w:styleId="TOCTitle">
    <w:name w:val="TOCTitle"/>
    <w:basedOn w:val="Heading1"/>
    <w:rsid w:val="00FF1DFF"/>
    <w:pPr>
      <w:spacing w:after="240"/>
      <w:jc w:val="center"/>
      <w:outlineLvl w:val="9"/>
    </w:pPr>
    <w:rPr>
      <w:caps/>
    </w:rPr>
  </w:style>
  <w:style w:type="paragraph" w:customStyle="1" w:styleId="Version">
    <w:name w:val="Version"/>
    <w:rsid w:val="00FF1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DFF"/>
    <w:pPr>
      <w:keepNext w:val="0"/>
      <w:tabs>
        <w:tab w:val="right" w:pos="4176"/>
      </w:tabs>
      <w:ind w:left="198" w:hanging="198"/>
    </w:pPr>
    <w:rPr>
      <w:rFonts w:ascii="Garamond" w:hAnsi="Garamond"/>
    </w:rPr>
  </w:style>
  <w:style w:type="paragraph" w:styleId="IndexHeading">
    <w:name w:val="index heading"/>
    <w:basedOn w:val="Normal"/>
    <w:next w:val="Index1"/>
    <w:semiHidden/>
    <w:rsid w:val="00FF1DFF"/>
    <w:pPr>
      <w:spacing w:before="120" w:after="120"/>
    </w:pPr>
    <w:rPr>
      <w:rFonts w:ascii="Arial" w:hAnsi="Arial"/>
      <w:b/>
      <w:color w:val="918585"/>
      <w:sz w:val="24"/>
    </w:rPr>
  </w:style>
  <w:style w:type="paragraph" w:customStyle="1" w:styleId="Chapter">
    <w:name w:val="Chapter"/>
    <w:basedOn w:val="Normal"/>
    <w:rsid w:val="00FF1DFF"/>
    <w:pPr>
      <w:spacing w:before="240"/>
    </w:pPr>
    <w:rPr>
      <w:rFonts w:ascii="Times New Roman" w:hAnsi="Times New Roman"/>
      <w:smallCaps/>
      <w:spacing w:val="80"/>
      <w:sz w:val="28"/>
    </w:rPr>
  </w:style>
  <w:style w:type="paragraph" w:customStyle="1" w:styleId="InChapter">
    <w:name w:val="InChapter"/>
    <w:basedOn w:val="Heading3"/>
    <w:rsid w:val="00FF1DFF"/>
    <w:pPr>
      <w:spacing w:after="240"/>
      <w:outlineLvl w:val="9"/>
    </w:pPr>
    <w:rPr>
      <w:noProof/>
    </w:rPr>
  </w:style>
  <w:style w:type="paragraph" w:styleId="Index2">
    <w:name w:val="index 2"/>
    <w:basedOn w:val="Normal"/>
    <w:next w:val="Normal"/>
    <w:semiHidden/>
    <w:rsid w:val="00FF1DFF"/>
    <w:pPr>
      <w:tabs>
        <w:tab w:val="right" w:pos="4176"/>
      </w:tabs>
      <w:ind w:left="568" w:hanging="284"/>
    </w:pPr>
    <w:rPr>
      <w:rFonts w:ascii="Garamond" w:hAnsi="Garamond"/>
    </w:rPr>
  </w:style>
  <w:style w:type="paragraph" w:customStyle="1" w:styleId="Byline">
    <w:name w:val="Byline"/>
    <w:rsid w:val="00FF1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DFF"/>
    <w:pPr>
      <w:tabs>
        <w:tab w:val="clear" w:pos="3600"/>
        <w:tab w:val="clear" w:pos="3958"/>
      </w:tabs>
      <w:jc w:val="right"/>
    </w:pPr>
  </w:style>
  <w:style w:type="paragraph" w:styleId="Caption">
    <w:name w:val="caption"/>
    <w:basedOn w:val="BodyText"/>
    <w:next w:val="Normal"/>
    <w:qFormat/>
    <w:rsid w:val="00FF1DFF"/>
    <w:pPr>
      <w:framePr w:w="2268" w:hSpace="181" w:vSpace="181" w:wrap="around" w:vAnchor="text" w:hAnchor="page" w:x="1135" w:y="285" w:anchorLock="1"/>
    </w:pPr>
    <w:rPr>
      <w:i/>
    </w:rPr>
  </w:style>
  <w:style w:type="paragraph" w:customStyle="1" w:styleId="MiniTOCTitle">
    <w:name w:val="MiniTOCTitle"/>
    <w:basedOn w:val="Heading4"/>
    <w:rsid w:val="00FF1DFF"/>
    <w:pPr>
      <w:spacing w:before="240"/>
      <w:outlineLvl w:val="9"/>
    </w:pPr>
    <w:rPr>
      <w:noProof/>
      <w:sz w:val="24"/>
    </w:rPr>
  </w:style>
  <w:style w:type="paragraph" w:customStyle="1" w:styleId="MiniTOCItem">
    <w:name w:val="MiniTOCItem"/>
    <w:basedOn w:val="ListBullet"/>
    <w:rsid w:val="00FF1DFF"/>
    <w:pPr>
      <w:numPr>
        <w:numId w:val="0"/>
      </w:numPr>
      <w:tabs>
        <w:tab w:val="right" w:leader="dot" w:pos="6521"/>
      </w:tabs>
      <w:spacing w:before="0" w:after="0"/>
    </w:pPr>
  </w:style>
  <w:style w:type="paragraph" w:customStyle="1" w:styleId="TOFTitle">
    <w:name w:val="TOFTitle"/>
    <w:basedOn w:val="TOCTitle"/>
    <w:rsid w:val="00FF1DFF"/>
  </w:style>
  <w:style w:type="paragraph" w:styleId="TableofFigures">
    <w:name w:val="table of figures"/>
    <w:basedOn w:val="Normal"/>
    <w:next w:val="Normal"/>
    <w:semiHidden/>
    <w:rsid w:val="00FF1DFF"/>
    <w:pPr>
      <w:tabs>
        <w:tab w:val="right" w:leader="dot" w:pos="9072"/>
      </w:tabs>
      <w:ind w:left="970" w:hanging="403"/>
    </w:pPr>
    <w:rPr>
      <w:rFonts w:ascii="Times New Roman" w:hAnsi="Times New Roman"/>
      <w:b/>
    </w:rPr>
  </w:style>
  <w:style w:type="paragraph" w:styleId="ListNumber">
    <w:name w:val="List Number"/>
    <w:basedOn w:val="List"/>
    <w:rsid w:val="00FF1DFF"/>
    <w:pPr>
      <w:numPr>
        <w:numId w:val="11"/>
      </w:numPr>
    </w:pPr>
  </w:style>
  <w:style w:type="character" w:customStyle="1" w:styleId="WingdingSymbols">
    <w:name w:val="Wingding Symbols"/>
    <w:rsid w:val="00FF1DFF"/>
    <w:rPr>
      <w:rFonts w:ascii="Wingdings" w:hAnsi="Wingdings"/>
    </w:rPr>
  </w:style>
  <w:style w:type="paragraph" w:customStyle="1" w:styleId="TableHeading">
    <w:name w:val="Table Heading"/>
    <w:basedOn w:val="HeadingBase"/>
    <w:rsid w:val="00FF1DFF"/>
    <w:pPr>
      <w:keepLines/>
      <w:pBdr>
        <w:bottom w:val="single" w:sz="6" w:space="1" w:color="918585"/>
      </w:pBdr>
      <w:spacing w:before="240"/>
    </w:pPr>
  </w:style>
  <w:style w:type="character" w:customStyle="1" w:styleId="HotSpot">
    <w:name w:val="HotSpot"/>
    <w:rsid w:val="00FF1DFF"/>
    <w:rPr>
      <w:color w:val="0033CC"/>
      <w:u w:val="none"/>
    </w:rPr>
  </w:style>
  <w:style w:type="paragraph" w:customStyle="1" w:styleId="BodyTextRight">
    <w:name w:val="Body Text Right"/>
    <w:basedOn w:val="BodyText"/>
    <w:rsid w:val="00FF1DFF"/>
    <w:pPr>
      <w:spacing w:before="0" w:after="0"/>
      <w:jc w:val="right"/>
    </w:pPr>
  </w:style>
  <w:style w:type="paragraph" w:styleId="Index3">
    <w:name w:val="index 3"/>
    <w:basedOn w:val="ListNumber2"/>
    <w:next w:val="Normal"/>
    <w:semiHidden/>
    <w:rsid w:val="00FF1DFF"/>
    <w:pPr>
      <w:numPr>
        <w:numId w:val="0"/>
      </w:numPr>
      <w:tabs>
        <w:tab w:val="right" w:leader="dot" w:pos="4176"/>
      </w:tabs>
    </w:pPr>
  </w:style>
  <w:style w:type="paragraph" w:styleId="ListNumber2">
    <w:name w:val="List Number 2"/>
    <w:basedOn w:val="List2"/>
    <w:rsid w:val="00FF1DFF"/>
    <w:pPr>
      <w:numPr>
        <w:numId w:val="10"/>
      </w:numPr>
      <w:tabs>
        <w:tab w:val="clear" w:pos="1060"/>
      </w:tabs>
    </w:pPr>
  </w:style>
  <w:style w:type="paragraph" w:customStyle="1" w:styleId="MarginNote">
    <w:name w:val="Margin Note"/>
    <w:basedOn w:val="BodyText"/>
    <w:rsid w:val="00FF1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D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DFF"/>
    <w:rPr>
      <w:sz w:val="32"/>
    </w:rPr>
  </w:style>
  <w:style w:type="paragraph" w:customStyle="1" w:styleId="HeadingProcedure">
    <w:name w:val="Heading Procedure"/>
    <w:basedOn w:val="HeadingBase"/>
    <w:next w:val="Normal"/>
    <w:rsid w:val="00FF1DFF"/>
    <w:pPr>
      <w:tabs>
        <w:tab w:val="left" w:pos="0"/>
      </w:tabs>
      <w:spacing w:before="120" w:after="60"/>
    </w:pPr>
    <w:rPr>
      <w:i/>
      <w:color w:val="918585"/>
      <w:sz w:val="22"/>
    </w:rPr>
  </w:style>
  <w:style w:type="paragraph" w:customStyle="1" w:styleId="TableBodyText">
    <w:name w:val="Table Body Text"/>
    <w:basedOn w:val="BodyText"/>
    <w:rsid w:val="00FF1DFF"/>
    <w:pPr>
      <w:spacing w:before="60" w:after="60"/>
    </w:pPr>
  </w:style>
  <w:style w:type="paragraph" w:styleId="ListContinue">
    <w:name w:val="List Continue"/>
    <w:basedOn w:val="List"/>
    <w:rsid w:val="00FF1DFF"/>
    <w:pPr>
      <w:ind w:firstLine="0"/>
    </w:pPr>
  </w:style>
  <w:style w:type="paragraph" w:customStyle="1" w:styleId="ListNote">
    <w:name w:val="List Note"/>
    <w:basedOn w:val="List"/>
    <w:rsid w:val="00FF1DFF"/>
    <w:pPr>
      <w:pBdr>
        <w:top w:val="single" w:sz="6" w:space="2" w:color="918585"/>
        <w:bottom w:val="single" w:sz="6" w:space="2" w:color="918585"/>
      </w:pBdr>
      <w:tabs>
        <w:tab w:val="left" w:pos="1021"/>
      </w:tabs>
      <w:ind w:firstLine="0"/>
    </w:pPr>
  </w:style>
  <w:style w:type="paragraph" w:customStyle="1" w:styleId="Warning">
    <w:name w:val="Warning"/>
    <w:basedOn w:val="BodyText"/>
    <w:rsid w:val="00FF1DFF"/>
    <w:pPr>
      <w:shd w:val="clear" w:color="auto" w:fill="D9D9D9"/>
      <w:tabs>
        <w:tab w:val="left" w:pos="992"/>
      </w:tabs>
      <w:ind w:left="119" w:right="119"/>
    </w:pPr>
    <w:rPr>
      <w:sz w:val="20"/>
    </w:rPr>
  </w:style>
  <w:style w:type="paragraph" w:customStyle="1" w:styleId="MarginIcons">
    <w:name w:val="Margin Icons"/>
    <w:basedOn w:val="BodyText"/>
    <w:rsid w:val="00FF1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DFF"/>
    <w:rPr>
      <w:rFonts w:ascii="Courier New" w:hAnsi="Courier New"/>
    </w:rPr>
  </w:style>
  <w:style w:type="paragraph" w:customStyle="1" w:styleId="NoteBullet">
    <w:name w:val="Note Bullet"/>
    <w:basedOn w:val="Note"/>
    <w:rsid w:val="00FF1DFF"/>
    <w:pPr>
      <w:tabs>
        <w:tab w:val="clear" w:pos="680"/>
      </w:tabs>
      <w:spacing w:before="60" w:after="60"/>
    </w:pPr>
  </w:style>
  <w:style w:type="paragraph" w:customStyle="1" w:styleId="SubHeading2">
    <w:name w:val="SubHeading2"/>
    <w:basedOn w:val="HeadingBase"/>
    <w:rsid w:val="00FF1DFF"/>
    <w:pPr>
      <w:spacing w:before="240" w:after="60"/>
    </w:pPr>
    <w:rPr>
      <w:sz w:val="20"/>
    </w:rPr>
  </w:style>
  <w:style w:type="paragraph" w:customStyle="1" w:styleId="SubHeading1">
    <w:name w:val="SubHeading1"/>
    <w:basedOn w:val="HeadingBase"/>
    <w:rsid w:val="00FF1DFF"/>
    <w:pPr>
      <w:spacing w:before="240" w:after="60"/>
    </w:pPr>
    <w:rPr>
      <w:color w:val="918585"/>
      <w:sz w:val="22"/>
    </w:rPr>
  </w:style>
  <w:style w:type="paragraph" w:customStyle="1" w:styleId="SideHeading">
    <w:name w:val="Side Heading"/>
    <w:basedOn w:val="HeadingBase"/>
    <w:rsid w:val="00FF1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DFF"/>
    <w:pPr>
      <w:numPr>
        <w:numId w:val="12"/>
      </w:numPr>
    </w:pPr>
  </w:style>
  <w:style w:type="paragraph" w:styleId="PlainText">
    <w:name w:val="Plain Text"/>
    <w:basedOn w:val="Normal"/>
    <w:link w:val="PlainTextChar"/>
    <w:rsid w:val="00FF1DFF"/>
    <w:rPr>
      <w:sz w:val="20"/>
    </w:rPr>
  </w:style>
  <w:style w:type="character" w:customStyle="1" w:styleId="PlainTextChar">
    <w:name w:val="Plain Text Char"/>
    <w:basedOn w:val="DefaultParagraphFont"/>
    <w:link w:val="PlainText"/>
    <w:rsid w:val="00FF1D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DFF"/>
    <w:rPr>
      <w:b/>
      <w:smallCaps/>
    </w:rPr>
  </w:style>
  <w:style w:type="paragraph" w:customStyle="1" w:styleId="TableListNumber">
    <w:name w:val="Table List Number"/>
    <w:basedOn w:val="ListNumber"/>
    <w:rsid w:val="00FF1DFF"/>
    <w:pPr>
      <w:numPr>
        <w:numId w:val="0"/>
      </w:numPr>
    </w:pPr>
  </w:style>
  <w:style w:type="paragraph" w:styleId="TOC4">
    <w:name w:val="toc 4"/>
    <w:basedOn w:val="TOCBase"/>
    <w:next w:val="Normal"/>
    <w:semiHidden/>
    <w:rsid w:val="00FF1DFF"/>
    <w:pPr>
      <w:tabs>
        <w:tab w:val="right" w:leader="dot" w:pos="9071"/>
      </w:tabs>
      <w:ind w:left="1701"/>
    </w:pPr>
  </w:style>
  <w:style w:type="paragraph" w:customStyle="1" w:styleId="ListAlpha">
    <w:name w:val="List Alpha"/>
    <w:basedOn w:val="List"/>
    <w:rsid w:val="00FF1DFF"/>
    <w:pPr>
      <w:numPr>
        <w:numId w:val="9"/>
      </w:numPr>
    </w:pPr>
  </w:style>
  <w:style w:type="paragraph" w:customStyle="1" w:styleId="ListAlpha2">
    <w:name w:val="List Alpha 2"/>
    <w:basedOn w:val="List2"/>
    <w:rsid w:val="00FF1DFF"/>
    <w:pPr>
      <w:numPr>
        <w:numId w:val="8"/>
      </w:numPr>
    </w:pPr>
  </w:style>
  <w:style w:type="paragraph" w:styleId="List3">
    <w:name w:val="List 3"/>
    <w:basedOn w:val="BodyText"/>
    <w:rsid w:val="00FF1DFF"/>
    <w:pPr>
      <w:tabs>
        <w:tab w:val="left" w:pos="1021"/>
      </w:tabs>
      <w:spacing w:before="60" w:after="60"/>
      <w:ind w:left="1020" w:hanging="340"/>
    </w:pPr>
  </w:style>
  <w:style w:type="paragraph" w:styleId="List4">
    <w:name w:val="List 4"/>
    <w:basedOn w:val="BodyText"/>
    <w:rsid w:val="00FF1DFF"/>
    <w:pPr>
      <w:tabs>
        <w:tab w:val="left" w:pos="1361"/>
      </w:tabs>
      <w:spacing w:before="60" w:after="60"/>
      <w:ind w:left="1361" w:hanging="340"/>
    </w:pPr>
  </w:style>
  <w:style w:type="paragraph" w:styleId="List5">
    <w:name w:val="List 5"/>
    <w:basedOn w:val="BodyText"/>
    <w:rsid w:val="00FF1DFF"/>
    <w:pPr>
      <w:tabs>
        <w:tab w:val="left" w:pos="1701"/>
      </w:tabs>
      <w:spacing w:before="60" w:after="60"/>
      <w:ind w:left="1701" w:hanging="340"/>
    </w:pPr>
  </w:style>
  <w:style w:type="paragraph" w:styleId="ListBullet3">
    <w:name w:val="List Bullet 3"/>
    <w:basedOn w:val="List3"/>
    <w:rsid w:val="00FF1DFF"/>
    <w:pPr>
      <w:numPr>
        <w:numId w:val="15"/>
      </w:numPr>
      <w:tabs>
        <w:tab w:val="clear" w:pos="1021"/>
      </w:tabs>
      <w:ind w:left="1037" w:hanging="357"/>
    </w:pPr>
  </w:style>
  <w:style w:type="paragraph" w:styleId="ListBullet4">
    <w:name w:val="List Bullet 4"/>
    <w:basedOn w:val="List4"/>
    <w:rsid w:val="00FF1DFF"/>
    <w:pPr>
      <w:numPr>
        <w:numId w:val="3"/>
      </w:numPr>
    </w:pPr>
  </w:style>
  <w:style w:type="paragraph" w:styleId="ListBullet5">
    <w:name w:val="List Bullet 5"/>
    <w:basedOn w:val="List5"/>
    <w:rsid w:val="00FF1DFF"/>
    <w:pPr>
      <w:numPr>
        <w:numId w:val="4"/>
      </w:numPr>
    </w:pPr>
  </w:style>
  <w:style w:type="paragraph" w:styleId="ListContinue2">
    <w:name w:val="List Continue 2"/>
    <w:basedOn w:val="List2"/>
    <w:rsid w:val="00FF1DFF"/>
    <w:pPr>
      <w:ind w:firstLine="0"/>
    </w:pPr>
  </w:style>
  <w:style w:type="paragraph" w:styleId="ListContinue3">
    <w:name w:val="List Continue 3"/>
    <w:basedOn w:val="List3"/>
    <w:rsid w:val="00FF1DFF"/>
    <w:pPr>
      <w:ind w:left="1021" w:firstLine="0"/>
    </w:pPr>
  </w:style>
  <w:style w:type="paragraph" w:styleId="ListContinue4">
    <w:name w:val="List Continue 4"/>
    <w:basedOn w:val="List4"/>
    <w:rsid w:val="00FF1DFF"/>
    <w:pPr>
      <w:ind w:firstLine="0"/>
    </w:pPr>
  </w:style>
  <w:style w:type="paragraph" w:styleId="ListContinue5">
    <w:name w:val="List Continue 5"/>
    <w:basedOn w:val="List5"/>
    <w:rsid w:val="00FF1DFF"/>
    <w:pPr>
      <w:ind w:firstLine="0"/>
    </w:pPr>
  </w:style>
  <w:style w:type="paragraph" w:styleId="ListNumber3">
    <w:name w:val="List Number 3"/>
    <w:basedOn w:val="List3"/>
    <w:rsid w:val="00FF1DFF"/>
    <w:pPr>
      <w:numPr>
        <w:numId w:val="5"/>
      </w:numPr>
    </w:pPr>
  </w:style>
  <w:style w:type="paragraph" w:styleId="ListNumber4">
    <w:name w:val="List Number 4"/>
    <w:basedOn w:val="List4"/>
    <w:rsid w:val="00FF1DFF"/>
    <w:pPr>
      <w:numPr>
        <w:numId w:val="6"/>
      </w:numPr>
    </w:pPr>
  </w:style>
  <w:style w:type="paragraph" w:styleId="ListNumber5">
    <w:name w:val="List Number 5"/>
    <w:basedOn w:val="List5"/>
    <w:rsid w:val="00FF1DFF"/>
    <w:pPr>
      <w:numPr>
        <w:numId w:val="7"/>
      </w:numPr>
    </w:pPr>
  </w:style>
  <w:style w:type="paragraph" w:styleId="BlockText">
    <w:name w:val="Block Text"/>
    <w:basedOn w:val="Normal"/>
    <w:rsid w:val="00FF1DFF"/>
    <w:pPr>
      <w:spacing w:after="120"/>
      <w:ind w:left="1440" w:right="1440"/>
    </w:pPr>
  </w:style>
  <w:style w:type="character" w:customStyle="1" w:styleId="Subscript">
    <w:name w:val="Subscript"/>
    <w:basedOn w:val="DefaultParagraphFont"/>
    <w:rsid w:val="00FF1DFF"/>
    <w:rPr>
      <w:sz w:val="16"/>
      <w:vertAlign w:val="subscript"/>
    </w:rPr>
  </w:style>
  <w:style w:type="character" w:customStyle="1" w:styleId="Superscript">
    <w:name w:val="Superscript"/>
    <w:basedOn w:val="DefaultParagraphFont"/>
    <w:rsid w:val="00FF1DFF"/>
    <w:rPr>
      <w:sz w:val="16"/>
      <w:vertAlign w:val="superscript"/>
    </w:rPr>
  </w:style>
  <w:style w:type="character" w:customStyle="1" w:styleId="Symbols">
    <w:name w:val="Symbols"/>
    <w:basedOn w:val="DefaultParagraphFont"/>
    <w:rsid w:val="00FF1DFF"/>
    <w:rPr>
      <w:rFonts w:ascii="Symbol" w:hAnsi="Symbol"/>
    </w:rPr>
  </w:style>
  <w:style w:type="character" w:customStyle="1" w:styleId="MenuOptions">
    <w:name w:val="Menu Options"/>
    <w:basedOn w:val="DefaultParagraphFont"/>
    <w:rsid w:val="00FF1DFF"/>
    <w:rPr>
      <w:rFonts w:ascii="Arial Narrow" w:hAnsi="Arial Narrow"/>
      <w:smallCaps/>
    </w:rPr>
  </w:style>
  <w:style w:type="character" w:customStyle="1" w:styleId="Buttons">
    <w:name w:val="Buttons"/>
    <w:basedOn w:val="DefaultParagraphFont"/>
    <w:rsid w:val="00FF1DFF"/>
    <w:rPr>
      <w:b/>
    </w:rPr>
  </w:style>
  <w:style w:type="character" w:customStyle="1" w:styleId="Underlined">
    <w:name w:val="Underlined"/>
    <w:basedOn w:val="DefaultParagraphFont"/>
    <w:rsid w:val="00FF1DFF"/>
    <w:rPr>
      <w:u w:val="single"/>
    </w:rPr>
  </w:style>
  <w:style w:type="paragraph" w:customStyle="1" w:styleId="TableBodyTextRight">
    <w:name w:val="Table Body Text Right"/>
    <w:basedOn w:val="TableBodyText"/>
    <w:rsid w:val="00FF1DFF"/>
    <w:pPr>
      <w:widowControl w:val="0"/>
      <w:autoSpaceDE w:val="0"/>
      <w:autoSpaceDN w:val="0"/>
      <w:adjustRightInd w:val="0"/>
      <w:jc w:val="right"/>
    </w:pPr>
    <w:rPr>
      <w:rFonts w:cs="Arial"/>
      <w:szCs w:val="18"/>
    </w:rPr>
  </w:style>
  <w:style w:type="paragraph" w:customStyle="1" w:styleId="CopyrightText">
    <w:name w:val="Copyright Text"/>
    <w:basedOn w:val="BodyText"/>
    <w:rsid w:val="00FF1DFF"/>
    <w:rPr>
      <w:sz w:val="18"/>
    </w:rPr>
  </w:style>
  <w:style w:type="paragraph" w:customStyle="1" w:styleId="BodySmallRight">
    <w:name w:val="Body Small Right"/>
    <w:basedOn w:val="BodyTextRight"/>
    <w:rsid w:val="00FF1DFF"/>
    <w:rPr>
      <w:sz w:val="18"/>
      <w:szCs w:val="18"/>
    </w:rPr>
  </w:style>
  <w:style w:type="paragraph" w:customStyle="1" w:styleId="MarginEdition">
    <w:name w:val="Margin Edition"/>
    <w:basedOn w:val="MarginNote"/>
    <w:rsid w:val="00FF1DFF"/>
    <w:pPr>
      <w:spacing w:before="0" w:after="0"/>
    </w:pPr>
    <w:rPr>
      <w:rFonts w:ascii="Times New Roman" w:hAnsi="Times New Roman"/>
      <w:color w:val="999999"/>
    </w:rPr>
  </w:style>
  <w:style w:type="paragraph" w:customStyle="1" w:styleId="Spacer">
    <w:name w:val="Spacer"/>
    <w:basedOn w:val="Normal"/>
    <w:rsid w:val="00FF1DFF"/>
    <w:rPr>
      <w:sz w:val="2"/>
      <w:szCs w:val="2"/>
    </w:rPr>
  </w:style>
  <w:style w:type="character" w:customStyle="1" w:styleId="Small">
    <w:name w:val="Small"/>
    <w:basedOn w:val="DefaultParagraphFont"/>
    <w:rsid w:val="00FF1DFF"/>
    <w:rPr>
      <w:sz w:val="16"/>
    </w:rPr>
  </w:style>
  <w:style w:type="paragraph" w:customStyle="1" w:styleId="WideTable">
    <w:name w:val="Wide Table"/>
    <w:basedOn w:val="Normal"/>
    <w:rsid w:val="00FF1DFF"/>
    <w:pPr>
      <w:ind w:left="-1418"/>
    </w:pPr>
    <w:rPr>
      <w:sz w:val="2"/>
      <w:szCs w:val="2"/>
    </w:rPr>
  </w:style>
  <w:style w:type="character" w:styleId="PageNumber">
    <w:name w:val="page number"/>
    <w:basedOn w:val="DefaultParagraphFont"/>
    <w:rsid w:val="00FF1DFF"/>
  </w:style>
  <w:style w:type="paragraph" w:styleId="Quote">
    <w:name w:val="Quote"/>
    <w:basedOn w:val="Heading1"/>
    <w:link w:val="QuoteChar"/>
    <w:qFormat/>
    <w:rsid w:val="00FF1DFF"/>
    <w:rPr>
      <w:b w:val="0"/>
      <w:sz w:val="72"/>
      <w:szCs w:val="72"/>
      <w:lang w:val="en-NZ"/>
    </w:rPr>
  </w:style>
  <w:style w:type="character" w:customStyle="1" w:styleId="QuoteChar">
    <w:name w:val="Quote Char"/>
    <w:basedOn w:val="DefaultParagraphFont"/>
    <w:link w:val="Quote"/>
    <w:rsid w:val="00FF1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DFF"/>
    <w:pPr>
      <w:pageBreakBefore/>
    </w:pPr>
  </w:style>
  <w:style w:type="paragraph" w:customStyle="1" w:styleId="Border">
    <w:name w:val="Border"/>
    <w:basedOn w:val="Normal"/>
    <w:qFormat/>
    <w:rsid w:val="00FF1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DFF"/>
    <w:rPr>
      <w:b/>
      <w:bCs/>
      <w:i/>
      <w:iCs/>
      <w:color w:val="auto"/>
    </w:rPr>
  </w:style>
  <w:style w:type="paragraph" w:styleId="IntenseQuote">
    <w:name w:val="Intense Quote"/>
    <w:basedOn w:val="Normal"/>
    <w:next w:val="Normal"/>
    <w:link w:val="IntenseQuoteChar"/>
    <w:uiPriority w:val="30"/>
    <w:qFormat/>
    <w:rsid w:val="00FF1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D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DFF"/>
    <w:rPr>
      <w:smallCaps/>
      <w:color w:val="auto"/>
      <w:u w:val="single"/>
    </w:rPr>
  </w:style>
  <w:style w:type="character" w:styleId="IntenseReference">
    <w:name w:val="Intense Reference"/>
    <w:basedOn w:val="DefaultParagraphFont"/>
    <w:uiPriority w:val="32"/>
    <w:qFormat/>
    <w:rsid w:val="00FF1DFF"/>
    <w:rPr>
      <w:b/>
      <w:bCs/>
      <w:smallCaps/>
      <w:color w:val="auto"/>
      <w:spacing w:val="5"/>
      <w:u w:val="single"/>
    </w:rPr>
  </w:style>
  <w:style w:type="paragraph" w:customStyle="1" w:styleId="2ColumnHeading">
    <w:name w:val="2Column Heading"/>
    <w:basedOn w:val="BodyText"/>
    <w:qFormat/>
    <w:rsid w:val="00FF1DFF"/>
    <w:pPr>
      <w:spacing w:after="60"/>
      <w:ind w:left="-2268"/>
    </w:pPr>
    <w:rPr>
      <w:b/>
    </w:rPr>
  </w:style>
  <w:style w:type="paragraph" w:customStyle="1" w:styleId="Heading1TOC">
    <w:name w:val="Heading1 TOC"/>
    <w:basedOn w:val="Normal"/>
    <w:qFormat/>
    <w:rsid w:val="00FF1DFF"/>
    <w:pPr>
      <w:spacing w:before="240" w:after="120"/>
    </w:pPr>
    <w:rPr>
      <w:rFonts w:ascii="Times New Roman" w:hAnsi="Times New Roman"/>
      <w:b/>
      <w:sz w:val="32"/>
    </w:rPr>
  </w:style>
  <w:style w:type="paragraph" w:customStyle="1" w:styleId="Heading2TOC">
    <w:name w:val="Heading2 TOC"/>
    <w:basedOn w:val="Normal"/>
    <w:qFormat/>
    <w:rsid w:val="00FF1DFF"/>
    <w:pPr>
      <w:spacing w:before="240" w:after="60"/>
    </w:pPr>
    <w:rPr>
      <w:rFonts w:ascii="Times New Roman" w:hAnsi="Times New Roman"/>
      <w:b/>
      <w:sz w:val="28"/>
    </w:rPr>
  </w:style>
  <w:style w:type="character" w:customStyle="1" w:styleId="Underline">
    <w:name w:val="Underline"/>
    <w:basedOn w:val="DefaultParagraphFont"/>
    <w:qFormat/>
    <w:rsid w:val="00FF1DFF"/>
    <w:rPr>
      <w:u w:val="single"/>
    </w:rPr>
  </w:style>
  <w:style w:type="paragraph" w:styleId="BalloonText">
    <w:name w:val="Balloon Text"/>
    <w:basedOn w:val="Normal"/>
    <w:link w:val="BalloonTextChar"/>
    <w:rsid w:val="00FF1DFF"/>
    <w:rPr>
      <w:rFonts w:ascii="Tahoma" w:hAnsi="Tahoma" w:cs="Tahoma"/>
      <w:sz w:val="16"/>
      <w:szCs w:val="16"/>
    </w:rPr>
  </w:style>
  <w:style w:type="character" w:customStyle="1" w:styleId="BalloonTextChar">
    <w:name w:val="Balloon Text Char"/>
    <w:basedOn w:val="DefaultParagraphFont"/>
    <w:link w:val="BalloonText"/>
    <w:rsid w:val="00FF1D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D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D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8326</Characters>
  <Application>Microsoft Office Word</Application>
  <DocSecurity>0</DocSecurity>
  <Lines>266</Lines>
  <Paragraphs>109</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MEA226C Inspect aircraft electronic systems and components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2012-05-27T08:53:00Z</dcterms:created>
  <dcterms:modified xsi:type="dcterms:W3CDTF">2012-05-27T08:53:00Z</dcterms:modified>
</cp:coreProperties>
</file>