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12F0" w:rsidP="00FE12F0">
      <w:pPr>
        <w:pStyle w:val="Title"/>
      </w:pPr>
      <w:r>
        <w:fldChar w:fldCharType="begin"/>
      </w:r>
      <w:r>
        <w:instrText xml:space="preserve"> TITLE   \* MERGEFORMAT </w:instrText>
      </w:r>
      <w:r>
        <w:fldChar w:fldCharType="separate"/>
      </w:r>
      <w:r>
        <w:t>MEA203C Remove and install advanced aircraft electrical system components</w:t>
      </w:r>
      <w:r>
        <w:fldChar w:fldCharType="end"/>
      </w:r>
    </w:p>
    <w:p w:rsidR="00FE12F0" w:rsidP="00FE12F0">
      <w:pPr>
        <w:pStyle w:val="Version"/>
        <w:sectPr w:rsidSect="009333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333C1" w:rsidP="009333C1">
      <w:pPr>
        <w:pStyle w:val="SuperHeading"/>
      </w:pPr>
      <w:r w:rsidRPr="009333C1">
        <w:t>MEA203C Remove and install advanced aircraft electrical system components</w:t>
      </w:r>
    </w:p>
    <w:p w:rsidR="00000000" w:rsidRPr="009333C1" w:rsidP="009333C1">
      <w:pPr>
        <w:pStyle w:val="Heading1"/>
      </w:pPr>
      <w:bookmarkStart w:id="1" w:name="O_593500"/>
      <w:bookmarkEnd w:id="1"/>
      <w:r w:rsidRPr="009333C1">
        <w:t>Modification History</w:t>
      </w:r>
    </w:p>
    <w:p w:rsidR="00000000" w:rsidRPr="009333C1" w:rsidP="009333C1">
      <w:pPr>
        <w:pStyle w:val="BodyText"/>
      </w:pPr>
      <w:r w:rsidRPr="009333C1">
        <w:t>Release 3 - Emphasis on regulations regarding ozone depleting substances added in Skills and Knowledge, and in Range Statement. Revised wording regarding licensing - Equivalent</w:t>
      </w:r>
    </w:p>
    <w:p w:rsidR="00000000" w:rsidRPr="009333C1" w:rsidP="009333C1">
      <w:pPr>
        <w:pStyle w:val="BodyText"/>
      </w:pPr>
      <w:r w:rsidRPr="009333C1">
        <w:t xml:space="preserve">Release 2 - Minor formatting and editorial changes made. Additional assessment </w:t>
      </w:r>
      <w:r w:rsidRPr="009333C1">
        <w:t>advice provided in the Evidence Guide.</w:t>
      </w:r>
    </w:p>
    <w:p w:rsidR="00000000" w:rsidRPr="009333C1" w:rsidP="009333C1">
      <w:pPr>
        <w:pStyle w:val="AllowPageBreak"/>
      </w:pPr>
    </w:p>
    <w:p w:rsidR="00000000" w:rsidRPr="009333C1" w:rsidP="009333C1">
      <w:pPr>
        <w:pStyle w:val="Heading1"/>
      </w:pPr>
      <w:bookmarkStart w:id="2" w:name="O_593499"/>
      <w:bookmarkEnd w:id="2"/>
      <w:r w:rsidRPr="009333C1">
        <w:t>Unit Descriptor</w:t>
      </w:r>
    </w:p>
    <w:tbl>
      <w:tblPr>
        <w:tblW w:w="0" w:type="auto"/>
        <w:tblLayout w:type="fixed"/>
        <w:tblCellMar>
          <w:left w:w="62" w:type="dxa"/>
          <w:right w:w="62" w:type="dxa"/>
        </w:tblCellMar>
        <w:tblLook w:val="0000"/>
      </w:tblPr>
      <w:tblGrid>
        <w:gridCol w:w="8820"/>
      </w:tblGrid>
      <w:tr w:rsidTr="00FE12F0">
        <w:tblPrEx>
          <w:tblW w:w="0" w:type="auto"/>
          <w:tblLayout w:type="fixed"/>
          <w:tblCellMar>
            <w:left w:w="62" w:type="dxa"/>
            <w:right w:w="62" w:type="dxa"/>
          </w:tblCellMar>
          <w:tblLook w:val="0000"/>
        </w:tblPrEx>
        <w:tc>
          <w:tcPr>
            <w:tcW w:w="8820" w:type="dxa"/>
            <w:tcBorders>
              <w:top w:val="nil"/>
              <w:left w:val="nil"/>
              <w:bottom w:val="nil"/>
              <w:right w:val="nil"/>
            </w:tcBorders>
            <w:tcMar>
              <w:top w:w="0" w:type="dxa"/>
              <w:left w:w="62" w:type="dxa"/>
              <w:bottom w:w="0" w:type="dxa"/>
              <w:right w:w="62" w:type="dxa"/>
            </w:tcMar>
          </w:tcPr>
          <w:p w:rsidR="00000000" w:rsidRPr="009333C1" w:rsidP="009333C1">
            <w:pPr>
              <w:pStyle w:val="BodyText"/>
            </w:pPr>
            <w:r w:rsidRPr="009333C1">
              <w:t>This unit of competency is part of the Avionic Certificate IV AME training pathway, and of the Mechanical Aircraft Maintenance Engineer licensing pathway. It covers the competencies re</w:t>
            </w:r>
            <w:r w:rsidRPr="009333C1">
              <w:t>quired for the removal and installation of electrical system components of the more advanced types of both fixed and rotary wing aircraft that have both AC and DC electrical systems. The unit is used in workplaces that operate under the airworthiness regul</w:t>
            </w:r>
            <w:r w:rsidRPr="009333C1">
              <w:t>atory systems of the ADF and CASA. Where a CASA licensing outcome is sought this unit forms part of the CASA requirement for the granting of the chosen Aircraft Maintenance Engineer Licence under CASR Part 66, in accordance with the licensing provisions in</w:t>
            </w:r>
            <w:r w:rsidRPr="009333C1">
              <w:t xml:space="preserve"> Section 3, Assessment Guidelines.</w:t>
            </w:r>
          </w:p>
        </w:tc>
      </w:tr>
    </w:tbl>
    <w:p w:rsidR="00000000" w:rsidRPr="009333C1" w:rsidP="009333C1">
      <w:pPr>
        <w:pStyle w:val="BodyText"/>
      </w:pPr>
    </w:p>
    <w:p w:rsidR="00000000" w:rsidRPr="009333C1" w:rsidP="009333C1">
      <w:pPr>
        <w:pStyle w:val="AllowPageBreak"/>
      </w:pPr>
    </w:p>
    <w:p w:rsidR="00000000" w:rsidRPr="009333C1" w:rsidP="009333C1">
      <w:pPr>
        <w:pStyle w:val="Heading1"/>
      </w:pPr>
      <w:bookmarkStart w:id="3" w:name="O_593498"/>
      <w:bookmarkEnd w:id="3"/>
      <w:r w:rsidRPr="009333C1">
        <w:t>Application of the Unit</w:t>
      </w:r>
    </w:p>
    <w:tbl>
      <w:tblPr>
        <w:tblW w:w="0" w:type="auto"/>
        <w:tblLayout w:type="fixed"/>
        <w:tblCellMar>
          <w:left w:w="62" w:type="dxa"/>
          <w:right w:w="62" w:type="dxa"/>
        </w:tblCellMar>
        <w:tblLook w:val="0000"/>
      </w:tblPr>
      <w:tblGrid>
        <w:gridCol w:w="8730"/>
      </w:tblGrid>
      <w:tr w:rsidTr="00FE12F0">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9333C1" w:rsidP="009333C1">
            <w:pPr>
              <w:pStyle w:val="BodyText"/>
            </w:pPr>
            <w:r w:rsidRPr="009333C1">
              <w:t>This unit requires application of hand skills and the use of maintenance documentation/publications in the removal and installation of advanced aircraft electrical AC and DC syst</w:t>
            </w:r>
            <w:r w:rsidRPr="009333C1">
              <w:t>em components.</w:t>
            </w:r>
          </w:p>
          <w:p w:rsidR="00000000" w:rsidRPr="009333C1" w:rsidP="009333C1">
            <w:pPr>
              <w:pStyle w:val="BodyText"/>
            </w:pPr>
            <w:r w:rsidRPr="009333C1">
              <w:t>Applications include fixed and rotary wing aircraft that have both AC and DC electrical systems.</w:t>
            </w:r>
          </w:p>
        </w:tc>
      </w:tr>
    </w:tbl>
    <w:p w:rsidR="00000000" w:rsidRPr="009333C1" w:rsidP="009333C1">
      <w:pPr>
        <w:pStyle w:val="BodyText"/>
      </w:pPr>
    </w:p>
    <w:p w:rsidR="00000000" w:rsidRPr="009333C1" w:rsidP="009333C1">
      <w:pPr>
        <w:pStyle w:val="AllowPageBreak"/>
      </w:pPr>
    </w:p>
    <w:p w:rsidR="00000000" w:rsidRPr="009333C1" w:rsidP="009333C1">
      <w:pPr>
        <w:pStyle w:val="Heading1"/>
      </w:pPr>
      <w:bookmarkStart w:id="4" w:name="O_593497"/>
      <w:bookmarkEnd w:id="4"/>
      <w:r w:rsidRPr="009333C1">
        <w:t>Licensing/Regulatory Information</w:t>
      </w:r>
    </w:p>
    <w:p w:rsidR="00000000" w:rsidRPr="009333C1" w:rsidP="009333C1">
      <w:pPr>
        <w:pStyle w:val="BodyText"/>
      </w:pPr>
      <w:r w:rsidRPr="009333C1">
        <w:t>See descriptor.</w:t>
      </w:r>
    </w:p>
    <w:p w:rsidR="00000000" w:rsidRPr="009333C1" w:rsidP="009333C1">
      <w:pPr>
        <w:pStyle w:val="AllowPageBreak"/>
      </w:pPr>
    </w:p>
    <w:p w:rsidR="00000000" w:rsidRPr="009333C1" w:rsidP="009333C1">
      <w:pPr>
        <w:pStyle w:val="Heading1"/>
      </w:pPr>
      <w:bookmarkStart w:id="5" w:name="O_593496"/>
      <w:bookmarkEnd w:id="5"/>
      <w:r w:rsidRPr="009333C1">
        <w:t>Pre-Requisites</w:t>
      </w:r>
    </w:p>
    <w:tbl>
      <w:tblPr>
        <w:tblW w:w="0" w:type="auto"/>
        <w:tblLayout w:type="fixed"/>
        <w:tblCellMar>
          <w:left w:w="62" w:type="dxa"/>
          <w:right w:w="62" w:type="dxa"/>
        </w:tblCellMar>
        <w:tblLook w:val="0000"/>
      </w:tblPr>
      <w:tblGrid>
        <w:gridCol w:w="1914"/>
        <w:gridCol w:w="6636"/>
      </w:tblGrid>
      <w:tr w:rsidTr="00FE12F0">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9333C1">
            <w:pPr>
              <w:pStyle w:val="BodyText"/>
              <w:rPr>
                <w:lang w:val="en-NZ"/>
              </w:rPr>
            </w:pPr>
            <w:r w:rsidRPr="009333C1">
              <w:t>MEA201B</w:t>
            </w:r>
          </w:p>
        </w:tc>
        <w:tc>
          <w:tcPr>
            <w:tcW w:w="6636" w:type="dxa"/>
            <w:tcBorders>
              <w:top w:val="nil"/>
              <w:left w:val="nil"/>
              <w:bottom w:val="nil"/>
              <w:right w:val="nil"/>
            </w:tcBorders>
            <w:tcMar>
              <w:top w:w="0" w:type="dxa"/>
              <w:left w:w="62" w:type="dxa"/>
              <w:bottom w:w="0" w:type="dxa"/>
              <w:right w:w="62" w:type="dxa"/>
            </w:tcMar>
          </w:tcPr>
          <w:p w:rsidR="00000000" w:rsidRPr="009333C1" w:rsidP="009333C1">
            <w:pPr>
              <w:pStyle w:val="BodyText"/>
            </w:pPr>
            <w:r w:rsidRPr="009333C1">
              <w:t>Remove and install miscellaneous aircraft electrical hardware/components</w:t>
            </w:r>
          </w:p>
        </w:tc>
      </w:tr>
    </w:tbl>
    <w:p w:rsidR="00000000" w:rsidRPr="009333C1" w:rsidP="009333C1">
      <w:pPr>
        <w:pStyle w:val="BodyText"/>
      </w:pPr>
    </w:p>
    <w:p w:rsidR="00000000" w:rsidRPr="009333C1" w:rsidP="009333C1">
      <w:pPr>
        <w:pStyle w:val="AllowPageBreak"/>
      </w:pPr>
    </w:p>
    <w:p w:rsidR="00000000" w:rsidRPr="009333C1" w:rsidP="009333C1">
      <w:pPr>
        <w:pStyle w:val="Heading1"/>
      </w:pPr>
      <w:bookmarkStart w:id="6" w:name="O_593495"/>
      <w:bookmarkEnd w:id="6"/>
      <w:r w:rsidRPr="009333C1">
        <w:t>Employability Skills Information</w:t>
      </w:r>
    </w:p>
    <w:tbl>
      <w:tblPr>
        <w:tblW w:w="0" w:type="auto"/>
        <w:tblLayout w:type="fixed"/>
        <w:tblCellMar>
          <w:left w:w="62" w:type="dxa"/>
          <w:right w:w="62" w:type="dxa"/>
        </w:tblCellMar>
        <w:tblLook w:val="0000"/>
      </w:tblPr>
      <w:tblGrid>
        <w:gridCol w:w="5720"/>
      </w:tblGrid>
      <w:tr w:rsidTr="00FE12F0">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9333C1" w:rsidP="009333C1">
            <w:pPr>
              <w:pStyle w:val="BodyText"/>
            </w:pPr>
            <w:r w:rsidRPr="009333C1">
              <w:t>This unit contains employability skills.</w:t>
            </w:r>
          </w:p>
        </w:tc>
      </w:tr>
    </w:tbl>
    <w:p w:rsidR="00000000" w:rsidRPr="009333C1" w:rsidP="009333C1">
      <w:pPr>
        <w:pStyle w:val="BodyText"/>
      </w:pPr>
    </w:p>
    <w:p w:rsidR="00000000" w:rsidRPr="009333C1" w:rsidP="009333C1">
      <w:pPr>
        <w:pStyle w:val="AllowPageBreak"/>
      </w:pPr>
    </w:p>
    <w:p w:rsidR="00000000" w:rsidRPr="009333C1" w:rsidP="009333C1">
      <w:pPr>
        <w:pStyle w:val="Heading1"/>
      </w:pPr>
      <w:bookmarkStart w:id="7" w:name="O_593494"/>
      <w:bookmarkEnd w:id="7"/>
      <w:r w:rsidRPr="009333C1">
        <w:t>Elements and Performance Criteria Pre-Content</w:t>
      </w:r>
    </w:p>
    <w:tbl>
      <w:tblPr>
        <w:tblW w:w="9540" w:type="dxa"/>
        <w:tblLayout w:type="fixed"/>
        <w:tblCellMar>
          <w:left w:w="62" w:type="dxa"/>
          <w:right w:w="62" w:type="dxa"/>
        </w:tblCellMar>
        <w:tblLook w:val="0000"/>
      </w:tblPr>
      <w:tblGrid>
        <w:gridCol w:w="2554"/>
        <w:gridCol w:w="6986"/>
      </w:tblGrid>
      <w:tr w:rsidTr="00FE12F0">
        <w:tblPrEx>
          <w:tblW w:w="9540" w:type="dxa"/>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3C1">
            <w:pPr>
              <w:pStyle w:val="BodyText"/>
              <w:rPr>
                <w:lang w:val="en-NZ"/>
              </w:rPr>
            </w:pPr>
            <w:r w:rsidRPr="009333C1">
              <w:t>Elements describe the ess</w:t>
            </w:r>
            <w:r w:rsidRPr="009333C1">
              <w:t>ential outcomes of a unit of competency.</w:t>
            </w:r>
          </w:p>
        </w:tc>
        <w:tc>
          <w:tcPr>
            <w:tcW w:w="6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3C1" w:rsidP="009333C1">
            <w:pPr>
              <w:pStyle w:val="BodyText"/>
            </w:pPr>
            <w:r w:rsidRPr="009333C1">
              <w:t>Performance criteria describe the performance needed to demonstrate achievement of the element. Where bold italicised text is used, further information is detailed in the required skills and knowledge section and th</w:t>
            </w:r>
            <w:r w:rsidRPr="009333C1">
              <w:t>e range statement. Assessment of performance is to be consistent with the evidence guide.</w:t>
            </w:r>
          </w:p>
        </w:tc>
      </w:tr>
    </w:tbl>
    <w:p w:rsidR="00000000" w:rsidRPr="009333C1" w:rsidP="009333C1">
      <w:pPr>
        <w:pStyle w:val="BodyText"/>
      </w:pPr>
    </w:p>
    <w:p w:rsidR="00000000" w:rsidRPr="009333C1" w:rsidP="009333C1">
      <w:pPr>
        <w:pStyle w:val="AllowPageBreak"/>
      </w:pPr>
    </w:p>
    <w:p w:rsidR="00000000" w:rsidRPr="009333C1" w:rsidP="009333C1">
      <w:pPr>
        <w:pStyle w:val="Heading1"/>
      </w:pPr>
      <w:bookmarkStart w:id="8" w:name="O_593493"/>
      <w:bookmarkEnd w:id="8"/>
      <w:r w:rsidRPr="009333C1">
        <w:t>Elements and Performance Criteria</w:t>
      </w:r>
    </w:p>
    <w:tbl>
      <w:tblPr>
        <w:tblW w:w="0" w:type="auto"/>
        <w:tblCellMar>
          <w:left w:w="62" w:type="dxa"/>
          <w:right w:w="62" w:type="dxa"/>
        </w:tblCellMar>
        <w:tblLook w:val="0000"/>
      </w:tblPr>
      <w:tblGrid>
        <w:gridCol w:w="1891"/>
        <w:gridCol w:w="7305"/>
      </w:tblGrid>
      <w:tr w:rsidTr="00FE12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33C1">
            <w:pPr>
              <w:pStyle w:val="List"/>
              <w:rPr>
                <w:lang w:val="en-NZ"/>
              </w:rPr>
            </w:pPr>
            <w:r w:rsidRPr="009333C1">
              <w:t>1.</w:t>
            </w:r>
            <w:r w:rsidRPr="009333C1">
              <w:tab/>
              <w:t>Remove AC and DC aircraft electrical system components</w:t>
            </w:r>
          </w:p>
        </w:tc>
        <w:tc>
          <w:tcPr>
            <w:tcW w:w="0" w:type="auto"/>
            <w:tcBorders>
              <w:top w:val="nil"/>
              <w:left w:val="nil"/>
              <w:bottom w:val="nil"/>
              <w:right w:val="nil"/>
            </w:tcBorders>
            <w:tcMar>
              <w:top w:w="0" w:type="dxa"/>
              <w:left w:w="62" w:type="dxa"/>
              <w:bottom w:w="0" w:type="dxa"/>
              <w:right w:w="62" w:type="dxa"/>
            </w:tcMar>
          </w:tcPr>
          <w:p w:rsidR="00000000" w:rsidRPr="009333C1" w:rsidP="009333C1">
            <w:pPr>
              <w:pStyle w:val="List2"/>
            </w:pPr>
            <w:r w:rsidRPr="009333C1">
              <w:t>1.1.</w:t>
            </w:r>
            <w:r w:rsidRPr="009333C1">
              <w:tab/>
            </w:r>
            <w:r w:rsidRPr="009333C1">
              <w:t>System is rendered safe and prepared in accordance with the applicable maintenance manual and isolation tags are fitted where necessary to ensure personnel safety</w:t>
            </w:r>
          </w:p>
          <w:p w:rsidR="00000000" w:rsidRPr="009333C1" w:rsidP="009333C1">
            <w:pPr>
              <w:pStyle w:val="List2"/>
            </w:pPr>
            <w:r w:rsidRPr="009333C1">
              <w:t>1.2.</w:t>
            </w:r>
            <w:r w:rsidRPr="009333C1">
              <w:tab/>
            </w:r>
            <w:r w:rsidRPr="009333C1">
              <w:rPr>
                <w:rStyle w:val="BoldandItalics"/>
              </w:rPr>
              <w:t>Electrical component</w:t>
            </w:r>
            <w:r w:rsidRPr="009333C1">
              <w:t xml:space="preserve"> removal is carried out in accordance with the applicable maintenanc</w:t>
            </w:r>
            <w:r w:rsidRPr="009333C1">
              <w:t>e manual</w:t>
            </w:r>
          </w:p>
          <w:p w:rsidR="00000000" w:rsidRPr="009333C1" w:rsidP="009333C1">
            <w:pPr>
              <w:pStyle w:val="List2"/>
            </w:pPr>
            <w:r w:rsidRPr="009333C1">
              <w:t>1.3.</w:t>
            </w:r>
            <w:r w:rsidRPr="009333C1">
              <w:tab/>
              <w:t>Required maintenance documentation is completed and processed in accordance with standard enterprise procedures</w:t>
            </w:r>
          </w:p>
          <w:p w:rsidR="00000000" w:rsidP="009333C1">
            <w:pPr>
              <w:pStyle w:val="List2"/>
              <w:rPr>
                <w:lang w:val="en-NZ"/>
              </w:rPr>
            </w:pPr>
            <w:r w:rsidRPr="009333C1">
              <w:t>1.4.</w:t>
            </w:r>
            <w:r w:rsidRPr="009333C1">
              <w:tab/>
              <w:t>Removed components are tagged and packaged in accordance with specified procedures</w:t>
            </w:r>
          </w:p>
        </w:tc>
      </w:tr>
      <w:tr w:rsidTr="00FE12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33C1">
            <w:pPr>
              <w:pStyle w:val="List"/>
              <w:rPr>
                <w:lang w:val="en-NZ"/>
              </w:rPr>
            </w:pPr>
            <w:r w:rsidRPr="009333C1">
              <w:t>2.</w:t>
            </w:r>
            <w:r w:rsidRPr="009333C1">
              <w:tab/>
              <w:t xml:space="preserve">Install AC and DC aircraft electrical </w:t>
            </w:r>
            <w:r w:rsidRPr="009333C1">
              <w:t>system components</w:t>
            </w:r>
          </w:p>
        </w:tc>
        <w:tc>
          <w:tcPr>
            <w:tcW w:w="0" w:type="auto"/>
            <w:tcBorders>
              <w:top w:val="nil"/>
              <w:left w:val="nil"/>
              <w:bottom w:val="nil"/>
              <w:right w:val="nil"/>
            </w:tcBorders>
            <w:tcMar>
              <w:top w:w="0" w:type="dxa"/>
              <w:left w:w="62" w:type="dxa"/>
              <w:bottom w:w="0" w:type="dxa"/>
              <w:right w:w="62" w:type="dxa"/>
            </w:tcMar>
          </w:tcPr>
          <w:p w:rsidR="00000000" w:rsidRPr="009333C1" w:rsidP="009333C1">
            <w:pPr>
              <w:pStyle w:val="List2"/>
            </w:pPr>
            <w:r w:rsidRPr="009333C1">
              <w:t>2.1.</w:t>
            </w:r>
            <w:r w:rsidRPr="009333C1">
              <w:tab/>
              <w:t>Electrical components to be installed are checked to confirm correct part numbers, modification status, serviceability and shelf life</w:t>
            </w:r>
          </w:p>
          <w:p w:rsidR="00000000" w:rsidRPr="009333C1" w:rsidP="009333C1">
            <w:pPr>
              <w:pStyle w:val="List2"/>
            </w:pPr>
            <w:r w:rsidRPr="009333C1">
              <w:t>2.2.</w:t>
            </w:r>
            <w:r w:rsidRPr="009333C1">
              <w:tab/>
            </w:r>
            <w:r w:rsidRPr="009333C1">
              <w:t>Physical installation of electrical components is performed in accordance with the applicable maintenance manual, ensuring appropriate adjustment/alignment with mechanical interface is carried out</w:t>
            </w:r>
          </w:p>
          <w:p w:rsidR="00000000" w:rsidRPr="009333C1" w:rsidP="009333C1">
            <w:pPr>
              <w:pStyle w:val="List2"/>
            </w:pPr>
            <w:r w:rsidRPr="009333C1">
              <w:t>2.3.</w:t>
            </w:r>
            <w:r w:rsidRPr="009333C1">
              <w:tab/>
              <w:t xml:space="preserve">System is reinstated to correct operational condition </w:t>
            </w:r>
            <w:r w:rsidRPr="009333C1">
              <w:t>in preparation for testing, as necessary</w:t>
            </w:r>
          </w:p>
          <w:p w:rsidR="00000000" w:rsidRPr="009333C1" w:rsidP="009333C1">
            <w:pPr>
              <w:pStyle w:val="List2"/>
            </w:pPr>
            <w:r w:rsidRPr="009333C1">
              <w:t>2.4.</w:t>
            </w:r>
            <w:r w:rsidRPr="009333C1">
              <w:tab/>
              <w:t>Required maintenance documentation is completed and processed in accordance with standard enterprise procedures</w:t>
            </w:r>
          </w:p>
        </w:tc>
      </w:tr>
    </w:tbl>
    <w:p w:rsidR="00000000" w:rsidRPr="009333C1" w:rsidP="009333C1">
      <w:pPr>
        <w:pStyle w:val="BodyText"/>
      </w:pPr>
    </w:p>
    <w:p w:rsidR="00000000" w:rsidRPr="009333C1" w:rsidP="009333C1">
      <w:pPr>
        <w:pStyle w:val="AllowPageBreak"/>
      </w:pPr>
    </w:p>
    <w:p w:rsidR="00000000" w:rsidRPr="009333C1" w:rsidP="009333C1">
      <w:pPr>
        <w:pStyle w:val="Heading1"/>
      </w:pPr>
      <w:bookmarkStart w:id="9" w:name="O_593492"/>
      <w:bookmarkEnd w:id="9"/>
      <w:r w:rsidRPr="009333C1">
        <w:t>Required Skills and Knowledge</w:t>
      </w:r>
    </w:p>
    <w:tbl>
      <w:tblPr>
        <w:tblW w:w="9360" w:type="dxa"/>
        <w:tblLayout w:type="fixed"/>
        <w:tblCellMar>
          <w:left w:w="62" w:type="dxa"/>
          <w:right w:w="62" w:type="dxa"/>
        </w:tblCellMar>
        <w:tblLook w:val="0000"/>
      </w:tblPr>
      <w:tblGrid>
        <w:gridCol w:w="9360"/>
      </w:tblGrid>
      <w:tr w:rsidTr="00FE12F0">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9333C1">
            <w:pPr>
              <w:pStyle w:val="BodyText"/>
              <w:rPr>
                <w:lang w:val="en-NZ"/>
              </w:rPr>
            </w:pPr>
            <w:r w:rsidRPr="009333C1">
              <w:rPr>
                <w:rStyle w:val="SpecialBold"/>
              </w:rPr>
              <w:t>Required skills</w:t>
            </w:r>
          </w:p>
        </w:tc>
      </w:tr>
      <w:tr w:rsidTr="00FE12F0">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9333C1" w:rsidP="009333C1">
            <w:pPr>
              <w:pStyle w:val="BodyText"/>
            </w:pPr>
            <w:r w:rsidRPr="009333C1">
              <w:t xml:space="preserve">Look for evidence that confirms </w:t>
            </w:r>
            <w:r w:rsidRPr="009333C1">
              <w:t>skills in:</w:t>
            </w:r>
          </w:p>
          <w:p w:rsidR="00000000" w:rsidRPr="009333C1" w:rsidP="009333C1">
            <w:pPr>
              <w:pStyle w:val="ListBullet"/>
            </w:pPr>
            <w:r w:rsidRPr="009333C1">
              <w:t>identifying/locating:</w:t>
            </w:r>
          </w:p>
          <w:p w:rsidR="00000000" w:rsidRPr="009333C1" w:rsidP="009333C1">
            <w:pPr>
              <w:pStyle w:val="ListBullet2"/>
            </w:pPr>
            <w:r w:rsidRPr="009333C1">
              <w:t>DC power regulation, distribution and control systems and components, i.e. regulators and bus bars</w:t>
            </w:r>
          </w:p>
          <w:p w:rsidR="00000000" w:rsidRPr="009333C1" w:rsidP="009333C1">
            <w:pPr>
              <w:pStyle w:val="ListBullet2"/>
            </w:pPr>
            <w:r w:rsidRPr="009333C1">
              <w:t>AC power regulation, distribution and control systems and components, i.e. generator control units</w:t>
            </w:r>
          </w:p>
          <w:p w:rsidR="00000000" w:rsidRPr="009333C1" w:rsidP="009333C1">
            <w:pPr>
              <w:pStyle w:val="ListBullet2"/>
            </w:pPr>
            <w:r w:rsidRPr="009333C1">
              <w:t>various types of inverters and transformer rectifier units</w:t>
            </w:r>
          </w:p>
          <w:p w:rsidR="00000000" w:rsidRPr="009333C1" w:rsidP="009333C1">
            <w:pPr>
              <w:pStyle w:val="ListBullet2"/>
            </w:pPr>
            <w:r w:rsidRPr="009333C1">
              <w:t>gas turbine and piston engine ignition and starting systems and components</w:t>
            </w:r>
          </w:p>
          <w:p w:rsidR="00000000" w:rsidRPr="009333C1" w:rsidP="009333C1">
            <w:pPr>
              <w:pStyle w:val="ListBullet2"/>
            </w:pPr>
            <w:r w:rsidRPr="009333C1">
              <w:t>batteries (lead acid and nickel cadmium) and associated mounting equipment including related anti-vibration aids and batte</w:t>
            </w:r>
            <w:r w:rsidRPr="009333C1">
              <w:t>ry temperature monitoring systems</w:t>
            </w:r>
          </w:p>
          <w:p w:rsidR="00000000" w:rsidRPr="009333C1" w:rsidP="009333C1">
            <w:pPr>
              <w:pStyle w:val="ListBullet2"/>
            </w:pPr>
            <w:r w:rsidRPr="009333C1">
              <w:t>flight control servo actuating devices, i.e. AC and DC electro-mechanical, electro-pneumatic, electro-hydraulic, duplex servomotors, power control units and trim control devices</w:t>
            </w:r>
          </w:p>
          <w:p w:rsidR="00000000" w:rsidRPr="009333C1" w:rsidP="009333C1">
            <w:pPr>
              <w:pStyle w:val="ListBullet2"/>
            </w:pPr>
            <w:r w:rsidRPr="009333C1">
              <w:t>electrical components of aircraft systems, s</w:t>
            </w:r>
            <w:r w:rsidRPr="009333C1">
              <w:t>uch as air cycle air conditioning, anti-icing and de-icing, landing gear, anti-skid, flight control, master and central warning, fuel storage and distribution, external and internal lighting, fire warning and extinguishing and engine/propeller control</w:t>
            </w:r>
          </w:p>
          <w:p w:rsidR="00000000" w:rsidRPr="009333C1" w:rsidP="009333C1">
            <w:pPr>
              <w:pStyle w:val="ListBullet"/>
            </w:pPr>
            <w:r w:rsidRPr="009333C1">
              <w:t>cor</w:t>
            </w:r>
            <w:r w:rsidRPr="009333C1">
              <w:t>rectly connecting:</w:t>
            </w:r>
          </w:p>
          <w:p w:rsidR="00000000" w:rsidRPr="009333C1" w:rsidP="009333C1">
            <w:pPr>
              <w:pStyle w:val="ListBullet2"/>
            </w:pPr>
            <w:r w:rsidRPr="009333C1">
              <w:t>DC generators</w:t>
            </w:r>
          </w:p>
          <w:p w:rsidR="00000000" w:rsidRPr="009333C1" w:rsidP="009333C1">
            <w:pPr>
              <w:pStyle w:val="ListBullet2"/>
            </w:pPr>
            <w:r w:rsidRPr="009333C1">
              <w:t>star or delta alternators to star and delta loads</w:t>
            </w:r>
          </w:p>
          <w:p w:rsidR="00000000" w:rsidRPr="009333C1" w:rsidP="009333C1">
            <w:pPr>
              <w:pStyle w:val="ListBullet2"/>
            </w:pPr>
            <w:r w:rsidRPr="009333C1">
              <w:t>starter generators</w:t>
            </w:r>
          </w:p>
          <w:p w:rsidR="00000000" w:rsidRPr="009333C1" w:rsidP="009333C1">
            <w:pPr>
              <w:pStyle w:val="ListBullet2"/>
            </w:pPr>
            <w:r w:rsidRPr="009333C1">
              <w:t>AC motors</w:t>
            </w:r>
          </w:p>
          <w:p w:rsidR="00000000" w:rsidRPr="009333C1" w:rsidP="009333C1">
            <w:pPr>
              <w:pStyle w:val="ListBullet2"/>
            </w:pPr>
            <w:r w:rsidRPr="009333C1">
              <w:t>polyphase motors</w:t>
            </w:r>
          </w:p>
          <w:p w:rsidR="00000000" w:rsidRPr="009333C1" w:rsidP="009333C1">
            <w:pPr>
              <w:pStyle w:val="ListBullet"/>
            </w:pPr>
            <w:r w:rsidRPr="009333C1">
              <w:t xml:space="preserve">observing regulations governing the handling and custody of fire extinguishers containing </w:t>
            </w:r>
            <w:r w:rsidRPr="009333C1">
              <w:t>ozone depleting substances (ODS) or synthetic greenhouse gas (SGG) extinguishing agents (e.g. BCF)</w:t>
            </w:r>
          </w:p>
          <w:p w:rsidR="00000000" w:rsidP="009333C1">
            <w:pPr>
              <w:pStyle w:val="ListBullet"/>
              <w:rPr>
                <w:lang w:val="en-NZ"/>
              </w:rPr>
            </w:pPr>
            <w:r w:rsidRPr="009333C1">
              <w:t>applying relevant OHS practices</w:t>
            </w:r>
          </w:p>
        </w:tc>
      </w:tr>
      <w:tr w:rsidTr="00FE12F0">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9333C1">
            <w:pPr>
              <w:pStyle w:val="BodyText"/>
              <w:rPr>
                <w:lang w:val="en-NZ"/>
              </w:rPr>
            </w:pPr>
            <w:r w:rsidRPr="009333C1">
              <w:rPr>
                <w:rStyle w:val="SpecialBold"/>
              </w:rPr>
              <w:t>Required knowledge</w:t>
            </w:r>
          </w:p>
        </w:tc>
      </w:tr>
      <w:tr w:rsidTr="00FE12F0">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9333C1" w:rsidP="009333C1">
            <w:pPr>
              <w:pStyle w:val="BodyText"/>
            </w:pPr>
            <w:r w:rsidRPr="009333C1">
              <w:t>Look for evidence that confirms knowledge of:</w:t>
            </w:r>
          </w:p>
          <w:p w:rsidR="00000000" w:rsidRPr="009333C1" w:rsidP="009333C1">
            <w:pPr>
              <w:pStyle w:val="ListBullet"/>
            </w:pPr>
            <w:r w:rsidRPr="009333C1">
              <w:t>component attachment methods</w:t>
            </w:r>
          </w:p>
          <w:p w:rsidR="00000000" w:rsidRPr="009333C1" w:rsidP="009333C1">
            <w:pPr>
              <w:pStyle w:val="ListBullet"/>
            </w:pPr>
            <w:r w:rsidRPr="009333C1">
              <w:t>connection of hardware and plugs</w:t>
            </w:r>
          </w:p>
          <w:p w:rsidR="00000000" w:rsidRPr="009333C1" w:rsidP="009333C1">
            <w:pPr>
              <w:pStyle w:val="ListBullet"/>
            </w:pPr>
            <w:r w:rsidRPr="009333C1">
              <w:t>relevant OHS practices</w:t>
            </w:r>
          </w:p>
          <w:p w:rsidR="00000000" w:rsidRPr="009333C1" w:rsidP="009333C1">
            <w:pPr>
              <w:pStyle w:val="ListBullet"/>
            </w:pPr>
            <w:r w:rsidRPr="009333C1">
              <w:t>the use of approved maintenance documentation and aircraft publications relating to AC and DC electrical systems</w:t>
            </w:r>
          </w:p>
          <w:p w:rsidR="00000000" w:rsidRPr="009333C1" w:rsidP="009333C1">
            <w:pPr>
              <w:pStyle w:val="ListBullet"/>
            </w:pPr>
            <w:r w:rsidRPr="009333C1">
              <w:t>properties of permanent magnets</w:t>
            </w:r>
          </w:p>
          <w:p w:rsidR="00000000" w:rsidRPr="009333C1" w:rsidP="009333C1">
            <w:pPr>
              <w:pStyle w:val="ListBullet"/>
            </w:pPr>
            <w:r w:rsidRPr="009333C1">
              <w:t>precautions for the care and storage of permanent magne</w:t>
            </w:r>
            <w:r w:rsidRPr="009333C1">
              <w:t>ts</w:t>
            </w:r>
          </w:p>
          <w:p w:rsidR="00000000" w:rsidRPr="009333C1" w:rsidP="009333C1">
            <w:pPr>
              <w:pStyle w:val="ListBullet"/>
            </w:pPr>
            <w:r w:rsidRPr="009333C1">
              <w:t>bonding of aircraft components and lightning protection</w:t>
            </w:r>
          </w:p>
          <w:p w:rsidR="00000000" w:rsidRPr="009333C1" w:rsidP="009333C1">
            <w:pPr>
              <w:pStyle w:val="ListBullet"/>
            </w:pPr>
            <w:r w:rsidRPr="009333C1">
              <w:t>general construction, operating characteristics and applications for aircraft:</w:t>
            </w:r>
          </w:p>
          <w:p w:rsidR="00000000" w:rsidRPr="009333C1" w:rsidP="009333C1">
            <w:pPr>
              <w:pStyle w:val="ListBullet2"/>
            </w:pPr>
            <w:r w:rsidRPr="009333C1">
              <w:t>generators</w:t>
            </w:r>
          </w:p>
          <w:p w:rsidR="00000000" w:rsidRPr="009333C1" w:rsidP="009333C1">
            <w:pPr>
              <w:pStyle w:val="ListBullet2"/>
            </w:pPr>
            <w:r w:rsidRPr="009333C1">
              <w:t>alternators</w:t>
            </w:r>
          </w:p>
          <w:p w:rsidR="00000000" w:rsidRPr="009333C1" w:rsidP="009333C1">
            <w:pPr>
              <w:pStyle w:val="ListBullet2"/>
            </w:pPr>
            <w:r w:rsidRPr="009333C1">
              <w:t>AC and DC motors</w:t>
            </w:r>
          </w:p>
          <w:p w:rsidR="00000000" w:rsidRPr="009333C1" w:rsidP="009333C1">
            <w:pPr>
              <w:pStyle w:val="ListBullet2"/>
            </w:pPr>
            <w:r w:rsidRPr="009333C1">
              <w:t>transformer rectifier units</w:t>
            </w:r>
          </w:p>
          <w:p w:rsidR="00000000" w:rsidRPr="009333C1" w:rsidP="009333C1">
            <w:pPr>
              <w:pStyle w:val="ListBullet2"/>
            </w:pPr>
            <w:r w:rsidRPr="009333C1">
              <w:t>rotary and static inverters</w:t>
            </w:r>
          </w:p>
          <w:p w:rsidR="00000000" w:rsidRPr="009333C1" w:rsidP="009333C1">
            <w:pPr>
              <w:pStyle w:val="ListBullet2"/>
            </w:pPr>
            <w:r w:rsidRPr="009333C1">
              <w:t>batteries</w:t>
            </w:r>
          </w:p>
          <w:p w:rsidR="00000000" w:rsidRPr="009333C1" w:rsidP="009333C1">
            <w:pPr>
              <w:pStyle w:val="ListBullet2"/>
            </w:pPr>
            <w:r w:rsidRPr="009333C1">
              <w:t>linear and rotary actuators</w:t>
            </w:r>
          </w:p>
          <w:p w:rsidR="00000000" w:rsidRPr="009333C1" w:rsidP="009333C1">
            <w:pPr>
              <w:pStyle w:val="ListBullet"/>
            </w:pPr>
            <w:r w:rsidRPr="009333C1">
              <w:t>relevant maintenance manuals</w:t>
            </w:r>
          </w:p>
          <w:p w:rsidR="00000000" w:rsidRPr="009333C1" w:rsidP="009333C1">
            <w:pPr>
              <w:pStyle w:val="ListBullet"/>
            </w:pPr>
            <w:r w:rsidRPr="009333C1">
              <w:t>relevant regulatory requirements and standard procedures including environmental protection regulatory requirements relating to fire extinguishers containing ODS or SGG extinguishing agents (e.g. BC</w:t>
            </w:r>
            <w:r w:rsidRPr="009333C1">
              <w:t>F)</w:t>
            </w:r>
          </w:p>
        </w:tc>
      </w:tr>
    </w:tbl>
    <w:p w:rsidR="00000000" w:rsidRPr="009333C1" w:rsidP="009333C1">
      <w:pPr>
        <w:pStyle w:val="BodyText"/>
      </w:pPr>
    </w:p>
    <w:p w:rsidR="00000000" w:rsidRPr="009333C1" w:rsidP="009333C1">
      <w:pPr>
        <w:pStyle w:val="AllowPageBreak"/>
      </w:pPr>
    </w:p>
    <w:p w:rsidR="00000000" w:rsidRPr="009333C1" w:rsidP="009333C1">
      <w:pPr>
        <w:pStyle w:val="Heading1"/>
      </w:pPr>
      <w:bookmarkStart w:id="10" w:name="O_593491"/>
      <w:bookmarkEnd w:id="10"/>
      <w:r w:rsidRPr="009333C1">
        <w:t>Evidence Guide</w:t>
      </w:r>
    </w:p>
    <w:tbl>
      <w:tblPr>
        <w:tblW w:w="9570" w:type="dxa"/>
        <w:tblLayout w:type="fixed"/>
        <w:tblCellMar>
          <w:left w:w="62" w:type="dxa"/>
          <w:right w:w="62" w:type="dxa"/>
        </w:tblCellMar>
        <w:tblLook w:val="0000"/>
      </w:tblPr>
      <w:tblGrid>
        <w:gridCol w:w="3908"/>
        <w:gridCol w:w="5662"/>
      </w:tblGrid>
      <w:tr w:rsidTr="00FE12F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3C1">
            <w:pPr>
              <w:pStyle w:val="BodyText"/>
              <w:rPr>
                <w:lang w:val="en-NZ"/>
              </w:rPr>
            </w:pPr>
            <w:r w:rsidRPr="009333C1">
              <w:t>The Evidence Guide provides advice on assessment and must be read in conjunction with the performance criteria, required skills and knowledge, range statement and the Assessment Guidelines for the Training Package.</w:t>
            </w:r>
          </w:p>
        </w:tc>
      </w:tr>
      <w:tr w:rsidTr="00FE12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3C1">
            <w:pPr>
              <w:pStyle w:val="BodyText"/>
              <w:rPr>
                <w:lang w:val="en-NZ"/>
              </w:rPr>
            </w:pPr>
            <w:r w:rsidRPr="009333C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3C1">
            <w:pPr>
              <w:pStyle w:val="BodyText"/>
              <w:rPr>
                <w:lang w:val="en-NZ"/>
              </w:rPr>
            </w:pPr>
            <w:r w:rsidRPr="009333C1">
              <w:t>A person who demonstrates competency in this unit must be able to remove and install components of advanced DC and AC electrical systems while observing all relevant safety precautions.</w:t>
            </w:r>
          </w:p>
        </w:tc>
      </w:tr>
      <w:tr w:rsidTr="00FE12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3C1">
            <w:pPr>
              <w:pStyle w:val="BodyText"/>
              <w:rPr>
                <w:lang w:val="en-NZ"/>
              </w:rPr>
            </w:pPr>
            <w:r w:rsidRPr="009333C1">
              <w:rPr>
                <w:rStyle w:val="SpecialBold"/>
              </w:rPr>
              <w:t>Critical aspects for assessment and evidence r</w:t>
            </w:r>
            <w:r w:rsidRPr="009333C1">
              <w:rPr>
                <w:rStyle w:val="SpecialBold"/>
              </w:rPr>
              <w:t>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3C1" w:rsidP="009333C1">
            <w:pPr>
              <w:pStyle w:val="BodyText"/>
            </w:pPr>
            <w:r w:rsidRPr="009333C1">
              <w:t xml:space="preserve">It is essential that cleanliness requirements and safety precautions applicable to the system being maintained are fully observed, understood </w:t>
            </w:r>
            <w:r w:rsidRPr="009333C1">
              <w:t>and complied with, as well as work practices associated with electrostatic sensitive devices.</w:t>
            </w:r>
          </w:p>
          <w:p w:rsidR="00000000" w:rsidRPr="009333C1" w:rsidP="009333C1">
            <w:pPr>
              <w:pStyle w:val="BodyText"/>
            </w:pPr>
            <w:r w:rsidRPr="009333C1">
              <w:t xml:space="preserve">Evidence of transferability of skills and knowledge related to removal and installation is essential. This is to be demonstrated by application across a range of </w:t>
            </w:r>
            <w:r w:rsidRPr="009333C1">
              <w:t>aircraft major electrical system components encompassing electrical with mechanical interface, installations that require alignment and/or adjustment, mechanical or electrical. An understanding of the attachment methods, connection of hardware, and the nee</w:t>
            </w:r>
            <w:r w:rsidRPr="009333C1">
              <w:t>d for adjustment or rigging and system operation as they relate to the work must be demonstrated before undertaking any action. The work plan should take account of applicable safety and quality requirements in accordance with the industry and regulatory s</w:t>
            </w:r>
            <w:r w:rsidRPr="009333C1">
              <w:t xml:space="preserve">tandards. </w:t>
            </w:r>
          </w:p>
          <w:p w:rsidR="00000000" w:rsidP="009333C1">
            <w:pPr>
              <w:pStyle w:val="BodyText"/>
              <w:rPr>
                <w:lang w:val="en-NZ"/>
              </w:rPr>
            </w:pPr>
            <w:r w:rsidRPr="009333C1">
              <w:t>A person cannot be assessed as competent until it can be demonstrated to the satisfaction of the workplace assessor, that the relevant elements of the Unit of Competency are being achieved under routine supervision on at least one component from</w:t>
            </w:r>
            <w:r w:rsidRPr="009333C1">
              <w:t xml:space="preserve"> each of Groups 1 to 6 and on three components from Group 7, as listed in the Range Statement. This shall be established via records in the Log of Industrial Experience and Achievement or, where appropriate, an equivalent Industry Evidence Guide.</w:t>
            </w:r>
          </w:p>
        </w:tc>
      </w:tr>
      <w:tr w:rsidTr="00FE12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3C1">
            <w:pPr>
              <w:pStyle w:val="BodyText"/>
              <w:rPr>
                <w:lang w:val="en-NZ"/>
              </w:rPr>
            </w:pPr>
            <w:r w:rsidRPr="009333C1">
              <w:rPr>
                <w:rStyle w:val="SpecialBold"/>
              </w:rPr>
              <w:t xml:space="preserve">Context </w:t>
            </w:r>
            <w:r w:rsidRPr="009333C1">
              <w:rPr>
                <w:rStyle w:val="SpecialBold"/>
              </w:rPr>
              <w:t>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3C1">
            <w:pPr>
              <w:pStyle w:val="BodyText"/>
              <w:rPr>
                <w:lang w:val="en-NZ"/>
              </w:rPr>
            </w:pPr>
            <w:r w:rsidRPr="009333C1">
              <w:t>Competency should be assessed in the work environment, using tools and equipment specified in maintenance manuals. It is also expected that general-purpose tools, test and ground support equipment found in most rout</w:t>
            </w:r>
            <w:r w:rsidRPr="009333C1">
              <w:t>ine situations would be used where appropriate.</w:t>
            </w:r>
          </w:p>
        </w:tc>
      </w:tr>
      <w:tr w:rsidTr="00FE12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3C1">
            <w:pPr>
              <w:pStyle w:val="BodyText"/>
              <w:rPr>
                <w:lang w:val="en-NZ"/>
              </w:rPr>
            </w:pPr>
            <w:r w:rsidRPr="009333C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3C1">
            <w:pPr>
              <w:pStyle w:val="BodyText"/>
              <w:rPr>
                <w:lang w:val="en-NZ"/>
              </w:rPr>
            </w:pPr>
          </w:p>
        </w:tc>
      </w:tr>
      <w:tr w:rsidTr="00FE12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3C1">
            <w:pPr>
              <w:pStyle w:val="BodyText"/>
              <w:rPr>
                <w:lang w:val="en-NZ"/>
              </w:rPr>
            </w:pPr>
            <w:r w:rsidRPr="009333C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3C1" w:rsidP="009333C1">
            <w:pPr>
              <w:pStyle w:val="BodyText"/>
            </w:pPr>
            <w:r w:rsidRPr="009333C1">
              <w:t>Individuals being assessed who have already attained MEA202C Remove and install basic aircraft electrical system components, will have covered a sig</w:t>
            </w:r>
            <w:r w:rsidRPr="009333C1">
              <w:t>nificant amount of the skill and knowledge requirements for this unit plus part of the Performance Criteria for Elements 1 and 2 and associated Range Statement items. Log of Industrial Experience and Achievement records relating to MEA202C Remove and insta</w:t>
            </w:r>
            <w:r w:rsidRPr="009333C1">
              <w:t>ll basic aircraft electrical system components may be accepted as also meeting the evidence requirements for this unit in the applicable areas.</w:t>
            </w:r>
          </w:p>
          <w:p w:rsidR="00000000" w:rsidRPr="009333C1" w:rsidP="009333C1">
            <w:pPr>
              <w:pStyle w:val="BodyText"/>
            </w:pPr>
            <w:r w:rsidRPr="009333C1">
              <w:t>Guidance information in MEA202C Remove and install basic aircraft electrical system components, regarding MEA274</w:t>
            </w:r>
            <w:r w:rsidRPr="009333C1">
              <w:t>A Maintain basic light aircraft electrical systems and components, should also be taken into consideration and the attainment of MEA277A Maintain twin engine aircraft electrical systems and components, would significantly increase the extent of coverage of</w:t>
            </w:r>
            <w:r w:rsidRPr="009333C1">
              <w:t xml:space="preserve"> Range Statement variables. Log of Experience and Achievement records relating to MEA274A Maintain basic light aircraft electrical systems and components and MEA277A Maintain twin engine aircraft electrical systems and components may also be accepted as me</w:t>
            </w:r>
            <w:r w:rsidRPr="009333C1">
              <w:t>eting the evidence requirements for this unit in the applicable areas.</w:t>
            </w:r>
          </w:p>
        </w:tc>
      </w:tr>
    </w:tbl>
    <w:p w:rsidR="00000000" w:rsidRPr="009333C1" w:rsidP="009333C1">
      <w:pPr>
        <w:pStyle w:val="BodyText"/>
      </w:pPr>
    </w:p>
    <w:p w:rsidR="00000000" w:rsidRPr="009333C1" w:rsidP="009333C1">
      <w:pPr>
        <w:pStyle w:val="AllowPageBreak"/>
      </w:pPr>
    </w:p>
    <w:p w:rsidR="00000000" w:rsidRPr="009333C1" w:rsidP="009333C1">
      <w:pPr>
        <w:pStyle w:val="Heading1"/>
      </w:pPr>
      <w:bookmarkStart w:id="11" w:name="O_593490"/>
      <w:bookmarkEnd w:id="11"/>
      <w:r w:rsidRPr="009333C1">
        <w:t>Range Statement</w:t>
      </w:r>
    </w:p>
    <w:tbl>
      <w:tblPr>
        <w:tblW w:w="9450" w:type="dxa"/>
        <w:tblLayout w:type="fixed"/>
        <w:tblCellMar>
          <w:left w:w="62" w:type="dxa"/>
          <w:right w:w="62" w:type="dxa"/>
        </w:tblCellMar>
        <w:tblLook w:val="0000"/>
      </w:tblPr>
      <w:tblGrid>
        <w:gridCol w:w="3503"/>
        <w:gridCol w:w="5947"/>
      </w:tblGrid>
      <w:tr w:rsidTr="00FE12F0">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3C1">
            <w:pPr>
              <w:pStyle w:val="BodyText"/>
              <w:rPr>
                <w:lang w:val="en-NZ"/>
              </w:rPr>
            </w:pPr>
            <w:r w:rsidRPr="009333C1">
              <w:t xml:space="preserve">The range statement relates to the unit of competency as a whole. It allows for different work environments and situations that may affect </w:t>
            </w:r>
            <w:r w:rsidRPr="009333C1">
              <w:t>performance. Bold italicised wording, if used in the performance criteria, is detailed below. Essential operating conditions that may be present with training and assessment (depending on the work situation, needs of the candidate, accessibility of the ite</w:t>
            </w:r>
            <w:r w:rsidRPr="009333C1">
              <w:t>m, and local industry and regional contexts) may also be included.</w:t>
            </w:r>
          </w:p>
        </w:tc>
      </w:tr>
      <w:tr w:rsidTr="00FE12F0">
        <w:tblPrEx>
          <w:tblW w:w="9450" w:type="dxa"/>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3C1">
            <w:pPr>
              <w:pStyle w:val="BodyText"/>
              <w:rPr>
                <w:lang w:val="en-NZ"/>
              </w:rPr>
            </w:pPr>
            <w:r w:rsidRPr="009333C1">
              <w:rPr>
                <w:rStyle w:val="SpecialBold"/>
              </w:rPr>
              <w:t>Note</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3C1">
            <w:pPr>
              <w:pStyle w:val="BodyText"/>
              <w:rPr>
                <w:lang w:val="en-NZ"/>
              </w:rPr>
            </w:pPr>
            <w:r w:rsidRPr="009333C1">
              <w:t>Range statements listed below are numbered to facilitate specification of the assessment requirements included in the Evidence Guide</w:t>
            </w:r>
          </w:p>
        </w:tc>
      </w:tr>
      <w:tr w:rsidTr="00FE12F0">
        <w:tblPrEx>
          <w:tblW w:w="9450" w:type="dxa"/>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3C1">
            <w:pPr>
              <w:pStyle w:val="BodyText"/>
              <w:rPr>
                <w:lang w:val="en-NZ"/>
              </w:rPr>
            </w:pPr>
            <w:r w:rsidRPr="009333C1">
              <w:rPr>
                <w:rStyle w:val="SpecialBold"/>
              </w:rPr>
              <w:t>Electrical system components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3C1" w:rsidP="009333C1">
            <w:pPr>
              <w:pStyle w:val="BodyText"/>
            </w:pPr>
            <w:r w:rsidRPr="009333C1">
              <w:t>Electrical components include:</w:t>
            </w:r>
          </w:p>
          <w:p w:rsidR="00000000" w:rsidRPr="009333C1" w:rsidP="009333C1">
            <w:pPr>
              <w:pStyle w:val="BodyText"/>
            </w:pPr>
            <w:r w:rsidRPr="009333C1">
              <w:t>1.</w:t>
            </w:r>
            <w:r w:rsidRPr="009333C1">
              <w:tab/>
              <w:t>DC and AC power generation and distribution system components, including generators and related multi-sourced DC power generation, starter generators alternators and regulation, control and distribution system components</w:t>
            </w:r>
          </w:p>
          <w:p w:rsidR="00000000" w:rsidRPr="009333C1" w:rsidP="009333C1">
            <w:pPr>
              <w:pStyle w:val="BodyText"/>
            </w:pPr>
            <w:r w:rsidRPr="009333C1">
              <w:t>2</w:t>
            </w:r>
            <w:r w:rsidRPr="009333C1">
              <w:t>.</w:t>
            </w:r>
            <w:r w:rsidRPr="009333C1">
              <w:tab/>
              <w:t>Transformer rectifier units and/or inverters</w:t>
            </w:r>
          </w:p>
          <w:p w:rsidR="00000000" w:rsidRPr="009333C1" w:rsidP="009333C1">
            <w:pPr>
              <w:pStyle w:val="BodyText"/>
            </w:pPr>
            <w:r w:rsidRPr="009333C1">
              <w:t>3.</w:t>
            </w:r>
            <w:r w:rsidRPr="009333C1">
              <w:tab/>
              <w:t>Batteries and related bus tie or interlock system components and battery temperature monitoring systems</w:t>
            </w:r>
          </w:p>
          <w:p w:rsidR="00000000" w:rsidRPr="009333C1" w:rsidP="009333C1">
            <w:pPr>
              <w:pStyle w:val="BodyText"/>
            </w:pPr>
            <w:r w:rsidRPr="009333C1">
              <w:t>4.</w:t>
            </w:r>
            <w:r w:rsidRPr="009333C1">
              <w:tab/>
              <w:t>Motors and actuators</w:t>
            </w:r>
          </w:p>
          <w:p w:rsidR="00000000" w:rsidRPr="009333C1" w:rsidP="009333C1">
            <w:pPr>
              <w:pStyle w:val="BodyText"/>
            </w:pPr>
            <w:r w:rsidRPr="009333C1">
              <w:t>5.</w:t>
            </w:r>
            <w:r w:rsidRPr="009333C1">
              <w:tab/>
              <w:t>Components of gas turbine and/or piston engine ignition and starting system</w:t>
            </w:r>
            <w:r w:rsidRPr="009333C1">
              <w:t>s (depending on enterprise requirements)</w:t>
            </w:r>
          </w:p>
          <w:p w:rsidR="00000000" w:rsidRPr="009333C1" w:rsidP="009333C1">
            <w:pPr>
              <w:pStyle w:val="BodyText"/>
            </w:pPr>
            <w:r w:rsidRPr="009333C1">
              <w:t>6.</w:t>
            </w:r>
            <w:r w:rsidRPr="009333C1">
              <w:tab/>
              <w:t>External/internal lights</w:t>
            </w:r>
          </w:p>
          <w:p w:rsidR="00000000" w:rsidP="009333C1">
            <w:pPr>
              <w:pStyle w:val="BodyText"/>
              <w:rPr>
                <w:lang w:val="en-NZ"/>
              </w:rPr>
            </w:pPr>
            <w:r w:rsidRPr="009333C1">
              <w:t>7.</w:t>
            </w:r>
            <w:r w:rsidRPr="009333C1">
              <w:tab/>
              <w:t>Electrical components of specific electrical systems, such as air cycle air conditioning, combustion heaters, equipment cooling, anti-icing and de-icing, landing gear, anti-skid, fligh</w:t>
            </w:r>
            <w:r w:rsidRPr="009333C1">
              <w:t>t control, master and central warning, fuel storage and distribution, fire warning and extinguishing (including BCF extinguishers where applicable to enterprise) and engine/propeller control</w:t>
            </w:r>
          </w:p>
        </w:tc>
      </w:tr>
      <w:tr w:rsidTr="00FE12F0">
        <w:tblPrEx>
          <w:tblW w:w="9450" w:type="dxa"/>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3C1">
            <w:pPr>
              <w:pStyle w:val="BodyText"/>
              <w:rPr>
                <w:lang w:val="en-NZ"/>
              </w:rPr>
            </w:pPr>
            <w:r w:rsidRPr="009333C1">
              <w:rPr>
                <w:rStyle w:val="SpecialBold"/>
              </w:rPr>
              <w:t>Application</w:t>
            </w:r>
            <w:r w:rsidRPr="009333C1">
              <w:t xml:space="preserve"> </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3C1" w:rsidP="009333C1">
            <w:pPr>
              <w:pStyle w:val="BodyText"/>
            </w:pPr>
            <w:r w:rsidRPr="009333C1">
              <w:t>Application of this unit may relate to:</w:t>
            </w:r>
          </w:p>
          <w:p w:rsidR="00000000" w:rsidRPr="009333C1" w:rsidP="009333C1">
            <w:pPr>
              <w:pStyle w:val="ListBullet"/>
            </w:pPr>
            <w:r w:rsidRPr="009333C1">
              <w:t xml:space="preserve">scheduled </w:t>
            </w:r>
            <w:r w:rsidRPr="009333C1">
              <w:t>or unscheduled maintenance activities</w:t>
            </w:r>
          </w:p>
          <w:p w:rsidR="00000000" w:rsidP="009333C1">
            <w:pPr>
              <w:pStyle w:val="ListBullet"/>
              <w:rPr>
                <w:lang w:val="en-NZ"/>
              </w:rPr>
            </w:pPr>
            <w:r w:rsidRPr="009333C1">
              <w:t>individual or team-related activities</w:t>
            </w:r>
          </w:p>
        </w:tc>
      </w:tr>
      <w:tr w:rsidTr="00FE12F0">
        <w:tblPrEx>
          <w:tblW w:w="9450" w:type="dxa"/>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3C1">
            <w:pPr>
              <w:pStyle w:val="BodyText"/>
              <w:rPr>
                <w:lang w:val="en-NZ"/>
              </w:rPr>
            </w:pPr>
            <w:r w:rsidRPr="009333C1">
              <w:rPr>
                <w:rStyle w:val="SpecialBold"/>
              </w:rPr>
              <w:t>Procedures and requirements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3C1" w:rsidP="009333C1">
            <w:pPr>
              <w:pStyle w:val="BodyText"/>
            </w:pPr>
            <w:r w:rsidRPr="009333C1">
              <w:t>Refer to industry standard procedures specified by manufacturers, regulatory authorities or the enterprise</w:t>
            </w:r>
          </w:p>
        </w:tc>
      </w:tr>
    </w:tbl>
    <w:p w:rsidR="00FE12F0" w:rsidP="009333C1">
      <w:pPr>
        <w:pStyle w:val="BodyText"/>
      </w:pPr>
    </w:p>
    <w:p w:rsidR="00FE12F0" w:rsidP="009333C1">
      <w:pPr>
        <w:pStyle w:val="BodyText"/>
      </w:pPr>
    </w:p>
    <w:p w:rsidR="00000000" w:rsidRPr="009333C1" w:rsidP="009333C1">
      <w:pPr>
        <w:pStyle w:val="Heading1"/>
      </w:pPr>
      <w:bookmarkStart w:id="12" w:name="O_593489"/>
      <w:bookmarkEnd w:id="12"/>
      <w:r w:rsidRPr="009333C1">
        <w:t>Unit Sector(s)</w:t>
      </w:r>
    </w:p>
    <w:p w:rsidR="00000000" w:rsidRPr="009333C1" w:rsidP="009333C1">
      <w:pPr>
        <w:pStyle w:val="BodyText"/>
      </w:pPr>
      <w:r w:rsidRPr="009333C1">
        <w:t>Aviation maintenance</w:t>
      </w:r>
    </w:p>
    <w:p w:rsidR="00000000" w:rsidRPr="009333C1" w:rsidP="009333C1">
      <w:pPr>
        <w:pStyle w:val="AllowPageBreak"/>
      </w:pPr>
    </w:p>
    <w:p w:rsidR="00000000" w:rsidRPr="009333C1" w:rsidP="009333C1">
      <w:pPr>
        <w:pStyle w:val="Heading1"/>
      </w:pPr>
      <w:bookmarkStart w:id="13" w:name="O_593488"/>
      <w:bookmarkEnd w:id="13"/>
      <w:r w:rsidRPr="009333C1">
        <w:t>Competency field</w:t>
      </w:r>
    </w:p>
    <w:p w:rsidR="00000000" w:rsidRPr="009333C1" w:rsidP="009333C1">
      <w:pPr>
        <w:pStyle w:val="BodyText"/>
      </w:pPr>
      <w:r w:rsidRPr="009333C1">
        <w:t>Not applicable.</w:t>
      </w:r>
    </w:p>
    <w:p w:rsidR="00000000" w:rsidRPr="009333C1" w:rsidP="009333C1">
      <w:pPr>
        <w:pStyle w:val="AllowPageBreak"/>
      </w:pPr>
    </w:p>
    <w:p w:rsidR="00000000" w:rsidRPr="009333C1" w:rsidP="009333C1">
      <w:pPr>
        <w:pStyle w:val="Heading1"/>
      </w:pPr>
      <w:bookmarkStart w:id="14" w:name="O_593487"/>
      <w:bookmarkEnd w:id="14"/>
      <w:r w:rsidRPr="009333C1">
        <w:t>Co-requisite units</w:t>
      </w:r>
    </w:p>
    <w:p w:rsidR="00000000" w:rsidRPr="009333C1" w:rsidP="009333C1">
      <w:pPr>
        <w:pStyle w:val="BodyText"/>
      </w:pPr>
      <w:r w:rsidRPr="009333C1">
        <w:t>Not applicable</w:t>
      </w:r>
    </w:p>
    <w:p w:rsidR="00000000" w:rsidRPr="009333C1" w:rsidP="009333C1"/>
    <w:sectPr w:rsidSect="009333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3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3C1" w:rsidRPr="00FE12F0" w:rsidP="00FE12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3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2F0" w:rsidP="009333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E12F0" w:rsidP="009333C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E12F0" w:rsidP="009333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3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3C1" w:rsidRPr="00FE12F0" w:rsidP="00FE12F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3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2F0" w:rsidRPr="002D2AF8" w:rsidP="009333C1">
    <w:pPr>
      <w:pStyle w:val="Header"/>
      <w:framePr w:wrap="around"/>
    </w:pPr>
    <w:r>
      <w:fldChar w:fldCharType="begin"/>
    </w:r>
    <w:r>
      <w:instrText xml:space="preserve"> TITLE   \* MERGEFORMAT </w:instrText>
    </w:r>
    <w:r>
      <w:fldChar w:fldCharType="separate"/>
    </w:r>
    <w:r>
      <w:t>MEA203C Remove and install advanced aircraft electrical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August 2013</w:t>
    </w:r>
    <w:r>
      <w:fldChar w:fldCharType="end"/>
    </w:r>
  </w:p>
  <w:p w:rsidR="00FE12F0" w:rsidP="009333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C01B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A4EB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D650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33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33C1"/>
    <w:pPr>
      <w:spacing w:before="360" w:after="60"/>
      <w:outlineLvl w:val="0"/>
    </w:pPr>
    <w:rPr>
      <w:sz w:val="32"/>
    </w:rPr>
  </w:style>
  <w:style w:type="paragraph" w:styleId="Heading2">
    <w:name w:val="heading 2"/>
    <w:basedOn w:val="HeadingBase"/>
    <w:next w:val="BodyText"/>
    <w:link w:val="Heading2Char"/>
    <w:qFormat/>
    <w:rsid w:val="009333C1"/>
    <w:pPr>
      <w:keepLines/>
      <w:spacing w:before="240" w:after="120"/>
      <w:outlineLvl w:val="1"/>
    </w:pPr>
    <w:rPr>
      <w:sz w:val="28"/>
      <w:szCs w:val="40"/>
    </w:rPr>
  </w:style>
  <w:style w:type="paragraph" w:styleId="Heading3">
    <w:name w:val="heading 3"/>
    <w:basedOn w:val="HeadingBase"/>
    <w:next w:val="BodyText"/>
    <w:link w:val="Heading3Char"/>
    <w:qFormat/>
    <w:rsid w:val="009333C1"/>
    <w:pPr>
      <w:spacing w:before="180" w:after="120"/>
      <w:outlineLvl w:val="2"/>
    </w:pPr>
    <w:rPr>
      <w:spacing w:val="-10"/>
      <w:kern w:val="32"/>
    </w:rPr>
  </w:style>
  <w:style w:type="paragraph" w:styleId="Heading4">
    <w:name w:val="heading 4"/>
    <w:basedOn w:val="HeadingBase"/>
    <w:next w:val="BodyText"/>
    <w:link w:val="Heading4Char"/>
    <w:qFormat/>
    <w:rsid w:val="009333C1"/>
    <w:pPr>
      <w:spacing w:before="160" w:after="120"/>
      <w:outlineLvl w:val="3"/>
    </w:pPr>
    <w:rPr>
      <w:sz w:val="22"/>
    </w:rPr>
  </w:style>
  <w:style w:type="paragraph" w:styleId="Heading5">
    <w:name w:val="heading 5"/>
    <w:basedOn w:val="HeadingBase"/>
    <w:next w:val="Normal"/>
    <w:link w:val="Heading5Char"/>
    <w:qFormat/>
    <w:rsid w:val="009333C1"/>
    <w:pPr>
      <w:spacing w:before="80"/>
      <w:outlineLvl w:val="4"/>
    </w:pPr>
    <w:rPr>
      <w:color w:val="918585"/>
      <w:sz w:val="20"/>
    </w:rPr>
  </w:style>
  <w:style w:type="paragraph" w:styleId="Heading6">
    <w:name w:val="heading 6"/>
    <w:basedOn w:val="HeadingBase"/>
    <w:next w:val="Normal"/>
    <w:link w:val="Heading6Char"/>
    <w:qFormat/>
    <w:rsid w:val="009333C1"/>
    <w:pPr>
      <w:spacing w:before="60"/>
      <w:outlineLvl w:val="5"/>
    </w:pPr>
    <w:rPr>
      <w:color w:val="918585"/>
      <w:sz w:val="20"/>
    </w:rPr>
  </w:style>
  <w:style w:type="paragraph" w:styleId="Heading7">
    <w:name w:val="heading 7"/>
    <w:basedOn w:val="Normal"/>
    <w:next w:val="Normal"/>
    <w:link w:val="Heading7Char"/>
    <w:qFormat/>
    <w:rsid w:val="009333C1"/>
    <w:pPr>
      <w:ind w:left="720"/>
      <w:outlineLvl w:val="6"/>
    </w:pPr>
    <w:rPr>
      <w:i/>
    </w:rPr>
  </w:style>
  <w:style w:type="paragraph" w:styleId="Heading8">
    <w:name w:val="heading 8"/>
    <w:basedOn w:val="Normal"/>
    <w:next w:val="Normal"/>
    <w:link w:val="Heading8Char"/>
    <w:qFormat/>
    <w:rsid w:val="009333C1"/>
    <w:pPr>
      <w:ind w:left="720"/>
      <w:outlineLvl w:val="7"/>
    </w:pPr>
    <w:rPr>
      <w:i/>
    </w:rPr>
  </w:style>
  <w:style w:type="paragraph" w:styleId="Heading9">
    <w:name w:val="heading 9"/>
    <w:basedOn w:val="Normal"/>
    <w:next w:val="Normal"/>
    <w:link w:val="Heading9Char"/>
    <w:qFormat/>
    <w:rsid w:val="009333C1"/>
    <w:pPr>
      <w:ind w:left="720"/>
      <w:outlineLvl w:val="8"/>
    </w:pPr>
    <w:rPr>
      <w:i/>
    </w:rPr>
  </w:style>
  <w:style w:type="character" w:default="1" w:styleId="DefaultParagraphFont">
    <w:name w:val="Default Paragraph Font"/>
    <w:uiPriority w:val="1"/>
    <w:unhideWhenUsed/>
    <w:rsid w:val="009333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33C1"/>
  </w:style>
  <w:style w:type="character" w:customStyle="1" w:styleId="Heading1Char">
    <w:name w:val="Heading 1 Char"/>
    <w:basedOn w:val="DefaultParagraphFont"/>
    <w:link w:val="Heading1"/>
    <w:rsid w:val="009333C1"/>
    <w:rPr>
      <w:rFonts w:ascii="Times New Roman" w:eastAsia="Times New Roman" w:hAnsi="Times New Roman" w:cs="Times New Roman"/>
      <w:b/>
      <w:sz w:val="32"/>
      <w:szCs w:val="20"/>
      <w:lang w:eastAsia="en-US"/>
    </w:rPr>
  </w:style>
  <w:style w:type="paragraph" w:styleId="BodyText">
    <w:name w:val="Body Text"/>
    <w:basedOn w:val="Normal"/>
    <w:link w:val="BodyTextChar"/>
    <w:rsid w:val="009333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33C1"/>
    <w:rPr>
      <w:rFonts w:ascii="Times New Roman" w:eastAsia="Times New Roman" w:hAnsi="Times New Roman" w:cs="Times New Roman"/>
      <w:sz w:val="24"/>
      <w:lang w:eastAsia="en-US"/>
    </w:rPr>
  </w:style>
  <w:style w:type="paragraph" w:styleId="List">
    <w:name w:val="List"/>
    <w:basedOn w:val="BodyText"/>
    <w:next w:val="BodyText"/>
    <w:rsid w:val="009333C1"/>
    <w:pPr>
      <w:tabs>
        <w:tab w:val="left" w:pos="340"/>
      </w:tabs>
      <w:spacing w:before="60" w:after="60"/>
      <w:ind w:left="340" w:hanging="340"/>
    </w:pPr>
  </w:style>
  <w:style w:type="paragraph" w:styleId="ListBullet">
    <w:name w:val="List Bullet"/>
    <w:basedOn w:val="List"/>
    <w:rsid w:val="009333C1"/>
    <w:pPr>
      <w:numPr>
        <w:numId w:val="13"/>
      </w:numPr>
      <w:tabs>
        <w:tab w:val="clear" w:pos="340"/>
      </w:tabs>
      <w:spacing w:before="40" w:after="40"/>
    </w:pPr>
  </w:style>
  <w:style w:type="character" w:customStyle="1" w:styleId="SpecialBold">
    <w:name w:val="Special Bold"/>
    <w:basedOn w:val="DefaultParagraphFont"/>
    <w:rsid w:val="009333C1"/>
    <w:rPr>
      <w:b/>
      <w:spacing w:val="0"/>
    </w:rPr>
  </w:style>
  <w:style w:type="paragraph" w:styleId="ListBullet2">
    <w:name w:val="List Bullet 2"/>
    <w:basedOn w:val="List2"/>
    <w:rsid w:val="009333C1"/>
    <w:pPr>
      <w:numPr>
        <w:numId w:val="14"/>
      </w:numPr>
      <w:tabs>
        <w:tab w:val="clear" w:pos="680"/>
      </w:tabs>
    </w:pPr>
  </w:style>
  <w:style w:type="paragraph" w:customStyle="1" w:styleId="SuperHeading">
    <w:name w:val="SuperHeading"/>
    <w:basedOn w:val="Normal"/>
    <w:rsid w:val="009333C1"/>
    <w:pPr>
      <w:spacing w:before="240" w:after="120"/>
      <w:outlineLvl w:val="0"/>
    </w:pPr>
    <w:rPr>
      <w:rFonts w:ascii="Times New Roman" w:hAnsi="Times New Roman"/>
      <w:b/>
      <w:sz w:val="32"/>
    </w:rPr>
  </w:style>
  <w:style w:type="paragraph" w:customStyle="1" w:styleId="AllowPageBreak">
    <w:name w:val="AllowPageBreak"/>
    <w:rsid w:val="009333C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333C1"/>
    <w:pPr>
      <w:tabs>
        <w:tab w:val="left" w:pos="680"/>
      </w:tabs>
      <w:spacing w:before="60" w:after="60"/>
      <w:ind w:left="680" w:hanging="340"/>
    </w:pPr>
  </w:style>
  <w:style w:type="character" w:customStyle="1" w:styleId="BoldandItalics">
    <w:name w:val="Bold and Italics"/>
    <w:qFormat/>
    <w:rsid w:val="009333C1"/>
    <w:rPr>
      <w:b/>
      <w:i/>
      <w:u w:val="none"/>
    </w:rPr>
  </w:style>
  <w:style w:type="character" w:customStyle="1" w:styleId="Heading2Char">
    <w:name w:val="Heading 2 Char"/>
    <w:basedOn w:val="DefaultParagraphFont"/>
    <w:link w:val="Heading2"/>
    <w:rsid w:val="009333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33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33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33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33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33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33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33C1"/>
    <w:rPr>
      <w:rFonts w:ascii="Courier New" w:eastAsia="Times New Roman" w:hAnsi="Courier New" w:cs="Times New Roman"/>
      <w:i/>
      <w:szCs w:val="20"/>
      <w:lang w:eastAsia="en-US"/>
    </w:rPr>
  </w:style>
  <w:style w:type="paragraph" w:customStyle="1" w:styleId="HeadingBase">
    <w:name w:val="Heading Base"/>
    <w:rsid w:val="009333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33C1"/>
    <w:pPr>
      <w:tabs>
        <w:tab w:val="right" w:leader="dot" w:pos="9072"/>
      </w:tabs>
      <w:ind w:left="567"/>
    </w:pPr>
    <w:rPr>
      <w:szCs w:val="22"/>
    </w:rPr>
  </w:style>
  <w:style w:type="paragraph" w:customStyle="1" w:styleId="TOCBase">
    <w:name w:val="TOC Base"/>
    <w:rsid w:val="009333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33C1"/>
    <w:pPr>
      <w:tabs>
        <w:tab w:val="right" w:leader="dot" w:pos="9072"/>
      </w:tabs>
      <w:spacing w:before="40" w:after="40"/>
      <w:ind w:left="284"/>
    </w:pPr>
    <w:rPr>
      <w:rFonts w:ascii="Times New Roman" w:hAnsi="Times New Roman"/>
    </w:rPr>
  </w:style>
  <w:style w:type="paragraph" w:styleId="TOC1">
    <w:name w:val="toc 1"/>
    <w:basedOn w:val="TOCBase"/>
    <w:next w:val="Normal"/>
    <w:rsid w:val="009333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33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33C1"/>
    <w:rPr>
      <w:rFonts w:ascii="Times New Roman" w:eastAsia="Times New Roman" w:hAnsi="Times New Roman" w:cs="Times New Roman"/>
      <w:sz w:val="16"/>
      <w:lang w:eastAsia="en-US"/>
    </w:rPr>
  </w:style>
  <w:style w:type="paragraph" w:styleId="Title">
    <w:name w:val="Title"/>
    <w:basedOn w:val="HeadingBase"/>
    <w:link w:val="TitleChar"/>
    <w:qFormat/>
    <w:rsid w:val="009333C1"/>
    <w:pPr>
      <w:spacing w:before="5040"/>
      <w:jc w:val="center"/>
    </w:pPr>
    <w:rPr>
      <w:sz w:val="48"/>
      <w:szCs w:val="72"/>
      <w:lang w:val="en-US"/>
    </w:rPr>
  </w:style>
  <w:style w:type="character" w:customStyle="1" w:styleId="TitleChar">
    <w:name w:val="Title Char"/>
    <w:basedOn w:val="DefaultParagraphFont"/>
    <w:link w:val="Title"/>
    <w:rsid w:val="009333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33C1"/>
    <w:pPr>
      <w:tabs>
        <w:tab w:val="left" w:pos="3600"/>
        <w:tab w:val="left" w:pos="3958"/>
      </w:tabs>
    </w:pPr>
  </w:style>
  <w:style w:type="paragraph" w:customStyle="1" w:styleId="Note">
    <w:name w:val="Note"/>
    <w:basedOn w:val="BodyText"/>
    <w:rsid w:val="009333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33C1"/>
    <w:pPr>
      <w:framePr w:wrap="auto" w:hAnchor="text" w:y="6049"/>
    </w:pPr>
    <w:rPr>
      <w:color w:val="000000"/>
      <w:sz w:val="40"/>
    </w:rPr>
  </w:style>
  <w:style w:type="paragraph" w:customStyle="1" w:styleId="TOCTitle">
    <w:name w:val="TOCTitle"/>
    <w:basedOn w:val="Heading1"/>
    <w:rsid w:val="009333C1"/>
    <w:pPr>
      <w:spacing w:after="240"/>
      <w:jc w:val="center"/>
      <w:outlineLvl w:val="9"/>
    </w:pPr>
    <w:rPr>
      <w:caps/>
    </w:rPr>
  </w:style>
  <w:style w:type="paragraph" w:customStyle="1" w:styleId="Version">
    <w:name w:val="Version"/>
    <w:rsid w:val="009333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33C1"/>
    <w:pPr>
      <w:keepNext w:val="0"/>
      <w:tabs>
        <w:tab w:val="right" w:pos="4176"/>
      </w:tabs>
      <w:ind w:left="198" w:hanging="198"/>
    </w:pPr>
    <w:rPr>
      <w:rFonts w:ascii="Garamond" w:hAnsi="Garamond"/>
    </w:rPr>
  </w:style>
  <w:style w:type="paragraph" w:styleId="IndexHeading">
    <w:name w:val="index heading"/>
    <w:basedOn w:val="Normal"/>
    <w:next w:val="Index1"/>
    <w:semiHidden/>
    <w:rsid w:val="009333C1"/>
    <w:pPr>
      <w:spacing w:before="120" w:after="120"/>
    </w:pPr>
    <w:rPr>
      <w:rFonts w:ascii="Arial" w:hAnsi="Arial"/>
      <w:b/>
      <w:color w:val="918585"/>
      <w:sz w:val="24"/>
    </w:rPr>
  </w:style>
  <w:style w:type="paragraph" w:styleId="Header">
    <w:name w:val="header"/>
    <w:basedOn w:val="Normal"/>
    <w:link w:val="HeaderChar"/>
    <w:rsid w:val="009333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33C1"/>
    <w:rPr>
      <w:rFonts w:ascii="Times New Roman" w:eastAsia="Times New Roman" w:hAnsi="Times New Roman" w:cs="Times New Roman"/>
      <w:sz w:val="16"/>
      <w:szCs w:val="20"/>
      <w:lang w:val="en-GB" w:eastAsia="en-US"/>
    </w:rPr>
  </w:style>
  <w:style w:type="paragraph" w:customStyle="1" w:styleId="Chapter">
    <w:name w:val="Chapter"/>
    <w:basedOn w:val="Normal"/>
    <w:rsid w:val="009333C1"/>
    <w:pPr>
      <w:spacing w:before="240"/>
    </w:pPr>
    <w:rPr>
      <w:rFonts w:ascii="Times New Roman" w:hAnsi="Times New Roman"/>
      <w:smallCaps/>
      <w:spacing w:val="80"/>
      <w:sz w:val="28"/>
    </w:rPr>
  </w:style>
  <w:style w:type="paragraph" w:customStyle="1" w:styleId="InChapter">
    <w:name w:val="InChapter"/>
    <w:basedOn w:val="Heading3"/>
    <w:rsid w:val="009333C1"/>
    <w:pPr>
      <w:spacing w:after="240"/>
      <w:outlineLvl w:val="9"/>
    </w:pPr>
    <w:rPr>
      <w:noProof/>
    </w:rPr>
  </w:style>
  <w:style w:type="paragraph" w:styleId="Index2">
    <w:name w:val="index 2"/>
    <w:basedOn w:val="Normal"/>
    <w:next w:val="Normal"/>
    <w:semiHidden/>
    <w:rsid w:val="009333C1"/>
    <w:pPr>
      <w:tabs>
        <w:tab w:val="right" w:pos="4176"/>
      </w:tabs>
      <w:ind w:left="568" w:hanging="284"/>
    </w:pPr>
    <w:rPr>
      <w:rFonts w:ascii="Garamond" w:hAnsi="Garamond"/>
    </w:rPr>
  </w:style>
  <w:style w:type="paragraph" w:customStyle="1" w:styleId="Byline">
    <w:name w:val="Byline"/>
    <w:rsid w:val="009333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33C1"/>
    <w:pPr>
      <w:tabs>
        <w:tab w:val="clear" w:pos="3600"/>
        <w:tab w:val="clear" w:pos="3958"/>
      </w:tabs>
      <w:jc w:val="right"/>
    </w:pPr>
  </w:style>
  <w:style w:type="character" w:styleId="Emphasis">
    <w:name w:val="Emphasis"/>
    <w:basedOn w:val="DefaultParagraphFont"/>
    <w:qFormat/>
    <w:rsid w:val="009333C1"/>
    <w:rPr>
      <w:i/>
    </w:rPr>
  </w:style>
  <w:style w:type="paragraph" w:styleId="Caption">
    <w:name w:val="caption"/>
    <w:basedOn w:val="BodyText"/>
    <w:next w:val="Normal"/>
    <w:qFormat/>
    <w:rsid w:val="009333C1"/>
    <w:pPr>
      <w:framePr w:w="2268" w:hSpace="181" w:vSpace="181" w:wrap="around" w:vAnchor="text" w:hAnchor="page" w:x="1135" w:y="285" w:anchorLock="1"/>
    </w:pPr>
    <w:rPr>
      <w:i/>
    </w:rPr>
  </w:style>
  <w:style w:type="paragraph" w:customStyle="1" w:styleId="MiniTOCTitle">
    <w:name w:val="MiniTOCTitle"/>
    <w:basedOn w:val="Heading4"/>
    <w:rsid w:val="009333C1"/>
    <w:pPr>
      <w:spacing w:before="240"/>
      <w:outlineLvl w:val="9"/>
    </w:pPr>
    <w:rPr>
      <w:noProof/>
      <w:sz w:val="24"/>
    </w:rPr>
  </w:style>
  <w:style w:type="paragraph" w:customStyle="1" w:styleId="MiniTOCItem">
    <w:name w:val="MiniTOCItem"/>
    <w:basedOn w:val="ListBullet"/>
    <w:rsid w:val="009333C1"/>
    <w:pPr>
      <w:numPr>
        <w:numId w:val="0"/>
      </w:numPr>
      <w:tabs>
        <w:tab w:val="right" w:leader="dot" w:pos="6521"/>
      </w:tabs>
      <w:spacing w:before="0" w:after="0"/>
    </w:pPr>
  </w:style>
  <w:style w:type="paragraph" w:customStyle="1" w:styleId="TOFTitle">
    <w:name w:val="TOFTitle"/>
    <w:basedOn w:val="TOCTitle"/>
    <w:rsid w:val="009333C1"/>
  </w:style>
  <w:style w:type="paragraph" w:styleId="TableofFigures">
    <w:name w:val="table of figures"/>
    <w:basedOn w:val="Normal"/>
    <w:next w:val="Normal"/>
    <w:semiHidden/>
    <w:rsid w:val="009333C1"/>
    <w:pPr>
      <w:tabs>
        <w:tab w:val="right" w:leader="dot" w:pos="9072"/>
      </w:tabs>
      <w:ind w:left="970" w:hanging="403"/>
    </w:pPr>
    <w:rPr>
      <w:rFonts w:ascii="Times New Roman" w:hAnsi="Times New Roman"/>
      <w:b/>
    </w:rPr>
  </w:style>
  <w:style w:type="paragraph" w:styleId="ListNumber">
    <w:name w:val="List Number"/>
    <w:basedOn w:val="List"/>
    <w:rsid w:val="009333C1"/>
    <w:pPr>
      <w:numPr>
        <w:numId w:val="11"/>
      </w:numPr>
    </w:pPr>
  </w:style>
  <w:style w:type="character" w:customStyle="1" w:styleId="WingdingSymbols">
    <w:name w:val="Wingding Symbols"/>
    <w:rsid w:val="009333C1"/>
    <w:rPr>
      <w:rFonts w:ascii="Wingdings" w:hAnsi="Wingdings"/>
    </w:rPr>
  </w:style>
  <w:style w:type="paragraph" w:customStyle="1" w:styleId="TableHeading">
    <w:name w:val="Table Heading"/>
    <w:basedOn w:val="HeadingBase"/>
    <w:rsid w:val="009333C1"/>
    <w:pPr>
      <w:keepLines/>
      <w:pBdr>
        <w:bottom w:val="single" w:sz="6" w:space="1" w:color="918585"/>
      </w:pBdr>
      <w:spacing w:before="240"/>
    </w:pPr>
  </w:style>
  <w:style w:type="character" w:customStyle="1" w:styleId="HotSpot">
    <w:name w:val="HotSpot"/>
    <w:rsid w:val="009333C1"/>
    <w:rPr>
      <w:color w:val="0033CC"/>
      <w:u w:val="none"/>
    </w:rPr>
  </w:style>
  <w:style w:type="paragraph" w:customStyle="1" w:styleId="BodyTextRight">
    <w:name w:val="Body Text Right"/>
    <w:basedOn w:val="BodyText"/>
    <w:rsid w:val="009333C1"/>
    <w:pPr>
      <w:spacing w:before="0" w:after="0"/>
      <w:jc w:val="right"/>
    </w:pPr>
  </w:style>
  <w:style w:type="paragraph" w:styleId="Index3">
    <w:name w:val="index 3"/>
    <w:basedOn w:val="ListNumber2"/>
    <w:next w:val="Normal"/>
    <w:semiHidden/>
    <w:rsid w:val="009333C1"/>
    <w:pPr>
      <w:numPr>
        <w:numId w:val="0"/>
      </w:numPr>
      <w:tabs>
        <w:tab w:val="right" w:leader="dot" w:pos="4176"/>
      </w:tabs>
    </w:pPr>
  </w:style>
  <w:style w:type="paragraph" w:styleId="ListNumber2">
    <w:name w:val="List Number 2"/>
    <w:basedOn w:val="List2"/>
    <w:rsid w:val="009333C1"/>
    <w:pPr>
      <w:numPr>
        <w:numId w:val="10"/>
      </w:numPr>
      <w:tabs>
        <w:tab w:val="clear" w:pos="1060"/>
      </w:tabs>
    </w:pPr>
  </w:style>
  <w:style w:type="paragraph" w:customStyle="1" w:styleId="MarginNote">
    <w:name w:val="Margin Note"/>
    <w:basedOn w:val="BodyText"/>
    <w:rsid w:val="009333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33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33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33C1"/>
    <w:rPr>
      <w:sz w:val="32"/>
    </w:rPr>
  </w:style>
  <w:style w:type="paragraph" w:customStyle="1" w:styleId="HeadingProcedure">
    <w:name w:val="Heading Procedure"/>
    <w:basedOn w:val="HeadingBase"/>
    <w:next w:val="Normal"/>
    <w:rsid w:val="009333C1"/>
    <w:pPr>
      <w:tabs>
        <w:tab w:val="left" w:pos="0"/>
      </w:tabs>
      <w:spacing w:before="120" w:after="60"/>
    </w:pPr>
    <w:rPr>
      <w:i/>
      <w:color w:val="918585"/>
      <w:sz w:val="22"/>
    </w:rPr>
  </w:style>
  <w:style w:type="paragraph" w:customStyle="1" w:styleId="TableBodyText">
    <w:name w:val="Table Body Text"/>
    <w:basedOn w:val="BodyText"/>
    <w:rsid w:val="009333C1"/>
    <w:pPr>
      <w:spacing w:before="60" w:after="60"/>
    </w:pPr>
  </w:style>
  <w:style w:type="paragraph" w:styleId="ListContinue">
    <w:name w:val="List Continue"/>
    <w:basedOn w:val="List"/>
    <w:rsid w:val="009333C1"/>
    <w:pPr>
      <w:ind w:firstLine="0"/>
    </w:pPr>
  </w:style>
  <w:style w:type="paragraph" w:customStyle="1" w:styleId="ListNote">
    <w:name w:val="List Note"/>
    <w:basedOn w:val="List"/>
    <w:rsid w:val="009333C1"/>
    <w:pPr>
      <w:pBdr>
        <w:top w:val="single" w:sz="6" w:space="2" w:color="918585"/>
        <w:bottom w:val="single" w:sz="6" w:space="2" w:color="918585"/>
      </w:pBdr>
      <w:tabs>
        <w:tab w:val="left" w:pos="1021"/>
      </w:tabs>
      <w:ind w:firstLine="0"/>
    </w:pPr>
  </w:style>
  <w:style w:type="paragraph" w:customStyle="1" w:styleId="Warning">
    <w:name w:val="Warning"/>
    <w:basedOn w:val="BodyText"/>
    <w:rsid w:val="009333C1"/>
    <w:pPr>
      <w:shd w:val="clear" w:color="auto" w:fill="D9D9D9"/>
      <w:tabs>
        <w:tab w:val="left" w:pos="992"/>
      </w:tabs>
      <w:ind w:left="119" w:right="119"/>
    </w:pPr>
    <w:rPr>
      <w:sz w:val="20"/>
    </w:rPr>
  </w:style>
  <w:style w:type="paragraph" w:customStyle="1" w:styleId="MarginIcons">
    <w:name w:val="Margin Icons"/>
    <w:basedOn w:val="BodyText"/>
    <w:rsid w:val="009333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33C1"/>
    <w:rPr>
      <w:rFonts w:ascii="Courier New" w:hAnsi="Courier New"/>
    </w:rPr>
  </w:style>
  <w:style w:type="paragraph" w:customStyle="1" w:styleId="NoteBullet">
    <w:name w:val="Note Bullet"/>
    <w:basedOn w:val="Note"/>
    <w:rsid w:val="009333C1"/>
    <w:pPr>
      <w:tabs>
        <w:tab w:val="clear" w:pos="680"/>
      </w:tabs>
      <w:spacing w:before="60" w:after="60"/>
    </w:pPr>
  </w:style>
  <w:style w:type="paragraph" w:customStyle="1" w:styleId="SubHeading2">
    <w:name w:val="SubHeading2"/>
    <w:basedOn w:val="HeadingBase"/>
    <w:rsid w:val="009333C1"/>
    <w:pPr>
      <w:spacing w:before="240" w:after="60"/>
    </w:pPr>
    <w:rPr>
      <w:sz w:val="20"/>
    </w:rPr>
  </w:style>
  <w:style w:type="paragraph" w:customStyle="1" w:styleId="SubHeading1">
    <w:name w:val="SubHeading1"/>
    <w:basedOn w:val="HeadingBase"/>
    <w:rsid w:val="009333C1"/>
    <w:pPr>
      <w:spacing w:before="240" w:after="60"/>
    </w:pPr>
    <w:rPr>
      <w:color w:val="918585"/>
      <w:sz w:val="22"/>
    </w:rPr>
  </w:style>
  <w:style w:type="paragraph" w:customStyle="1" w:styleId="SideHeading">
    <w:name w:val="Side Heading"/>
    <w:basedOn w:val="HeadingBase"/>
    <w:rsid w:val="009333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33C1"/>
    <w:pPr>
      <w:numPr>
        <w:numId w:val="12"/>
      </w:numPr>
    </w:pPr>
  </w:style>
  <w:style w:type="paragraph" w:styleId="PlainText">
    <w:name w:val="Plain Text"/>
    <w:basedOn w:val="Normal"/>
    <w:link w:val="PlainTextChar"/>
    <w:rsid w:val="009333C1"/>
    <w:rPr>
      <w:sz w:val="20"/>
    </w:rPr>
  </w:style>
  <w:style w:type="character" w:customStyle="1" w:styleId="PlainTextChar">
    <w:name w:val="Plain Text Char"/>
    <w:basedOn w:val="DefaultParagraphFont"/>
    <w:link w:val="PlainText"/>
    <w:rsid w:val="009333C1"/>
    <w:rPr>
      <w:rFonts w:ascii="Courier New" w:eastAsia="Times New Roman" w:hAnsi="Courier New" w:cs="Times New Roman"/>
      <w:sz w:val="20"/>
      <w:szCs w:val="20"/>
      <w:lang w:eastAsia="en-US"/>
    </w:rPr>
  </w:style>
  <w:style w:type="character" w:customStyle="1" w:styleId="MenuOption">
    <w:name w:val="Menu Option"/>
    <w:basedOn w:val="DefaultParagraphFont"/>
    <w:rsid w:val="009333C1"/>
    <w:rPr>
      <w:b/>
      <w:smallCaps/>
    </w:rPr>
  </w:style>
  <w:style w:type="paragraph" w:customStyle="1" w:styleId="TableListNumber">
    <w:name w:val="Table List Number"/>
    <w:basedOn w:val="ListNumber"/>
    <w:rsid w:val="009333C1"/>
    <w:pPr>
      <w:numPr>
        <w:numId w:val="0"/>
      </w:numPr>
    </w:pPr>
  </w:style>
  <w:style w:type="paragraph" w:styleId="TOC4">
    <w:name w:val="toc 4"/>
    <w:basedOn w:val="TOCBase"/>
    <w:next w:val="Normal"/>
    <w:semiHidden/>
    <w:rsid w:val="009333C1"/>
    <w:pPr>
      <w:tabs>
        <w:tab w:val="right" w:leader="dot" w:pos="9071"/>
      </w:tabs>
      <w:ind w:left="1701"/>
    </w:pPr>
  </w:style>
  <w:style w:type="paragraph" w:customStyle="1" w:styleId="ListAlpha">
    <w:name w:val="List Alpha"/>
    <w:basedOn w:val="List"/>
    <w:rsid w:val="009333C1"/>
    <w:pPr>
      <w:numPr>
        <w:numId w:val="9"/>
      </w:numPr>
    </w:pPr>
  </w:style>
  <w:style w:type="paragraph" w:customStyle="1" w:styleId="ListAlpha2">
    <w:name w:val="List Alpha 2"/>
    <w:basedOn w:val="List2"/>
    <w:rsid w:val="009333C1"/>
    <w:pPr>
      <w:numPr>
        <w:numId w:val="8"/>
      </w:numPr>
    </w:pPr>
  </w:style>
  <w:style w:type="paragraph" w:styleId="List3">
    <w:name w:val="List 3"/>
    <w:basedOn w:val="BodyText"/>
    <w:rsid w:val="009333C1"/>
    <w:pPr>
      <w:tabs>
        <w:tab w:val="left" w:pos="1021"/>
      </w:tabs>
      <w:spacing w:before="60" w:after="60"/>
      <w:ind w:left="1020" w:hanging="340"/>
    </w:pPr>
  </w:style>
  <w:style w:type="paragraph" w:styleId="List4">
    <w:name w:val="List 4"/>
    <w:basedOn w:val="BodyText"/>
    <w:rsid w:val="009333C1"/>
    <w:pPr>
      <w:tabs>
        <w:tab w:val="left" w:pos="1361"/>
      </w:tabs>
      <w:spacing w:before="60" w:after="60"/>
      <w:ind w:left="1361" w:hanging="340"/>
    </w:pPr>
  </w:style>
  <w:style w:type="paragraph" w:styleId="List5">
    <w:name w:val="List 5"/>
    <w:basedOn w:val="BodyText"/>
    <w:rsid w:val="009333C1"/>
    <w:pPr>
      <w:tabs>
        <w:tab w:val="left" w:pos="1701"/>
      </w:tabs>
      <w:spacing w:before="60" w:after="60"/>
      <w:ind w:left="1701" w:hanging="340"/>
    </w:pPr>
  </w:style>
  <w:style w:type="paragraph" w:styleId="ListBullet3">
    <w:name w:val="List Bullet 3"/>
    <w:basedOn w:val="List3"/>
    <w:rsid w:val="009333C1"/>
    <w:pPr>
      <w:numPr>
        <w:numId w:val="15"/>
      </w:numPr>
      <w:tabs>
        <w:tab w:val="clear" w:pos="1021"/>
      </w:tabs>
      <w:ind w:left="1037" w:hanging="357"/>
    </w:pPr>
  </w:style>
  <w:style w:type="paragraph" w:styleId="ListBullet4">
    <w:name w:val="List Bullet 4"/>
    <w:basedOn w:val="List4"/>
    <w:rsid w:val="009333C1"/>
    <w:pPr>
      <w:numPr>
        <w:numId w:val="3"/>
      </w:numPr>
    </w:pPr>
  </w:style>
  <w:style w:type="paragraph" w:styleId="ListBullet5">
    <w:name w:val="List Bullet 5"/>
    <w:basedOn w:val="List5"/>
    <w:rsid w:val="009333C1"/>
    <w:pPr>
      <w:numPr>
        <w:numId w:val="4"/>
      </w:numPr>
    </w:pPr>
  </w:style>
  <w:style w:type="paragraph" w:styleId="ListContinue2">
    <w:name w:val="List Continue 2"/>
    <w:basedOn w:val="List2"/>
    <w:rsid w:val="009333C1"/>
    <w:pPr>
      <w:ind w:firstLine="0"/>
    </w:pPr>
  </w:style>
  <w:style w:type="paragraph" w:styleId="ListContinue3">
    <w:name w:val="List Continue 3"/>
    <w:basedOn w:val="List3"/>
    <w:rsid w:val="009333C1"/>
    <w:pPr>
      <w:ind w:left="1021" w:firstLine="0"/>
    </w:pPr>
  </w:style>
  <w:style w:type="paragraph" w:styleId="ListContinue4">
    <w:name w:val="List Continue 4"/>
    <w:basedOn w:val="List4"/>
    <w:rsid w:val="009333C1"/>
    <w:pPr>
      <w:ind w:firstLine="0"/>
    </w:pPr>
  </w:style>
  <w:style w:type="paragraph" w:styleId="ListContinue5">
    <w:name w:val="List Continue 5"/>
    <w:basedOn w:val="List5"/>
    <w:rsid w:val="009333C1"/>
    <w:pPr>
      <w:ind w:firstLine="0"/>
    </w:pPr>
  </w:style>
  <w:style w:type="paragraph" w:styleId="ListNumber3">
    <w:name w:val="List Number 3"/>
    <w:basedOn w:val="List3"/>
    <w:rsid w:val="009333C1"/>
    <w:pPr>
      <w:numPr>
        <w:numId w:val="5"/>
      </w:numPr>
    </w:pPr>
  </w:style>
  <w:style w:type="paragraph" w:styleId="ListNumber4">
    <w:name w:val="List Number 4"/>
    <w:basedOn w:val="List4"/>
    <w:rsid w:val="009333C1"/>
    <w:pPr>
      <w:numPr>
        <w:numId w:val="6"/>
      </w:numPr>
    </w:pPr>
  </w:style>
  <w:style w:type="paragraph" w:styleId="ListNumber5">
    <w:name w:val="List Number 5"/>
    <w:basedOn w:val="List5"/>
    <w:rsid w:val="009333C1"/>
    <w:pPr>
      <w:numPr>
        <w:numId w:val="7"/>
      </w:numPr>
    </w:pPr>
  </w:style>
  <w:style w:type="paragraph" w:styleId="BlockText">
    <w:name w:val="Block Text"/>
    <w:basedOn w:val="Normal"/>
    <w:rsid w:val="009333C1"/>
    <w:pPr>
      <w:spacing w:after="120"/>
      <w:ind w:left="1440" w:right="1440"/>
    </w:pPr>
  </w:style>
  <w:style w:type="character" w:customStyle="1" w:styleId="Subscript">
    <w:name w:val="Subscript"/>
    <w:basedOn w:val="DefaultParagraphFont"/>
    <w:rsid w:val="009333C1"/>
    <w:rPr>
      <w:sz w:val="16"/>
      <w:vertAlign w:val="subscript"/>
    </w:rPr>
  </w:style>
  <w:style w:type="character" w:customStyle="1" w:styleId="Superscript">
    <w:name w:val="Superscript"/>
    <w:basedOn w:val="DefaultParagraphFont"/>
    <w:rsid w:val="009333C1"/>
    <w:rPr>
      <w:sz w:val="16"/>
      <w:vertAlign w:val="superscript"/>
    </w:rPr>
  </w:style>
  <w:style w:type="character" w:customStyle="1" w:styleId="Symbols">
    <w:name w:val="Symbols"/>
    <w:basedOn w:val="DefaultParagraphFont"/>
    <w:rsid w:val="009333C1"/>
    <w:rPr>
      <w:rFonts w:ascii="Symbol" w:hAnsi="Symbol"/>
    </w:rPr>
  </w:style>
  <w:style w:type="character" w:customStyle="1" w:styleId="MenuOptions">
    <w:name w:val="Menu Options"/>
    <w:basedOn w:val="DefaultParagraphFont"/>
    <w:rsid w:val="009333C1"/>
    <w:rPr>
      <w:rFonts w:ascii="Arial Narrow" w:hAnsi="Arial Narrow"/>
      <w:smallCaps/>
    </w:rPr>
  </w:style>
  <w:style w:type="character" w:customStyle="1" w:styleId="Buttons">
    <w:name w:val="Buttons"/>
    <w:basedOn w:val="DefaultParagraphFont"/>
    <w:rsid w:val="009333C1"/>
    <w:rPr>
      <w:b/>
    </w:rPr>
  </w:style>
  <w:style w:type="character" w:customStyle="1" w:styleId="Underlined">
    <w:name w:val="Underlined"/>
    <w:basedOn w:val="DefaultParagraphFont"/>
    <w:rsid w:val="009333C1"/>
    <w:rPr>
      <w:u w:val="single"/>
    </w:rPr>
  </w:style>
  <w:style w:type="paragraph" w:customStyle="1" w:styleId="TableBodyTextRight">
    <w:name w:val="Table Body Text Right"/>
    <w:basedOn w:val="TableBodyText"/>
    <w:rsid w:val="009333C1"/>
    <w:pPr>
      <w:widowControl w:val="0"/>
      <w:autoSpaceDE w:val="0"/>
      <w:autoSpaceDN w:val="0"/>
      <w:adjustRightInd w:val="0"/>
      <w:jc w:val="right"/>
    </w:pPr>
    <w:rPr>
      <w:rFonts w:cs="Arial"/>
      <w:szCs w:val="18"/>
    </w:rPr>
  </w:style>
  <w:style w:type="paragraph" w:customStyle="1" w:styleId="CopyrightText">
    <w:name w:val="Copyright Text"/>
    <w:basedOn w:val="BodyText"/>
    <w:rsid w:val="009333C1"/>
    <w:rPr>
      <w:sz w:val="18"/>
    </w:rPr>
  </w:style>
  <w:style w:type="paragraph" w:customStyle="1" w:styleId="BodySmallRight">
    <w:name w:val="Body Small Right"/>
    <w:basedOn w:val="BodyTextRight"/>
    <w:rsid w:val="009333C1"/>
    <w:rPr>
      <w:sz w:val="18"/>
      <w:szCs w:val="18"/>
    </w:rPr>
  </w:style>
  <w:style w:type="paragraph" w:customStyle="1" w:styleId="MarginEdition">
    <w:name w:val="Margin Edition"/>
    <w:basedOn w:val="MarginNote"/>
    <w:rsid w:val="009333C1"/>
    <w:pPr>
      <w:spacing w:before="0" w:after="0"/>
    </w:pPr>
    <w:rPr>
      <w:rFonts w:ascii="Times New Roman" w:hAnsi="Times New Roman"/>
      <w:color w:val="999999"/>
    </w:rPr>
  </w:style>
  <w:style w:type="paragraph" w:customStyle="1" w:styleId="Spacer">
    <w:name w:val="Spacer"/>
    <w:basedOn w:val="Normal"/>
    <w:rsid w:val="009333C1"/>
    <w:rPr>
      <w:sz w:val="2"/>
      <w:szCs w:val="2"/>
    </w:rPr>
  </w:style>
  <w:style w:type="character" w:customStyle="1" w:styleId="Small">
    <w:name w:val="Small"/>
    <w:basedOn w:val="DefaultParagraphFont"/>
    <w:rsid w:val="009333C1"/>
    <w:rPr>
      <w:sz w:val="16"/>
    </w:rPr>
  </w:style>
  <w:style w:type="paragraph" w:customStyle="1" w:styleId="WideTable">
    <w:name w:val="Wide Table"/>
    <w:basedOn w:val="Normal"/>
    <w:rsid w:val="009333C1"/>
    <w:pPr>
      <w:ind w:left="-1418"/>
    </w:pPr>
    <w:rPr>
      <w:sz w:val="2"/>
      <w:szCs w:val="2"/>
    </w:rPr>
  </w:style>
  <w:style w:type="character" w:styleId="PageNumber">
    <w:name w:val="page number"/>
    <w:basedOn w:val="DefaultParagraphFont"/>
    <w:rsid w:val="009333C1"/>
  </w:style>
  <w:style w:type="paragraph" w:styleId="Quote">
    <w:name w:val="Quote"/>
    <w:basedOn w:val="Heading1"/>
    <w:link w:val="QuoteChar"/>
    <w:qFormat/>
    <w:rsid w:val="009333C1"/>
    <w:rPr>
      <w:b w:val="0"/>
      <w:sz w:val="72"/>
      <w:szCs w:val="72"/>
      <w:lang w:val="en-NZ"/>
    </w:rPr>
  </w:style>
  <w:style w:type="character" w:customStyle="1" w:styleId="QuoteChar">
    <w:name w:val="Quote Char"/>
    <w:basedOn w:val="DefaultParagraphFont"/>
    <w:link w:val="Quote"/>
    <w:rsid w:val="009333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33C1"/>
    <w:pPr>
      <w:pageBreakBefore/>
    </w:pPr>
  </w:style>
  <w:style w:type="paragraph" w:customStyle="1" w:styleId="Border">
    <w:name w:val="Border"/>
    <w:basedOn w:val="Normal"/>
    <w:qFormat/>
    <w:rsid w:val="009333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33C1"/>
    <w:rPr>
      <w:b/>
      <w:bCs/>
      <w:i/>
      <w:iCs/>
      <w:color w:val="auto"/>
    </w:rPr>
  </w:style>
  <w:style w:type="paragraph" w:styleId="IntenseQuote">
    <w:name w:val="Intense Quote"/>
    <w:basedOn w:val="Normal"/>
    <w:next w:val="Normal"/>
    <w:link w:val="IntenseQuoteChar"/>
    <w:uiPriority w:val="30"/>
    <w:qFormat/>
    <w:rsid w:val="009333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33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33C1"/>
    <w:rPr>
      <w:smallCaps/>
      <w:color w:val="auto"/>
      <w:u w:val="single"/>
    </w:rPr>
  </w:style>
  <w:style w:type="character" w:styleId="IntenseReference">
    <w:name w:val="Intense Reference"/>
    <w:basedOn w:val="DefaultParagraphFont"/>
    <w:uiPriority w:val="32"/>
    <w:qFormat/>
    <w:rsid w:val="009333C1"/>
    <w:rPr>
      <w:b/>
      <w:bCs/>
      <w:smallCaps/>
      <w:color w:val="auto"/>
      <w:spacing w:val="5"/>
      <w:u w:val="single"/>
    </w:rPr>
  </w:style>
  <w:style w:type="paragraph" w:customStyle="1" w:styleId="2ColumnHeading">
    <w:name w:val="2Column Heading"/>
    <w:basedOn w:val="BodyText"/>
    <w:qFormat/>
    <w:rsid w:val="009333C1"/>
    <w:pPr>
      <w:spacing w:after="60"/>
      <w:ind w:left="-2268"/>
    </w:pPr>
    <w:rPr>
      <w:b/>
    </w:rPr>
  </w:style>
  <w:style w:type="paragraph" w:customStyle="1" w:styleId="Heading1TOC">
    <w:name w:val="Heading1 TOC"/>
    <w:basedOn w:val="Normal"/>
    <w:qFormat/>
    <w:rsid w:val="009333C1"/>
    <w:pPr>
      <w:spacing w:before="240" w:after="120"/>
    </w:pPr>
    <w:rPr>
      <w:rFonts w:ascii="Times New Roman" w:hAnsi="Times New Roman"/>
      <w:b/>
      <w:sz w:val="32"/>
    </w:rPr>
  </w:style>
  <w:style w:type="paragraph" w:customStyle="1" w:styleId="Heading2TOC">
    <w:name w:val="Heading2 TOC"/>
    <w:basedOn w:val="Normal"/>
    <w:qFormat/>
    <w:rsid w:val="009333C1"/>
    <w:pPr>
      <w:spacing w:before="240" w:after="60"/>
    </w:pPr>
    <w:rPr>
      <w:rFonts w:ascii="Times New Roman" w:hAnsi="Times New Roman"/>
      <w:b/>
      <w:sz w:val="28"/>
    </w:rPr>
  </w:style>
  <w:style w:type="character" w:customStyle="1" w:styleId="Underline">
    <w:name w:val="Underline"/>
    <w:basedOn w:val="DefaultParagraphFont"/>
    <w:qFormat/>
    <w:rsid w:val="009333C1"/>
    <w:rPr>
      <w:u w:val="single"/>
    </w:rPr>
  </w:style>
  <w:style w:type="paragraph" w:styleId="BalloonText">
    <w:name w:val="Balloon Text"/>
    <w:basedOn w:val="Normal"/>
    <w:link w:val="BalloonTextChar"/>
    <w:rsid w:val="009333C1"/>
    <w:rPr>
      <w:rFonts w:ascii="Tahoma" w:hAnsi="Tahoma" w:cs="Tahoma"/>
      <w:sz w:val="16"/>
      <w:szCs w:val="16"/>
    </w:rPr>
  </w:style>
  <w:style w:type="character" w:customStyle="1" w:styleId="BalloonTextChar">
    <w:name w:val="Balloon Text Char"/>
    <w:basedOn w:val="DefaultParagraphFont"/>
    <w:link w:val="BalloonText"/>
    <w:rsid w:val="009333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33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33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33C1"/>
    <w:rPr>
      <w:b/>
      <w:color w:val="660033"/>
      <w:spacing w:val="0"/>
    </w:rPr>
  </w:style>
  <w:style w:type="paragraph" w:customStyle="1" w:styleId="Nameditemlist">
    <w:name w:val="Named item list"/>
    <w:basedOn w:val="BodyText"/>
    <w:qFormat/>
    <w:rsid w:val="009333C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1534</Words>
  <Characters>9677</Characters>
  <Application>Microsoft Office Word</Application>
  <DocSecurity>0</DocSecurity>
  <Lines>261</Lines>
  <Paragraphs>109</Paragraphs>
  <ScaleCrop>false</ScaleCrop>
  <Company>Author-it Software Corporation Ltd.</Company>
  <LinksUpToDate>false</LinksUpToDate>
  <CharactersWithSpaces>11139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MEA203C Remove and install advanced aircraft electrical system components</dc:title>
  <dc:subject>Approved</dc:subject>
  <dc:creator>Manufacturing Skills Australia</dc:creator>
  <cp:keywords>Release 3</cp:keywords>
  <dc:description>Review Date: 12 April 2008</dc:description>
  <cp:lastModifiedBy>HSD_TPCMSd.prod</cp:lastModifiedBy>
  <cp:revision>3</cp:revision>
  <dcterms:created xsi:type="dcterms:W3CDTF">2013-08-22T17:47:00Z</dcterms:created>
  <dcterms:modified xsi:type="dcterms:W3CDTF">2013-08-22T17:47:00Z</dcterms:modified>
</cp:coreProperties>
</file>