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4D3B" w:rsidP="00204D3B">
      <w:pPr>
        <w:pStyle w:val="Title"/>
      </w:pPr>
      <w:r>
        <w:fldChar w:fldCharType="begin"/>
      </w:r>
      <w:r>
        <w:instrText xml:space="preserve"> TITLE   \* MERGEFORMAT </w:instrText>
      </w:r>
      <w:r>
        <w:fldChar w:fldCharType="separate"/>
      </w:r>
      <w:r>
        <w:t>MEA201B Remove and install miscellaneous aircraft electrical hardware/components</w:t>
      </w:r>
      <w:r>
        <w:fldChar w:fldCharType="end"/>
      </w:r>
    </w:p>
    <w:p w:rsidR="00204D3B" w:rsidP="00204D3B">
      <w:pPr>
        <w:pStyle w:val="Version"/>
        <w:sectPr w:rsidSect="00CD13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D13CD" w:rsidP="00CD13CD">
      <w:pPr>
        <w:pStyle w:val="SuperHeading"/>
      </w:pPr>
      <w:r w:rsidRPr="00CD13CD">
        <w:t>MEA201B Remove and install miscellaneous aircraft electrical hardware/components</w:t>
      </w:r>
    </w:p>
    <w:p w:rsidR="00000000" w:rsidRPr="00CD13CD" w:rsidP="00CD13CD">
      <w:pPr>
        <w:pStyle w:val="Heading1"/>
      </w:pPr>
      <w:bookmarkStart w:id="1" w:name="O_398954"/>
      <w:bookmarkEnd w:id="1"/>
      <w:r w:rsidRPr="00CD13CD">
        <w:t>Modification History</w:t>
      </w:r>
    </w:p>
    <w:p w:rsidR="00000000" w:rsidRPr="00CD13CD" w:rsidP="00CD13CD">
      <w:pPr>
        <w:pStyle w:val="BodyText"/>
      </w:pPr>
      <w:r w:rsidRPr="00CD13CD">
        <w:t>Minor formatting and editorial changes made. Prerequisite version code updated.</w:t>
      </w:r>
    </w:p>
    <w:p w:rsidR="00000000" w:rsidRPr="00CD13CD" w:rsidP="00CD13CD">
      <w:pPr>
        <w:pStyle w:val="AllowPageBreak"/>
      </w:pPr>
    </w:p>
    <w:p w:rsidR="00000000" w:rsidRPr="00CD13CD" w:rsidP="00CD13CD">
      <w:pPr>
        <w:pStyle w:val="Heading1"/>
      </w:pPr>
      <w:bookmarkStart w:id="2" w:name="O_398950"/>
      <w:bookmarkEnd w:id="2"/>
      <w:r w:rsidRPr="00CD13CD">
        <w:t>Unit Descriptor</w:t>
      </w:r>
    </w:p>
    <w:tbl>
      <w:tblPr>
        <w:tblW w:w="0" w:type="auto"/>
        <w:tblLayout w:type="fixed"/>
        <w:tblCellMar>
          <w:left w:w="62" w:type="dxa"/>
          <w:right w:w="62" w:type="dxa"/>
        </w:tblCellMar>
        <w:tblLook w:val="0000"/>
      </w:tblPr>
      <w:tblGrid>
        <w:gridCol w:w="8550"/>
      </w:tblGrid>
      <w:tr w:rsidTr="00204D3B">
        <w:tblPrEx>
          <w:tblW w:w="0" w:type="auto"/>
          <w:tblLayout w:type="fixed"/>
          <w:tblCellMar>
            <w:left w:w="62" w:type="dxa"/>
            <w:right w:w="62" w:type="dxa"/>
          </w:tblCellMar>
          <w:tblLook w:val="0000"/>
        </w:tblPrEx>
        <w:tc>
          <w:tcPr>
            <w:tcW w:w="8550" w:type="dxa"/>
            <w:tcBorders>
              <w:top w:val="nil"/>
              <w:left w:val="nil"/>
              <w:bottom w:val="nil"/>
              <w:right w:val="nil"/>
            </w:tcBorders>
            <w:tcMar>
              <w:top w:w="0" w:type="dxa"/>
              <w:left w:w="62" w:type="dxa"/>
              <w:bottom w:w="0" w:type="dxa"/>
              <w:right w:w="62" w:type="dxa"/>
            </w:tcMar>
          </w:tcPr>
          <w:p w:rsidR="00000000" w:rsidRPr="00CD13CD" w:rsidP="00CD13CD">
            <w:pPr>
              <w:pStyle w:val="BodyText"/>
            </w:pPr>
            <w:r w:rsidRPr="00CD13CD">
              <w:t>This unit of competency is part of all Avionic Certificate IV training pathways and is also part of the Mechanical Aircraft Maintenance Engineer licensing pathway. It covers the competencies required for the removal and installation of miscellaneous electr</w:t>
            </w:r>
            <w:r w:rsidRPr="00CD13CD">
              <w:t>ical hardware and components found in various systems of both fixed and rotary wing aircraft. Where a CASA licensing outcome is sought this unit forms part of the CASA requirement for the granting of the chosen Aircraft Maintenance Engineer Licence under C</w:t>
            </w:r>
            <w:r w:rsidRPr="00CD13CD">
              <w:t>ASR Part 66, in accordance with the licensing provisions in Section 3, Assessment Guidelines.</w:t>
            </w:r>
          </w:p>
        </w:tc>
      </w:tr>
    </w:tbl>
    <w:p w:rsidR="00000000" w:rsidRPr="00CD13CD" w:rsidP="00CD13CD">
      <w:pPr>
        <w:pStyle w:val="BodyText"/>
      </w:pPr>
    </w:p>
    <w:p w:rsidR="00000000" w:rsidRPr="00CD13CD" w:rsidP="00CD13CD">
      <w:pPr>
        <w:pStyle w:val="AllowPageBreak"/>
      </w:pPr>
    </w:p>
    <w:p w:rsidR="00000000" w:rsidRPr="00CD13CD" w:rsidP="00CD13CD">
      <w:pPr>
        <w:pStyle w:val="Heading1"/>
      </w:pPr>
      <w:bookmarkStart w:id="3" w:name="O_398963"/>
      <w:bookmarkEnd w:id="3"/>
      <w:r w:rsidRPr="00CD13CD">
        <w:t>Application of the Unit</w:t>
      </w:r>
    </w:p>
    <w:tbl>
      <w:tblPr>
        <w:tblW w:w="0" w:type="auto"/>
        <w:tblLayout w:type="fixed"/>
        <w:tblCellMar>
          <w:left w:w="62" w:type="dxa"/>
          <w:right w:w="62" w:type="dxa"/>
        </w:tblCellMar>
        <w:tblLook w:val="0000"/>
      </w:tblPr>
      <w:tblGrid>
        <w:gridCol w:w="8640"/>
      </w:tblGrid>
      <w:tr w:rsidTr="00204D3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RPr="00CD13CD" w:rsidP="00CD13CD">
            <w:pPr>
              <w:pStyle w:val="BodyText"/>
            </w:pPr>
            <w:r w:rsidRPr="00CD13CD">
              <w:t>This unit requires application of skills in basic soldering and in crimping associated with the removal and installatio</w:t>
            </w:r>
            <w:r w:rsidRPr="00CD13CD">
              <w:t>n of electrical hardware.</w:t>
            </w:r>
          </w:p>
          <w:p w:rsidR="00000000" w:rsidRPr="00CD13CD" w:rsidP="00CD13CD">
            <w:pPr>
              <w:pStyle w:val="BodyText"/>
            </w:pPr>
            <w:r w:rsidRPr="00CD13CD">
              <w:t>Applications include miscellaneous electrical hardware fitted to fixed or rotary wing aircraft.</w:t>
            </w:r>
          </w:p>
        </w:tc>
      </w:tr>
    </w:tbl>
    <w:p w:rsidR="00000000" w:rsidRPr="00CD13CD" w:rsidP="00CD13CD">
      <w:pPr>
        <w:pStyle w:val="BodyText"/>
      </w:pPr>
    </w:p>
    <w:p w:rsidR="00000000" w:rsidRPr="00CD13CD" w:rsidP="00CD13CD">
      <w:pPr>
        <w:pStyle w:val="AllowPageBreak"/>
      </w:pPr>
    </w:p>
    <w:p w:rsidR="00000000" w:rsidRPr="00CD13CD" w:rsidP="00CD13CD">
      <w:pPr>
        <w:pStyle w:val="Heading1"/>
      </w:pPr>
      <w:bookmarkStart w:id="4" w:name="O_398955"/>
      <w:bookmarkEnd w:id="4"/>
      <w:r w:rsidRPr="00CD13CD">
        <w:t>Licensing/Regulatory Information</w:t>
      </w:r>
    </w:p>
    <w:p w:rsidR="00000000" w:rsidRPr="00CD13CD" w:rsidP="00CD13CD">
      <w:pPr>
        <w:pStyle w:val="BodyText"/>
      </w:pPr>
      <w:r w:rsidRPr="00CD13CD">
        <w:t>Not applicable.</w:t>
      </w:r>
    </w:p>
    <w:p w:rsidR="00000000" w:rsidRPr="00CD13CD" w:rsidP="00CD13CD">
      <w:pPr>
        <w:pStyle w:val="AllowPageBreak"/>
      </w:pPr>
    </w:p>
    <w:p w:rsidR="00000000" w:rsidRPr="00CD13CD" w:rsidP="00CD13CD">
      <w:pPr>
        <w:pStyle w:val="Heading1"/>
      </w:pPr>
      <w:bookmarkStart w:id="5" w:name="O_398953"/>
      <w:bookmarkEnd w:id="5"/>
      <w:r w:rsidRPr="00CD13CD">
        <w:t>Pre-Requisites</w:t>
      </w:r>
    </w:p>
    <w:tbl>
      <w:tblPr>
        <w:tblW w:w="0" w:type="auto"/>
        <w:tblLayout w:type="fixed"/>
        <w:tblCellMar>
          <w:left w:w="62" w:type="dxa"/>
          <w:right w:w="62" w:type="dxa"/>
        </w:tblCellMar>
        <w:tblLook w:val="0000"/>
      </w:tblPr>
      <w:tblGrid>
        <w:gridCol w:w="1914"/>
        <w:gridCol w:w="6546"/>
      </w:tblGrid>
      <w:tr w:rsidTr="00204D3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CD13CD">
            <w:pPr>
              <w:pStyle w:val="BodyText"/>
              <w:rPr>
                <w:lang w:val="en-NZ"/>
              </w:rPr>
            </w:pPr>
            <w:r w:rsidRPr="00CD13CD">
              <w:t xml:space="preserve">MEA101B </w:t>
            </w:r>
          </w:p>
        </w:tc>
        <w:tc>
          <w:tcPr>
            <w:tcW w:w="6546" w:type="dxa"/>
            <w:tcBorders>
              <w:top w:val="nil"/>
              <w:left w:val="nil"/>
              <w:bottom w:val="nil"/>
              <w:right w:val="nil"/>
            </w:tcBorders>
            <w:tcMar>
              <w:top w:w="0" w:type="dxa"/>
              <w:left w:w="62" w:type="dxa"/>
              <w:bottom w:w="0" w:type="dxa"/>
              <w:right w:w="62" w:type="dxa"/>
            </w:tcMar>
          </w:tcPr>
          <w:p w:rsidR="00000000" w:rsidP="00CD13CD">
            <w:pPr>
              <w:pStyle w:val="BodyText"/>
              <w:rPr>
                <w:lang w:val="en-NZ"/>
              </w:rPr>
            </w:pPr>
            <w:r w:rsidRPr="00CD13CD">
              <w:t>Interpret occupational health and safety practices in aviation maintenance</w:t>
            </w:r>
          </w:p>
        </w:tc>
      </w:tr>
      <w:tr w:rsidTr="00204D3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CD13CD">
            <w:pPr>
              <w:pStyle w:val="BodyText"/>
              <w:rPr>
                <w:lang w:val="en-NZ"/>
              </w:rPr>
            </w:pPr>
            <w:r w:rsidRPr="00CD13CD">
              <w:t xml:space="preserve">MEA103B </w:t>
            </w:r>
          </w:p>
        </w:tc>
        <w:tc>
          <w:tcPr>
            <w:tcW w:w="6546" w:type="dxa"/>
            <w:tcBorders>
              <w:top w:val="nil"/>
              <w:left w:val="nil"/>
              <w:bottom w:val="nil"/>
              <w:right w:val="nil"/>
            </w:tcBorders>
            <w:tcMar>
              <w:top w:w="0" w:type="dxa"/>
              <w:left w:w="62" w:type="dxa"/>
              <w:bottom w:w="0" w:type="dxa"/>
              <w:right w:w="62" w:type="dxa"/>
            </w:tcMar>
          </w:tcPr>
          <w:p w:rsidR="00000000" w:rsidP="00CD13CD">
            <w:pPr>
              <w:pStyle w:val="BodyText"/>
              <w:rPr>
                <w:lang w:val="en-NZ"/>
              </w:rPr>
            </w:pPr>
            <w:r w:rsidRPr="00CD13CD">
              <w:t>Plan and organise aviation maintenance work activity</w:t>
            </w:r>
          </w:p>
        </w:tc>
      </w:tr>
      <w:tr w:rsidTr="00204D3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CD13CD">
            <w:pPr>
              <w:pStyle w:val="BodyText"/>
              <w:rPr>
                <w:lang w:val="en-NZ"/>
              </w:rPr>
            </w:pPr>
            <w:r w:rsidRPr="00CD13CD">
              <w:t xml:space="preserve">MEA105C </w:t>
            </w:r>
          </w:p>
        </w:tc>
        <w:tc>
          <w:tcPr>
            <w:tcW w:w="6546" w:type="dxa"/>
            <w:tcBorders>
              <w:top w:val="nil"/>
              <w:left w:val="nil"/>
              <w:bottom w:val="nil"/>
              <w:right w:val="nil"/>
            </w:tcBorders>
            <w:tcMar>
              <w:top w:w="0" w:type="dxa"/>
              <w:left w:w="62" w:type="dxa"/>
              <w:bottom w:w="0" w:type="dxa"/>
              <w:right w:w="62" w:type="dxa"/>
            </w:tcMar>
          </w:tcPr>
          <w:p w:rsidR="00000000" w:rsidP="00CD13CD">
            <w:pPr>
              <w:pStyle w:val="BodyText"/>
              <w:rPr>
                <w:lang w:val="en-NZ"/>
              </w:rPr>
            </w:pPr>
            <w:r w:rsidRPr="00CD13CD">
              <w:t>Apply quality standards applicable to aviation maintenance processes</w:t>
            </w:r>
          </w:p>
        </w:tc>
      </w:tr>
      <w:tr w:rsidTr="00204D3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CD13CD">
            <w:pPr>
              <w:pStyle w:val="BodyText"/>
              <w:rPr>
                <w:lang w:val="en-NZ"/>
              </w:rPr>
            </w:pPr>
            <w:r w:rsidRPr="00CD13CD">
              <w:t xml:space="preserve">MEA107B </w:t>
            </w:r>
          </w:p>
        </w:tc>
        <w:tc>
          <w:tcPr>
            <w:tcW w:w="6546" w:type="dxa"/>
            <w:tcBorders>
              <w:top w:val="nil"/>
              <w:left w:val="nil"/>
              <w:bottom w:val="nil"/>
              <w:right w:val="nil"/>
            </w:tcBorders>
            <w:tcMar>
              <w:top w:w="0" w:type="dxa"/>
              <w:left w:w="62" w:type="dxa"/>
              <w:bottom w:w="0" w:type="dxa"/>
              <w:right w:w="62" w:type="dxa"/>
            </w:tcMar>
          </w:tcPr>
          <w:p w:rsidR="00000000" w:rsidP="00CD13CD">
            <w:pPr>
              <w:pStyle w:val="BodyText"/>
              <w:rPr>
                <w:lang w:val="en-NZ"/>
              </w:rPr>
            </w:pPr>
            <w:r w:rsidRPr="00CD13CD">
              <w:t>Interpret and use aviation ma</w:t>
            </w:r>
            <w:r w:rsidRPr="00CD13CD">
              <w:t>intenance industry manuals and specifications</w:t>
            </w:r>
          </w:p>
        </w:tc>
      </w:tr>
      <w:tr w:rsidTr="00204D3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CD13CD">
            <w:pPr>
              <w:pStyle w:val="BodyText"/>
              <w:rPr>
                <w:lang w:val="en-NZ"/>
              </w:rPr>
            </w:pPr>
            <w:r w:rsidRPr="00CD13CD">
              <w:t xml:space="preserve">MEA108B </w:t>
            </w:r>
          </w:p>
        </w:tc>
        <w:tc>
          <w:tcPr>
            <w:tcW w:w="6546" w:type="dxa"/>
            <w:tcBorders>
              <w:top w:val="nil"/>
              <w:left w:val="nil"/>
              <w:bottom w:val="nil"/>
              <w:right w:val="nil"/>
            </w:tcBorders>
            <w:tcMar>
              <w:top w:w="0" w:type="dxa"/>
              <w:left w:w="62" w:type="dxa"/>
              <w:bottom w:w="0" w:type="dxa"/>
              <w:right w:w="62" w:type="dxa"/>
            </w:tcMar>
          </w:tcPr>
          <w:p w:rsidR="00000000" w:rsidP="00CD13CD">
            <w:pPr>
              <w:pStyle w:val="BodyText"/>
              <w:rPr>
                <w:lang w:val="en-NZ"/>
              </w:rPr>
            </w:pPr>
            <w:r w:rsidRPr="00CD13CD">
              <w:t>Complete aviation maintenance industry documentation</w:t>
            </w:r>
          </w:p>
        </w:tc>
      </w:tr>
      <w:tr w:rsidTr="00204D3B">
        <w:tblPrEx>
          <w:tblW w:w="0" w:type="auto"/>
          <w:tblLayout w:type="fixed"/>
          <w:tblCellMar>
            <w:left w:w="62" w:type="dxa"/>
            <w:right w:w="62" w:type="dxa"/>
          </w:tblCellMar>
          <w:tblLook w:val="0000"/>
        </w:tblPrEx>
        <w:tc>
          <w:tcPr>
            <w:tcW w:w="1914" w:type="dxa"/>
            <w:tcBorders>
              <w:top w:val="nil"/>
              <w:left w:val="nil"/>
              <w:bottom w:val="nil"/>
              <w:right w:val="nil"/>
            </w:tcBorders>
            <w:tcMar>
              <w:top w:w="0" w:type="dxa"/>
              <w:left w:w="62" w:type="dxa"/>
              <w:bottom w:w="0" w:type="dxa"/>
              <w:right w:w="62" w:type="dxa"/>
            </w:tcMar>
          </w:tcPr>
          <w:p w:rsidR="00000000" w:rsidP="00CD13CD">
            <w:pPr>
              <w:pStyle w:val="BodyText"/>
              <w:rPr>
                <w:lang w:val="en-NZ"/>
              </w:rPr>
            </w:pPr>
            <w:r w:rsidRPr="00CD13CD">
              <w:t xml:space="preserve">MEA109B </w:t>
            </w:r>
          </w:p>
        </w:tc>
        <w:tc>
          <w:tcPr>
            <w:tcW w:w="6546" w:type="dxa"/>
            <w:tcBorders>
              <w:top w:val="nil"/>
              <w:left w:val="nil"/>
              <w:bottom w:val="nil"/>
              <w:right w:val="nil"/>
            </w:tcBorders>
            <w:tcMar>
              <w:top w:w="0" w:type="dxa"/>
              <w:left w:w="62" w:type="dxa"/>
              <w:bottom w:w="0" w:type="dxa"/>
              <w:right w:w="62" w:type="dxa"/>
            </w:tcMar>
          </w:tcPr>
          <w:p w:rsidR="00000000" w:rsidRPr="00CD13CD" w:rsidP="00CD13CD">
            <w:pPr>
              <w:pStyle w:val="BodyText"/>
            </w:pPr>
            <w:r w:rsidRPr="00CD13CD">
              <w:t>Perform basic hand skills, standard trade practices and fundamentals in aviation maintenance</w:t>
            </w:r>
          </w:p>
        </w:tc>
      </w:tr>
    </w:tbl>
    <w:p w:rsidR="00000000" w:rsidRPr="00CD13CD" w:rsidP="00CD13CD">
      <w:pPr>
        <w:pStyle w:val="BodyText"/>
      </w:pPr>
    </w:p>
    <w:p w:rsidR="00000000" w:rsidRPr="00CD13CD" w:rsidP="00CD13CD">
      <w:pPr>
        <w:pStyle w:val="AllowPageBreak"/>
      </w:pPr>
    </w:p>
    <w:p w:rsidR="00000000" w:rsidRPr="00CD13CD" w:rsidP="00CD13CD">
      <w:pPr>
        <w:pStyle w:val="Heading1"/>
      </w:pPr>
      <w:bookmarkStart w:id="6" w:name="O_398958"/>
      <w:bookmarkEnd w:id="6"/>
      <w:r w:rsidRPr="00CD13CD">
        <w:t>Employability Skills Information</w:t>
      </w:r>
    </w:p>
    <w:tbl>
      <w:tblPr>
        <w:tblW w:w="0" w:type="auto"/>
        <w:tblLayout w:type="fixed"/>
        <w:tblCellMar>
          <w:left w:w="62" w:type="dxa"/>
          <w:right w:w="62" w:type="dxa"/>
        </w:tblCellMar>
        <w:tblLook w:val="0000"/>
      </w:tblPr>
      <w:tblGrid>
        <w:gridCol w:w="5720"/>
      </w:tblGrid>
      <w:tr w:rsidTr="00204D3B">
        <w:tblPrEx>
          <w:tblW w:w="0" w:type="auto"/>
          <w:tblLayout w:type="fixed"/>
          <w:tblCellMar>
            <w:left w:w="62" w:type="dxa"/>
            <w:right w:w="62" w:type="dxa"/>
          </w:tblCellMar>
          <w:tblLook w:val="0000"/>
        </w:tblPrEx>
        <w:trPr>
          <w:tblHeader/>
        </w:trPr>
        <w:tc>
          <w:tcPr>
            <w:tcW w:w="5720" w:type="dxa"/>
            <w:tcBorders>
              <w:top w:val="nil"/>
              <w:left w:val="nil"/>
              <w:bottom w:val="nil"/>
              <w:right w:val="nil"/>
            </w:tcBorders>
            <w:tcMar>
              <w:top w:w="0" w:type="dxa"/>
              <w:left w:w="62" w:type="dxa"/>
              <w:bottom w:w="0" w:type="dxa"/>
              <w:right w:w="62" w:type="dxa"/>
            </w:tcMar>
          </w:tcPr>
          <w:p w:rsidR="00000000" w:rsidRPr="00CD13CD" w:rsidP="00CD13CD">
            <w:pPr>
              <w:pStyle w:val="BodyText"/>
            </w:pPr>
            <w:r w:rsidRPr="00CD13CD">
              <w:t>This unit contains employability skills.</w:t>
            </w:r>
          </w:p>
        </w:tc>
      </w:tr>
    </w:tbl>
    <w:p w:rsidR="00000000" w:rsidRPr="00CD13CD" w:rsidP="00CD13CD">
      <w:pPr>
        <w:pStyle w:val="BodyText"/>
      </w:pPr>
    </w:p>
    <w:p w:rsidR="00000000" w:rsidRPr="00CD13CD" w:rsidP="00CD13CD">
      <w:pPr>
        <w:pStyle w:val="AllowPageBreak"/>
      </w:pPr>
    </w:p>
    <w:p w:rsidR="00000000" w:rsidRPr="00CD13CD" w:rsidP="00CD13CD">
      <w:pPr>
        <w:pStyle w:val="Heading1"/>
      </w:pPr>
      <w:bookmarkStart w:id="7" w:name="O_398959"/>
      <w:bookmarkEnd w:id="7"/>
      <w:r w:rsidRPr="00CD13CD">
        <w:t>Elements and Performance Criteria Pre-Content</w:t>
      </w:r>
    </w:p>
    <w:tbl>
      <w:tblPr>
        <w:tblW w:w="9540" w:type="dxa"/>
        <w:tblLayout w:type="fixed"/>
        <w:tblCellMar>
          <w:left w:w="62" w:type="dxa"/>
          <w:right w:w="62" w:type="dxa"/>
        </w:tblCellMar>
        <w:tblLook w:val="0000"/>
      </w:tblPr>
      <w:tblGrid>
        <w:gridCol w:w="2560"/>
        <w:gridCol w:w="6980"/>
      </w:tblGrid>
      <w:tr w:rsidTr="00204D3B">
        <w:tblPrEx>
          <w:tblW w:w="9540" w:type="dxa"/>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r w:rsidRPr="00CD13CD">
              <w:t>Elements describe the essential outcomes of a unit of competency.</w:t>
            </w:r>
          </w:p>
        </w:tc>
        <w:tc>
          <w:tcPr>
            <w:tcW w:w="6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CD" w:rsidP="00CD13CD">
            <w:pPr>
              <w:pStyle w:val="BodyText"/>
            </w:pPr>
            <w:r w:rsidRPr="00CD13CD">
              <w:t>Performance criteria describe the performance neede</w:t>
            </w:r>
            <w:r w:rsidRPr="00CD13CD">
              <w:t>d 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D13CD" w:rsidP="00CD13CD">
      <w:pPr>
        <w:pStyle w:val="BodyText"/>
      </w:pPr>
    </w:p>
    <w:p w:rsidR="00000000" w:rsidRPr="00CD13CD" w:rsidP="00CD13CD">
      <w:pPr>
        <w:pStyle w:val="AllowPageBreak"/>
      </w:pPr>
    </w:p>
    <w:p w:rsidR="00000000" w:rsidRPr="00CD13CD" w:rsidP="00CD13CD">
      <w:pPr>
        <w:pStyle w:val="Heading1"/>
      </w:pPr>
      <w:bookmarkStart w:id="8" w:name="O_398960"/>
      <w:bookmarkEnd w:id="8"/>
      <w:r w:rsidRPr="00CD13CD">
        <w:t>Elements and Performance Criteria</w:t>
      </w:r>
    </w:p>
    <w:tbl>
      <w:tblPr>
        <w:tblW w:w="0" w:type="auto"/>
        <w:tblCellMar>
          <w:left w:w="62" w:type="dxa"/>
          <w:right w:w="62" w:type="dxa"/>
        </w:tblCellMar>
        <w:tblLook w:val="0000"/>
      </w:tblPr>
      <w:tblGrid>
        <w:gridCol w:w="1868"/>
        <w:gridCol w:w="7328"/>
      </w:tblGrid>
      <w:tr w:rsidTr="00204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3CD">
            <w:pPr>
              <w:pStyle w:val="List"/>
              <w:rPr>
                <w:lang w:val="en-NZ"/>
              </w:rPr>
            </w:pPr>
            <w:r w:rsidRPr="00CD13CD">
              <w:t>1.</w:t>
            </w:r>
            <w:r w:rsidRPr="00CD13CD">
              <w:tab/>
              <w:t>Remove aircraft electrical hardware</w:t>
            </w:r>
          </w:p>
        </w:tc>
        <w:tc>
          <w:tcPr>
            <w:tcW w:w="0" w:type="auto"/>
            <w:tcBorders>
              <w:top w:val="nil"/>
              <w:left w:val="nil"/>
              <w:bottom w:val="nil"/>
              <w:right w:val="nil"/>
            </w:tcBorders>
            <w:tcMar>
              <w:top w:w="0" w:type="dxa"/>
              <w:left w:w="62" w:type="dxa"/>
              <w:bottom w:w="0" w:type="dxa"/>
              <w:right w:w="62" w:type="dxa"/>
            </w:tcMar>
          </w:tcPr>
          <w:p w:rsidR="00000000" w:rsidRPr="00CD13CD" w:rsidP="00CD13CD">
            <w:pPr>
              <w:pStyle w:val="List2"/>
            </w:pPr>
            <w:r w:rsidRPr="00CD13CD">
              <w:t>1.1.</w:t>
            </w:r>
            <w:r w:rsidRPr="00CD13CD">
              <w:tab/>
              <w:t>System is rendered safe and prepared in accordance with the applicable maintenance manual and isolation tags are fitted where necessary to ensure personnel safet</w:t>
            </w:r>
            <w:r w:rsidRPr="00CD13CD">
              <w:t>y</w:t>
            </w:r>
          </w:p>
          <w:p w:rsidR="00000000" w:rsidRPr="00CD13CD" w:rsidP="00CD13CD">
            <w:pPr>
              <w:pStyle w:val="List2"/>
            </w:pPr>
            <w:r w:rsidRPr="00CD13CD">
              <w:t>1.2.</w:t>
            </w:r>
            <w:r w:rsidRPr="00CD13CD">
              <w:tab/>
            </w:r>
            <w:r w:rsidRPr="00CD13CD">
              <w:rPr>
                <w:rStyle w:val="BoldandItalics"/>
              </w:rPr>
              <w:t>Removal of electrical hardware</w:t>
            </w:r>
            <w:r w:rsidRPr="00CD13CD">
              <w:t xml:space="preserve"> is carried out in accordance with the applicable maintenance manual</w:t>
            </w:r>
          </w:p>
          <w:p w:rsidR="00000000" w:rsidRPr="00CD13CD" w:rsidP="00CD13CD">
            <w:pPr>
              <w:pStyle w:val="List2"/>
            </w:pPr>
            <w:r w:rsidRPr="00CD13CD">
              <w:t>1.3.</w:t>
            </w:r>
            <w:r w:rsidRPr="00CD13CD">
              <w:tab/>
              <w:t>Required maintenance documentation is completed and processed in accordance with standard enterprise procedures</w:t>
            </w:r>
          </w:p>
          <w:p w:rsidR="00000000" w:rsidP="00CD13CD">
            <w:pPr>
              <w:pStyle w:val="List2"/>
              <w:rPr>
                <w:lang w:val="en-NZ"/>
              </w:rPr>
            </w:pPr>
            <w:r w:rsidRPr="00CD13CD">
              <w:t>1.4.</w:t>
            </w:r>
            <w:r w:rsidRPr="00CD13CD">
              <w:tab/>
              <w:t>Removed components are tagge</w:t>
            </w:r>
            <w:r w:rsidRPr="00CD13CD">
              <w:t>d, packaged or discarded in accordance with specified procedures</w:t>
            </w:r>
          </w:p>
        </w:tc>
      </w:tr>
      <w:tr w:rsidTr="00204D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D13CD">
            <w:pPr>
              <w:pStyle w:val="List"/>
              <w:rPr>
                <w:lang w:val="en-NZ"/>
              </w:rPr>
            </w:pPr>
            <w:r w:rsidRPr="00CD13CD">
              <w:t>2.</w:t>
            </w:r>
            <w:r w:rsidRPr="00CD13CD">
              <w:tab/>
              <w:t>Install aircraft electrical hardware</w:t>
            </w:r>
          </w:p>
        </w:tc>
        <w:tc>
          <w:tcPr>
            <w:tcW w:w="0" w:type="auto"/>
            <w:tcBorders>
              <w:top w:val="nil"/>
              <w:left w:val="nil"/>
              <w:bottom w:val="nil"/>
              <w:right w:val="nil"/>
            </w:tcBorders>
            <w:tcMar>
              <w:top w:w="0" w:type="dxa"/>
              <w:left w:w="62" w:type="dxa"/>
              <w:bottom w:w="0" w:type="dxa"/>
              <w:right w:w="62" w:type="dxa"/>
            </w:tcMar>
          </w:tcPr>
          <w:p w:rsidR="00000000" w:rsidRPr="00CD13CD" w:rsidP="00CD13CD">
            <w:pPr>
              <w:pStyle w:val="List2"/>
            </w:pPr>
            <w:r w:rsidRPr="00CD13CD">
              <w:t>2.1.</w:t>
            </w:r>
            <w:r w:rsidRPr="00CD13CD">
              <w:tab/>
              <w:t>Electrical hardware components to be installed are checked to confirm correct part numbers, modification status, serviceability and shelf life</w:t>
            </w:r>
          </w:p>
          <w:p w:rsidR="00000000" w:rsidRPr="00CD13CD" w:rsidP="00CD13CD">
            <w:pPr>
              <w:pStyle w:val="List2"/>
            </w:pPr>
            <w:r w:rsidRPr="00CD13CD">
              <w:t>2.</w:t>
            </w:r>
            <w:r w:rsidRPr="00CD13CD">
              <w:t>2.</w:t>
            </w:r>
            <w:r w:rsidRPr="00CD13CD">
              <w:tab/>
              <w:t>Physical installation of electrical hardware is carried out in accordance with the applicable maintenance manual</w:t>
            </w:r>
          </w:p>
          <w:p w:rsidR="00000000" w:rsidRPr="00CD13CD" w:rsidP="00CD13CD">
            <w:pPr>
              <w:pStyle w:val="List2"/>
            </w:pPr>
            <w:r w:rsidRPr="00CD13CD">
              <w:t>2.3.</w:t>
            </w:r>
            <w:r w:rsidRPr="00CD13CD">
              <w:tab/>
              <w:t>System is reinstated to correct physical condition in preparation for testing, as necessary</w:t>
            </w:r>
          </w:p>
          <w:p w:rsidR="00000000" w:rsidRPr="00CD13CD" w:rsidP="00CD13CD">
            <w:pPr>
              <w:pStyle w:val="List2"/>
            </w:pPr>
            <w:r w:rsidRPr="00CD13CD">
              <w:t>2.4.</w:t>
            </w:r>
            <w:r w:rsidRPr="00CD13CD">
              <w:tab/>
            </w:r>
            <w:r w:rsidRPr="00CD13CD">
              <w:t>Required maintenance documentation is completed and processed in accordance with standard enterprise procedures</w:t>
            </w:r>
          </w:p>
        </w:tc>
      </w:tr>
    </w:tbl>
    <w:p w:rsidR="00000000" w:rsidRPr="00CD13CD" w:rsidP="00CD13CD">
      <w:pPr>
        <w:pStyle w:val="BodyText"/>
      </w:pPr>
    </w:p>
    <w:p w:rsidR="00000000" w:rsidRPr="00CD13CD" w:rsidP="00CD13CD">
      <w:pPr>
        <w:pStyle w:val="AllowPageBreak"/>
      </w:pPr>
    </w:p>
    <w:p w:rsidR="00000000" w:rsidRPr="00CD13CD" w:rsidP="00CD13CD">
      <w:pPr>
        <w:pStyle w:val="Heading1"/>
      </w:pPr>
      <w:bookmarkStart w:id="9" w:name="O_398951"/>
      <w:bookmarkEnd w:id="9"/>
      <w:r w:rsidRPr="00CD13CD">
        <w:t>Required Skills and Knowledge</w:t>
      </w:r>
    </w:p>
    <w:tbl>
      <w:tblPr>
        <w:tblW w:w="9450" w:type="dxa"/>
        <w:tblLayout w:type="fixed"/>
        <w:tblCellMar>
          <w:left w:w="62" w:type="dxa"/>
          <w:right w:w="62" w:type="dxa"/>
        </w:tblCellMar>
        <w:tblLook w:val="0000"/>
      </w:tblPr>
      <w:tblGrid>
        <w:gridCol w:w="9450"/>
      </w:tblGrid>
      <w:tr w:rsidTr="00204D3B">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CD13CD">
            <w:pPr>
              <w:pStyle w:val="BodyText"/>
              <w:rPr>
                <w:lang w:val="en-NZ"/>
              </w:rPr>
            </w:pPr>
            <w:r w:rsidRPr="00CD13CD">
              <w:rPr>
                <w:rStyle w:val="SpecialBold"/>
              </w:rPr>
              <w:t>Required skills</w:t>
            </w:r>
          </w:p>
        </w:tc>
      </w:tr>
      <w:tr w:rsidTr="00204D3B">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CD13CD" w:rsidP="00CD13CD">
            <w:pPr>
              <w:pStyle w:val="BodyText"/>
            </w:pPr>
            <w:r w:rsidRPr="00CD13CD">
              <w:t>Look for evidence that confirms skills in:</w:t>
            </w:r>
          </w:p>
          <w:p w:rsidR="00000000" w:rsidRPr="00CD13CD" w:rsidP="00CD13CD">
            <w:pPr>
              <w:pStyle w:val="ListBullet"/>
            </w:pPr>
            <w:r w:rsidRPr="00CD13CD">
              <w:t>the preparation and termination of</w:t>
            </w:r>
            <w:r w:rsidRPr="00CD13CD">
              <w:t xml:space="preserve"> electrical cables to aircraft industry standards, using crimping techniques, soldering techniques and solder sleeves joints</w:t>
            </w:r>
          </w:p>
          <w:p w:rsidR="00000000" w:rsidRPr="00CD13CD" w:rsidP="00CD13CD">
            <w:pPr>
              <w:pStyle w:val="ListBullet"/>
            </w:pPr>
            <w:r w:rsidRPr="00CD13CD">
              <w:t>the correct interpretation of aircraft wire markings, terminal block identification and plug/socket pin numbering systems</w:t>
            </w:r>
          </w:p>
          <w:p w:rsidR="00000000" w:rsidRPr="00CD13CD" w:rsidP="00CD13CD">
            <w:pPr>
              <w:pStyle w:val="ListBullet"/>
            </w:pPr>
            <w:r w:rsidRPr="00CD13CD">
              <w:t xml:space="preserve">inspection of electrical looms and harness pre and post removal and installation to ensure minimum bends are maintained, cable is not in tension, plugs are correctly aligned, security of route ensures no chaffing of insulation, adequate clipping and cable </w:t>
            </w:r>
            <w:r w:rsidRPr="00CD13CD">
              <w:t>ties have been utilised and construction complies with aircraft industry standards</w:t>
            </w:r>
          </w:p>
          <w:p w:rsidR="00000000" w:rsidP="00CD13CD">
            <w:pPr>
              <w:pStyle w:val="ListBullet"/>
              <w:rPr>
                <w:lang w:val="en-NZ"/>
              </w:rPr>
            </w:pPr>
            <w:r w:rsidRPr="00CD13CD">
              <w:t>positive identification of miscellaneous electrical hardware and/or components in all aircraft systems</w:t>
            </w:r>
          </w:p>
        </w:tc>
      </w:tr>
      <w:tr w:rsidTr="00204D3B">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P="00CD13CD">
            <w:pPr>
              <w:pStyle w:val="BodyText"/>
              <w:rPr>
                <w:lang w:val="en-NZ"/>
              </w:rPr>
            </w:pPr>
            <w:r w:rsidRPr="00CD13CD">
              <w:rPr>
                <w:rStyle w:val="SpecialBold"/>
              </w:rPr>
              <w:t>Required knowledge</w:t>
            </w:r>
          </w:p>
        </w:tc>
      </w:tr>
      <w:tr w:rsidTr="00204D3B">
        <w:tblPrEx>
          <w:tblW w:w="9450" w:type="dxa"/>
          <w:tblLayout w:type="fixed"/>
          <w:tblCellMar>
            <w:left w:w="62" w:type="dxa"/>
            <w:right w:w="62" w:type="dxa"/>
          </w:tblCellMar>
          <w:tblLook w:val="0000"/>
        </w:tblPrEx>
        <w:tc>
          <w:tcPr>
            <w:tcW w:w="9450" w:type="dxa"/>
            <w:tcBorders>
              <w:top w:val="nil"/>
              <w:left w:val="nil"/>
              <w:bottom w:val="nil"/>
              <w:right w:val="nil"/>
            </w:tcBorders>
            <w:tcMar>
              <w:top w:w="0" w:type="dxa"/>
              <w:left w:w="62" w:type="dxa"/>
              <w:bottom w:w="0" w:type="dxa"/>
              <w:right w:w="62" w:type="dxa"/>
            </w:tcMar>
          </w:tcPr>
          <w:p w:rsidR="00000000" w:rsidRPr="00CD13CD" w:rsidP="00CD13CD">
            <w:pPr>
              <w:pStyle w:val="BodyText"/>
            </w:pPr>
            <w:r w:rsidRPr="00CD13CD">
              <w:t>Look for evidence that confirms knowledge of:</w:t>
            </w:r>
          </w:p>
          <w:p w:rsidR="00000000" w:rsidRPr="00CD13CD" w:rsidP="00CD13CD">
            <w:pPr>
              <w:pStyle w:val="ListBullet"/>
            </w:pPr>
            <w:r w:rsidRPr="00CD13CD">
              <w:t>co</w:t>
            </w:r>
            <w:r w:rsidRPr="00CD13CD">
              <w:t>mponent attachment methods</w:t>
            </w:r>
          </w:p>
          <w:p w:rsidR="00000000" w:rsidRPr="00CD13CD" w:rsidP="00CD13CD">
            <w:pPr>
              <w:pStyle w:val="ListBullet"/>
            </w:pPr>
            <w:r w:rsidRPr="00CD13CD">
              <w:t>connection of hardware and plugs</w:t>
            </w:r>
          </w:p>
          <w:p w:rsidR="00000000" w:rsidRPr="00CD13CD" w:rsidP="00CD13CD">
            <w:pPr>
              <w:pStyle w:val="ListBullet"/>
            </w:pPr>
            <w:r w:rsidRPr="00CD13CD">
              <w:t>application of relevant OHS practices</w:t>
            </w:r>
          </w:p>
          <w:p w:rsidR="00000000" w:rsidRPr="00CD13CD" w:rsidP="00CD13CD">
            <w:pPr>
              <w:pStyle w:val="ListBullet"/>
            </w:pPr>
            <w:r w:rsidRPr="00CD13CD">
              <w:t>the use of approved maintenance documentation and aircraft publications relating to miscellaneous aircraft electrical hardware and components</w:t>
            </w:r>
          </w:p>
          <w:p w:rsidR="00000000" w:rsidRPr="00CD13CD" w:rsidP="00CD13CD">
            <w:pPr>
              <w:pStyle w:val="ListBullet"/>
            </w:pPr>
            <w:r w:rsidRPr="00CD13CD">
              <w:t>electrical wirin</w:t>
            </w:r>
            <w:r w:rsidRPr="00CD13CD">
              <w:t>g used in aircraft and wire marking</w:t>
            </w:r>
          </w:p>
          <w:p w:rsidR="00000000" w:rsidRPr="00CD13CD" w:rsidP="00CD13CD">
            <w:pPr>
              <w:pStyle w:val="ListBullet"/>
            </w:pPr>
            <w:r w:rsidRPr="00CD13CD">
              <w:t>plug/socket pin numbering and terminal block identification</w:t>
            </w:r>
          </w:p>
          <w:p w:rsidR="00000000" w:rsidRPr="00CD13CD" w:rsidP="00CD13CD">
            <w:pPr>
              <w:pStyle w:val="ListBullet"/>
            </w:pPr>
            <w:r w:rsidRPr="00CD13CD">
              <w:t>cable and loom installation requirements</w:t>
            </w:r>
          </w:p>
          <w:p w:rsidR="00000000" w:rsidRPr="00CD13CD" w:rsidP="00CD13CD">
            <w:pPr>
              <w:pStyle w:val="ListBullet"/>
            </w:pPr>
            <w:r w:rsidRPr="00CD13CD">
              <w:t>crimping tools and crimp terminals</w:t>
            </w:r>
          </w:p>
          <w:p w:rsidR="00000000" w:rsidRPr="00CD13CD" w:rsidP="00CD13CD">
            <w:pPr>
              <w:pStyle w:val="ListBullet"/>
            </w:pPr>
            <w:r w:rsidRPr="00CD13CD">
              <w:t>soldering techniques and the use of solder sleeve joints</w:t>
            </w:r>
          </w:p>
          <w:p w:rsidR="00000000" w:rsidRPr="00CD13CD" w:rsidP="00CD13CD">
            <w:pPr>
              <w:pStyle w:val="ListBullet"/>
            </w:pPr>
            <w:r w:rsidRPr="00CD13CD">
              <w:t>electrical fundamentals and related mathematical and physics principles</w:t>
            </w:r>
          </w:p>
        </w:tc>
      </w:tr>
    </w:tbl>
    <w:p w:rsidR="00000000" w:rsidRPr="00CD13CD" w:rsidP="00CD13CD">
      <w:pPr>
        <w:pStyle w:val="BodyText"/>
      </w:pPr>
    </w:p>
    <w:p w:rsidR="00000000" w:rsidRPr="00CD13CD" w:rsidP="00CD13CD">
      <w:pPr>
        <w:pStyle w:val="AllowPageBreak"/>
      </w:pPr>
    </w:p>
    <w:p w:rsidR="00000000" w:rsidRPr="00CD13CD" w:rsidP="00CD13CD">
      <w:pPr>
        <w:pStyle w:val="Heading1"/>
      </w:pPr>
      <w:bookmarkStart w:id="10" w:name="O_398957"/>
      <w:bookmarkEnd w:id="10"/>
      <w:r w:rsidRPr="00CD13CD">
        <w:t>Evidence Guide</w:t>
      </w:r>
    </w:p>
    <w:tbl>
      <w:tblPr>
        <w:tblW w:w="9570" w:type="dxa"/>
        <w:tblLayout w:type="fixed"/>
        <w:tblCellMar>
          <w:left w:w="62" w:type="dxa"/>
          <w:right w:w="62" w:type="dxa"/>
        </w:tblCellMar>
        <w:tblLook w:val="0000"/>
      </w:tblPr>
      <w:tblGrid>
        <w:gridCol w:w="3908"/>
        <w:gridCol w:w="5662"/>
      </w:tblGrid>
      <w:tr w:rsidTr="00204D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r w:rsidRPr="00CD13CD">
              <w:t>The Evidence Guide provides advice on assessment and must be read in conjunction with the performance criteria, required skills and knowledge, range s</w:t>
            </w:r>
            <w:r w:rsidRPr="00CD13CD">
              <w:t>tatement and the Assessment Guidelines for the Training Package.</w:t>
            </w:r>
          </w:p>
        </w:tc>
      </w:tr>
      <w:tr w:rsidTr="00204D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r w:rsidRPr="00CD13C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r w:rsidRPr="00CD13CD">
              <w:t xml:space="preserve">A person who demonstrates competency in this unit must be able to apply hand skills, use specialist tools and use maintenance publications </w:t>
            </w:r>
            <w:r w:rsidRPr="00CD13CD">
              <w:t>to remove and install miscellaneous items of aircraft electrical hardware/components while observing all relevant safety precautions.</w:t>
            </w:r>
          </w:p>
        </w:tc>
      </w:tr>
      <w:tr w:rsidTr="00204D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r w:rsidRPr="00CD13C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CD" w:rsidP="00CD13CD">
            <w:pPr>
              <w:pStyle w:val="BodyText"/>
            </w:pPr>
            <w:r w:rsidRPr="00CD13CD">
              <w:t>It is essential that applica</w:t>
            </w:r>
            <w:r w:rsidRPr="00CD13CD">
              <w:t>ble cleanliness requirements and OHS safety precautions are fully observed, including awareness of electrostatic discharge procedures.</w:t>
            </w:r>
          </w:p>
          <w:p w:rsidR="00000000" w:rsidRPr="00CD13CD" w:rsidP="00CD13CD">
            <w:pPr>
              <w:pStyle w:val="BodyText"/>
            </w:pPr>
            <w:r w:rsidRPr="00CD13CD">
              <w:t>Evidence of transferability of skills and knowledge related to removal and installation is essential. An understanding of</w:t>
            </w:r>
            <w:r w:rsidRPr="00CD13CD">
              <w:t xml:space="preserve"> the attachment methods, connection of hardware and system operation as they relate to the work must be demonstrated before undertaking any action. The work plan should take account of applicable safety and quality requirements in accordance with the indus</w:t>
            </w:r>
            <w:r w:rsidRPr="00CD13CD">
              <w:t>try and regulatory standards.</w:t>
            </w:r>
          </w:p>
          <w:p w:rsidR="00000000" w:rsidP="00CD13CD">
            <w:pPr>
              <w:pStyle w:val="BodyText"/>
              <w:rPr>
                <w:lang w:val="en-NZ"/>
              </w:rPr>
            </w:pPr>
            <w:r w:rsidRPr="00CD13CD">
              <w:t>A person cannot be assessed as competent until it can be demonstrated to the satisfaction of the workplace assessor that the relevant elements of the unit of competency are being achieved under routine supervision on each of t</w:t>
            </w:r>
            <w:r w:rsidRPr="00CD13CD">
              <w:t>he connection methods 1, 2 and 3 listed in the Range Statement. This shall be established via the records in the Log of Industrial Experience and Achievement or, where appropriate, an equivalent Industry.</w:t>
            </w:r>
          </w:p>
        </w:tc>
      </w:tr>
      <w:tr w:rsidTr="00204D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r w:rsidRPr="00CD13C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r w:rsidRPr="00CD13CD">
              <w:t>C</w:t>
            </w:r>
            <w:r w:rsidRPr="00CD13CD">
              <w:t>ompetency should be assessed in the workplace or simulated workplace using tools and equipment specified in maintenance manuals. It is also expected that general-purpose tools, test and ground support equipment found in most routine situations would be use</w:t>
            </w:r>
            <w:r w:rsidRPr="00CD13CD">
              <w:t>d where appropriate.</w:t>
            </w:r>
          </w:p>
        </w:tc>
      </w:tr>
      <w:tr w:rsidTr="00204D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r w:rsidRPr="00CD13C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p>
        </w:tc>
      </w:tr>
      <w:tr w:rsidTr="00204D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r w:rsidRPr="00CD13C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CD" w:rsidP="00CD13CD">
            <w:pPr>
              <w:pStyle w:val="BodyText"/>
            </w:pPr>
          </w:p>
        </w:tc>
      </w:tr>
    </w:tbl>
    <w:p w:rsidR="00000000" w:rsidRPr="00CD13CD" w:rsidP="00CD13CD">
      <w:pPr>
        <w:pStyle w:val="BodyText"/>
      </w:pPr>
    </w:p>
    <w:p w:rsidR="00000000" w:rsidRPr="00CD13CD" w:rsidP="00CD13CD">
      <w:pPr>
        <w:pStyle w:val="AllowPageBreak"/>
      </w:pPr>
    </w:p>
    <w:p w:rsidR="00000000" w:rsidRPr="00CD13CD" w:rsidP="00CD13CD">
      <w:pPr>
        <w:pStyle w:val="Heading1"/>
      </w:pPr>
      <w:bookmarkStart w:id="11" w:name="O_398952"/>
      <w:bookmarkEnd w:id="11"/>
      <w:r w:rsidRPr="00CD13CD">
        <w:t>Range Statement</w:t>
      </w:r>
    </w:p>
    <w:tbl>
      <w:tblPr>
        <w:tblW w:w="9360" w:type="dxa"/>
        <w:tblLayout w:type="fixed"/>
        <w:tblCellMar>
          <w:left w:w="62" w:type="dxa"/>
          <w:right w:w="62" w:type="dxa"/>
        </w:tblCellMar>
        <w:tblLook w:val="0000"/>
      </w:tblPr>
      <w:tblGrid>
        <w:gridCol w:w="3521"/>
        <w:gridCol w:w="5839"/>
      </w:tblGrid>
      <w:tr w:rsidTr="00204D3B">
        <w:tblPrEx>
          <w:tblW w:w="9360" w:type="dxa"/>
          <w:tblLayout w:type="fixed"/>
          <w:tblCellMar>
            <w:left w:w="62" w:type="dxa"/>
            <w:right w:w="62" w:type="dxa"/>
          </w:tblCellMar>
          <w:tblLook w:val="0000"/>
        </w:tblPrEx>
        <w:tc>
          <w:tcPr>
            <w:tcW w:w="93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r w:rsidRPr="00CD13CD">
              <w:t xml:space="preserve">The range statement relates to the unit of competency as a whole. It allows for different work environments and situations that may affect </w:t>
            </w:r>
            <w:r w:rsidRPr="00CD13CD">
              <w:t>performance. Bold italicised wording, if used in the performance criteria, is detailed below. Essential operating conditions that may be present with training and assessment (depending on the work situation, needs of the candidate, accessibility of the ite</w:t>
            </w:r>
            <w:r w:rsidRPr="00CD13CD">
              <w:t>m, and local industry and regional contexts) may also be included.</w:t>
            </w:r>
          </w:p>
        </w:tc>
      </w:tr>
      <w:tr w:rsidTr="00204D3B">
        <w:tblPrEx>
          <w:tblW w:w="9360" w:type="dxa"/>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r w:rsidRPr="00CD13CD">
              <w:rPr>
                <w:rStyle w:val="SpecialBold"/>
              </w:rPr>
              <w:t>Note</w:t>
            </w:r>
          </w:p>
        </w:tc>
        <w:tc>
          <w:tcPr>
            <w:tcW w:w="5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r w:rsidRPr="00CD13CD">
              <w:t>Range statements listed below are numbered to facilitate specification of the assessment requirements included in the Evidence Guide</w:t>
            </w:r>
          </w:p>
        </w:tc>
      </w:tr>
      <w:tr w:rsidTr="00204D3B">
        <w:tblPrEx>
          <w:tblW w:w="9360" w:type="dxa"/>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r w:rsidRPr="00CD13CD">
              <w:rPr>
                <w:rStyle w:val="SpecialBold"/>
              </w:rPr>
              <w:t>Hardware connection methods</w:t>
            </w:r>
          </w:p>
        </w:tc>
        <w:tc>
          <w:tcPr>
            <w:tcW w:w="5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CD" w:rsidP="00CD13CD">
            <w:pPr>
              <w:pStyle w:val="BodyText"/>
            </w:pPr>
            <w:r w:rsidRPr="00CD13CD">
              <w:t>Removal and installation of electrical hardware involves one or more of the following connection methods:</w:t>
            </w:r>
          </w:p>
          <w:p w:rsidR="00000000" w:rsidRPr="00CD13CD" w:rsidP="00CD13CD">
            <w:pPr>
              <w:pStyle w:val="BodyText"/>
            </w:pPr>
            <w:r w:rsidRPr="00CD13CD">
              <w:t>1.  Bolted</w:t>
            </w:r>
          </w:p>
          <w:p w:rsidR="00000000" w:rsidRPr="00CD13CD" w:rsidP="00CD13CD">
            <w:pPr>
              <w:pStyle w:val="BodyText"/>
            </w:pPr>
            <w:r w:rsidRPr="00CD13CD">
              <w:t>2.  Soldered</w:t>
            </w:r>
          </w:p>
          <w:p w:rsidR="00000000" w:rsidP="00CD13CD">
            <w:pPr>
              <w:pStyle w:val="BodyText"/>
              <w:rPr>
                <w:lang w:val="en-NZ"/>
              </w:rPr>
            </w:pPr>
            <w:r w:rsidRPr="00CD13CD">
              <w:t>3.  Plug connectors</w:t>
            </w:r>
          </w:p>
        </w:tc>
      </w:tr>
      <w:tr w:rsidTr="00204D3B">
        <w:tblPrEx>
          <w:tblW w:w="9360" w:type="dxa"/>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r w:rsidRPr="00CD13CD">
              <w:rPr>
                <w:rStyle w:val="SpecialBold"/>
              </w:rPr>
              <w:t>Types of electrical hardware</w:t>
            </w:r>
          </w:p>
        </w:tc>
        <w:tc>
          <w:tcPr>
            <w:tcW w:w="5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CD" w:rsidP="00CD13CD">
            <w:pPr>
              <w:pStyle w:val="BodyText"/>
            </w:pPr>
            <w:r w:rsidRPr="00CD13CD">
              <w:t>Electrical hardware includes:</w:t>
            </w:r>
          </w:p>
          <w:p w:rsidR="00000000" w:rsidP="00CD13CD">
            <w:pPr>
              <w:pStyle w:val="ListBullet"/>
              <w:rPr>
                <w:lang w:val="en-NZ"/>
              </w:rPr>
            </w:pPr>
            <w:r w:rsidRPr="00CD13CD">
              <w:t>switches, relays, lamps, terminal blocks, cur</w:t>
            </w:r>
            <w:r w:rsidRPr="00CD13CD">
              <w:t>rent limiters, circuit breakers, fuses, sockets, potentiometers, capacitors, inductors, magnetic amplifiers, transformers, rheostats, resistors and diodes, miscellaneous sensors and minor components hard mounted throughout the aircraft, busbars, lugs, ferr</w:t>
            </w:r>
            <w:r w:rsidRPr="00CD13CD">
              <w:t>ules, splices, connectors and electrical, electronic cables and looms</w:t>
            </w:r>
          </w:p>
        </w:tc>
      </w:tr>
      <w:tr w:rsidTr="00204D3B">
        <w:tblPrEx>
          <w:tblW w:w="9360" w:type="dxa"/>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r w:rsidRPr="00CD13CD">
              <w:rPr>
                <w:rStyle w:val="SpecialBold"/>
              </w:rPr>
              <w:t>Basic soldering and crimping</w:t>
            </w:r>
          </w:p>
        </w:tc>
        <w:tc>
          <w:tcPr>
            <w:tcW w:w="5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r w:rsidRPr="00CD13CD">
              <w:t>The work will include the application of basic soldering and crimping skills associated with removal and installation of electrical hardware</w:t>
            </w:r>
          </w:p>
        </w:tc>
      </w:tr>
      <w:tr w:rsidTr="00204D3B">
        <w:tblPrEx>
          <w:tblW w:w="9360" w:type="dxa"/>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r w:rsidRPr="00CD13CD">
              <w:rPr>
                <w:rStyle w:val="SpecialBold"/>
              </w:rPr>
              <w:t>Application</w:t>
            </w:r>
            <w:r w:rsidRPr="00CD13CD">
              <w:t xml:space="preserve"> </w:t>
            </w:r>
          </w:p>
        </w:tc>
        <w:tc>
          <w:tcPr>
            <w:tcW w:w="5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CD" w:rsidP="00CD13CD">
            <w:pPr>
              <w:pStyle w:val="BodyText"/>
            </w:pPr>
            <w:r w:rsidRPr="00CD13CD">
              <w:t>A</w:t>
            </w:r>
            <w:r w:rsidRPr="00CD13CD">
              <w:t>pplication of this unit may relate to:</w:t>
            </w:r>
          </w:p>
          <w:p w:rsidR="00000000" w:rsidRPr="00CD13CD" w:rsidP="00CD13CD">
            <w:pPr>
              <w:pStyle w:val="ListBullet"/>
            </w:pPr>
            <w:r w:rsidRPr="00CD13CD">
              <w:t>scheduled or unscheduled maintenance activities</w:t>
            </w:r>
          </w:p>
          <w:p w:rsidR="00000000" w:rsidP="00CD13CD">
            <w:pPr>
              <w:pStyle w:val="ListBullet"/>
              <w:rPr>
                <w:lang w:val="en-NZ"/>
              </w:rPr>
            </w:pPr>
            <w:r w:rsidRPr="00CD13CD">
              <w:t>individual or team-related activities</w:t>
            </w:r>
          </w:p>
        </w:tc>
      </w:tr>
      <w:tr w:rsidTr="00204D3B">
        <w:tblPrEx>
          <w:tblW w:w="9360" w:type="dxa"/>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13CD">
            <w:pPr>
              <w:pStyle w:val="BodyText"/>
              <w:rPr>
                <w:lang w:val="en-NZ"/>
              </w:rPr>
            </w:pPr>
            <w:r w:rsidRPr="00CD13CD">
              <w:rPr>
                <w:rStyle w:val="SpecialBold"/>
              </w:rPr>
              <w:t>Procedures and requirements</w:t>
            </w:r>
          </w:p>
        </w:tc>
        <w:tc>
          <w:tcPr>
            <w:tcW w:w="5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13CD" w:rsidP="00CD13CD">
            <w:pPr>
              <w:pStyle w:val="BodyText"/>
            </w:pPr>
            <w:r w:rsidRPr="00CD13CD">
              <w:t>Refer to industry standard procedures specified by manufacturers, regulatory authorities or the enterprise</w:t>
            </w:r>
          </w:p>
        </w:tc>
      </w:tr>
    </w:tbl>
    <w:p w:rsidR="00000000" w:rsidRPr="00CD13CD" w:rsidP="00CD13CD">
      <w:pPr>
        <w:pStyle w:val="BodyText"/>
      </w:pPr>
    </w:p>
    <w:p w:rsidR="00000000" w:rsidRPr="00CD13CD" w:rsidP="00CD13CD">
      <w:pPr>
        <w:pStyle w:val="AllowPageBreak"/>
      </w:pPr>
    </w:p>
    <w:p w:rsidR="00000000" w:rsidRPr="00CD13CD" w:rsidP="00CD13CD">
      <w:pPr>
        <w:pStyle w:val="Heading1"/>
      </w:pPr>
      <w:bookmarkStart w:id="12" w:name="O_398949"/>
      <w:bookmarkEnd w:id="12"/>
      <w:r w:rsidRPr="00CD13CD">
        <w:t>Unit Sector(s)</w:t>
      </w:r>
    </w:p>
    <w:p w:rsidR="00000000" w:rsidRPr="00CD13CD" w:rsidP="00CD13CD">
      <w:pPr>
        <w:pStyle w:val="BodyText"/>
      </w:pPr>
      <w:r w:rsidRPr="00CD13CD">
        <w:t>Aviation maintenance</w:t>
      </w:r>
    </w:p>
    <w:p w:rsidR="00000000" w:rsidRPr="00CD13CD" w:rsidP="00CD13CD">
      <w:pPr>
        <w:pStyle w:val="AllowPageBreak"/>
      </w:pPr>
    </w:p>
    <w:p w:rsidR="00000000" w:rsidRPr="00CD13CD" w:rsidP="00CD13CD">
      <w:pPr>
        <w:pStyle w:val="Heading1"/>
      </w:pPr>
      <w:bookmarkStart w:id="13" w:name="O_398962"/>
      <w:bookmarkEnd w:id="13"/>
      <w:r w:rsidRPr="00CD13CD">
        <w:t>Competency field</w:t>
      </w:r>
    </w:p>
    <w:p w:rsidR="00000000" w:rsidRPr="00CD13CD" w:rsidP="00CD13CD">
      <w:pPr>
        <w:pStyle w:val="Heading1"/>
      </w:pPr>
      <w:bookmarkStart w:id="14" w:name="O_398961"/>
      <w:bookmarkEnd w:id="14"/>
      <w:r w:rsidRPr="00CD13CD">
        <w:t>Co-requisite units</w:t>
      </w:r>
    </w:p>
    <w:p w:rsidR="00000000" w:rsidRPr="00CD13CD" w:rsidP="00CD13CD">
      <w:pPr>
        <w:pStyle w:val="BodyText"/>
      </w:pPr>
      <w:r w:rsidRPr="00CD13CD">
        <w:t>Not applicable</w:t>
      </w:r>
    </w:p>
    <w:p w:rsidR="00000000" w:rsidRPr="00CD13CD" w:rsidP="00CD13CD"/>
    <w:sectPr w:rsidSect="00CD13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CD" w:rsidRPr="00204D3B" w:rsidP="00204D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D3B" w:rsidP="00CD13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04D3B" w:rsidP="00CD13C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04D3B" w:rsidP="00CD13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CD" w:rsidRPr="00204D3B" w:rsidP="00204D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3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D3B" w:rsidRPr="002D2AF8" w:rsidP="00CD13CD">
    <w:pPr>
      <w:pStyle w:val="Header"/>
      <w:framePr w:wrap="around"/>
    </w:pPr>
    <w:r>
      <w:fldChar w:fldCharType="begin"/>
    </w:r>
    <w:r>
      <w:instrText xml:space="preserve"> TITLE   \* MERGEFORMAT </w:instrText>
    </w:r>
    <w:r>
      <w:fldChar w:fldCharType="separate"/>
    </w:r>
    <w:r>
      <w:t>MEA201B Remove and install miscellaneous aircraft electrical hardware/components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204D3B" w:rsidP="00CD13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74F2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DC081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3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3CD"/>
    <w:pPr>
      <w:spacing w:before="360" w:after="60"/>
      <w:outlineLvl w:val="0"/>
    </w:pPr>
    <w:rPr>
      <w:sz w:val="32"/>
    </w:rPr>
  </w:style>
  <w:style w:type="paragraph" w:styleId="Heading2">
    <w:name w:val="heading 2"/>
    <w:basedOn w:val="HeadingBase"/>
    <w:next w:val="BodyText"/>
    <w:link w:val="Heading2Char"/>
    <w:qFormat/>
    <w:rsid w:val="00CD13CD"/>
    <w:pPr>
      <w:keepLines/>
      <w:spacing w:before="240" w:after="120"/>
      <w:outlineLvl w:val="1"/>
    </w:pPr>
    <w:rPr>
      <w:sz w:val="28"/>
      <w:szCs w:val="40"/>
    </w:rPr>
  </w:style>
  <w:style w:type="paragraph" w:styleId="Heading3">
    <w:name w:val="heading 3"/>
    <w:basedOn w:val="HeadingBase"/>
    <w:next w:val="BodyText"/>
    <w:link w:val="Heading3Char"/>
    <w:qFormat/>
    <w:rsid w:val="00CD13CD"/>
    <w:pPr>
      <w:spacing w:before="180" w:after="120"/>
      <w:outlineLvl w:val="2"/>
    </w:pPr>
    <w:rPr>
      <w:spacing w:val="-10"/>
      <w:kern w:val="32"/>
    </w:rPr>
  </w:style>
  <w:style w:type="paragraph" w:styleId="Heading4">
    <w:name w:val="heading 4"/>
    <w:basedOn w:val="HeadingBase"/>
    <w:next w:val="BodyText"/>
    <w:link w:val="Heading4Char"/>
    <w:qFormat/>
    <w:rsid w:val="00CD13CD"/>
    <w:pPr>
      <w:spacing w:before="160" w:after="120"/>
      <w:outlineLvl w:val="3"/>
    </w:pPr>
    <w:rPr>
      <w:sz w:val="22"/>
    </w:rPr>
  </w:style>
  <w:style w:type="paragraph" w:styleId="Heading5">
    <w:name w:val="heading 5"/>
    <w:basedOn w:val="HeadingBase"/>
    <w:next w:val="Normal"/>
    <w:link w:val="Heading5Char"/>
    <w:qFormat/>
    <w:rsid w:val="00CD13CD"/>
    <w:pPr>
      <w:spacing w:before="80"/>
      <w:outlineLvl w:val="4"/>
    </w:pPr>
    <w:rPr>
      <w:color w:val="918585"/>
      <w:sz w:val="20"/>
    </w:rPr>
  </w:style>
  <w:style w:type="paragraph" w:styleId="Heading6">
    <w:name w:val="heading 6"/>
    <w:basedOn w:val="HeadingBase"/>
    <w:next w:val="Normal"/>
    <w:link w:val="Heading6Char"/>
    <w:qFormat/>
    <w:rsid w:val="00CD13CD"/>
    <w:pPr>
      <w:spacing w:before="60"/>
      <w:outlineLvl w:val="5"/>
    </w:pPr>
    <w:rPr>
      <w:color w:val="918585"/>
      <w:sz w:val="20"/>
    </w:rPr>
  </w:style>
  <w:style w:type="paragraph" w:styleId="Heading7">
    <w:name w:val="heading 7"/>
    <w:basedOn w:val="Normal"/>
    <w:next w:val="Normal"/>
    <w:link w:val="Heading7Char"/>
    <w:qFormat/>
    <w:rsid w:val="00CD13CD"/>
    <w:pPr>
      <w:ind w:left="720"/>
      <w:outlineLvl w:val="6"/>
    </w:pPr>
    <w:rPr>
      <w:i/>
    </w:rPr>
  </w:style>
  <w:style w:type="paragraph" w:styleId="Heading8">
    <w:name w:val="heading 8"/>
    <w:basedOn w:val="Normal"/>
    <w:next w:val="Normal"/>
    <w:link w:val="Heading8Char"/>
    <w:qFormat/>
    <w:rsid w:val="00CD13CD"/>
    <w:pPr>
      <w:ind w:left="720"/>
      <w:outlineLvl w:val="7"/>
    </w:pPr>
    <w:rPr>
      <w:i/>
    </w:rPr>
  </w:style>
  <w:style w:type="paragraph" w:styleId="Heading9">
    <w:name w:val="heading 9"/>
    <w:basedOn w:val="Normal"/>
    <w:next w:val="Normal"/>
    <w:link w:val="Heading9Char"/>
    <w:qFormat/>
    <w:rsid w:val="00CD13CD"/>
    <w:pPr>
      <w:ind w:left="720"/>
      <w:outlineLvl w:val="8"/>
    </w:pPr>
    <w:rPr>
      <w:i/>
    </w:rPr>
  </w:style>
  <w:style w:type="character" w:default="1" w:styleId="DefaultParagraphFont">
    <w:name w:val="Default Paragraph Font"/>
    <w:uiPriority w:val="1"/>
    <w:unhideWhenUsed/>
    <w:rsid w:val="00CD13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3CD"/>
  </w:style>
  <w:style w:type="character" w:customStyle="1" w:styleId="Heading1Char">
    <w:name w:val="Heading 1 Char"/>
    <w:basedOn w:val="DefaultParagraphFont"/>
    <w:link w:val="Heading1"/>
    <w:rsid w:val="00CD13CD"/>
    <w:rPr>
      <w:rFonts w:ascii="Times New Roman" w:eastAsia="Times New Roman" w:hAnsi="Times New Roman" w:cs="Times New Roman"/>
      <w:b/>
      <w:sz w:val="32"/>
      <w:szCs w:val="20"/>
      <w:lang w:eastAsia="en-US"/>
    </w:rPr>
  </w:style>
  <w:style w:type="paragraph" w:styleId="BodyText">
    <w:name w:val="Body Text"/>
    <w:basedOn w:val="Normal"/>
    <w:link w:val="BodyTextChar"/>
    <w:rsid w:val="00CD13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13CD"/>
    <w:rPr>
      <w:rFonts w:ascii="Times New Roman" w:eastAsia="Times New Roman" w:hAnsi="Times New Roman" w:cs="Times New Roman"/>
      <w:sz w:val="24"/>
      <w:lang w:eastAsia="en-US"/>
    </w:rPr>
  </w:style>
  <w:style w:type="paragraph" w:styleId="List">
    <w:name w:val="List"/>
    <w:basedOn w:val="BodyText"/>
    <w:next w:val="BodyText"/>
    <w:rsid w:val="00CD13CD"/>
    <w:pPr>
      <w:tabs>
        <w:tab w:val="left" w:pos="340"/>
      </w:tabs>
      <w:spacing w:before="60" w:after="60"/>
      <w:ind w:left="340" w:hanging="340"/>
    </w:pPr>
  </w:style>
  <w:style w:type="paragraph" w:styleId="ListBullet">
    <w:name w:val="List Bullet"/>
    <w:basedOn w:val="List"/>
    <w:rsid w:val="00CD13CD"/>
    <w:pPr>
      <w:numPr>
        <w:numId w:val="12"/>
      </w:numPr>
      <w:tabs>
        <w:tab w:val="clear" w:pos="340"/>
      </w:tabs>
      <w:spacing w:before="40" w:after="40"/>
    </w:pPr>
  </w:style>
  <w:style w:type="character" w:customStyle="1" w:styleId="SpecialBold">
    <w:name w:val="Special Bold"/>
    <w:basedOn w:val="DefaultParagraphFont"/>
    <w:rsid w:val="00CD13CD"/>
    <w:rPr>
      <w:b/>
      <w:spacing w:val="0"/>
    </w:rPr>
  </w:style>
  <w:style w:type="paragraph" w:customStyle="1" w:styleId="SuperHeading">
    <w:name w:val="SuperHeading"/>
    <w:basedOn w:val="Normal"/>
    <w:rsid w:val="00CD13CD"/>
    <w:pPr>
      <w:spacing w:before="240" w:after="120"/>
      <w:outlineLvl w:val="0"/>
    </w:pPr>
    <w:rPr>
      <w:rFonts w:ascii="Times New Roman" w:hAnsi="Times New Roman"/>
      <w:b/>
      <w:sz w:val="32"/>
    </w:rPr>
  </w:style>
  <w:style w:type="paragraph" w:customStyle="1" w:styleId="AllowPageBreak">
    <w:name w:val="AllowPageBreak"/>
    <w:rsid w:val="00CD13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13CD"/>
    <w:pPr>
      <w:tabs>
        <w:tab w:val="left" w:pos="680"/>
      </w:tabs>
      <w:spacing w:before="60" w:after="60"/>
      <w:ind w:left="680" w:hanging="340"/>
    </w:pPr>
  </w:style>
  <w:style w:type="character" w:customStyle="1" w:styleId="BoldandItalics">
    <w:name w:val="Bold and Italics"/>
    <w:qFormat/>
    <w:rsid w:val="00CD13CD"/>
    <w:rPr>
      <w:b/>
      <w:i/>
      <w:u w:val="none"/>
    </w:rPr>
  </w:style>
  <w:style w:type="character" w:customStyle="1" w:styleId="Heading2Char">
    <w:name w:val="Heading 2 Char"/>
    <w:basedOn w:val="DefaultParagraphFont"/>
    <w:link w:val="Heading2"/>
    <w:rsid w:val="00CD13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3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3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3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3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3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3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3CD"/>
    <w:rPr>
      <w:rFonts w:ascii="Courier New" w:eastAsia="Times New Roman" w:hAnsi="Courier New" w:cs="Times New Roman"/>
      <w:i/>
      <w:szCs w:val="20"/>
      <w:lang w:eastAsia="en-US"/>
    </w:rPr>
  </w:style>
  <w:style w:type="paragraph" w:customStyle="1" w:styleId="HeadingBase">
    <w:name w:val="Heading Base"/>
    <w:rsid w:val="00CD13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3CD"/>
    <w:pPr>
      <w:tabs>
        <w:tab w:val="right" w:leader="dot" w:pos="9072"/>
      </w:tabs>
      <w:ind w:left="567"/>
    </w:pPr>
    <w:rPr>
      <w:szCs w:val="22"/>
    </w:rPr>
  </w:style>
  <w:style w:type="paragraph" w:customStyle="1" w:styleId="TOCBase">
    <w:name w:val="TOC Base"/>
    <w:rsid w:val="00CD13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3CD"/>
    <w:pPr>
      <w:tabs>
        <w:tab w:val="right" w:leader="dot" w:pos="9072"/>
      </w:tabs>
      <w:spacing w:before="40" w:after="40"/>
      <w:ind w:left="284"/>
    </w:pPr>
    <w:rPr>
      <w:rFonts w:ascii="Times New Roman" w:hAnsi="Times New Roman"/>
    </w:rPr>
  </w:style>
  <w:style w:type="paragraph" w:styleId="TOC1">
    <w:name w:val="toc 1"/>
    <w:basedOn w:val="TOCBase"/>
    <w:next w:val="Normal"/>
    <w:rsid w:val="00CD13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3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3CD"/>
    <w:rPr>
      <w:rFonts w:ascii="Times New Roman" w:eastAsia="Times New Roman" w:hAnsi="Times New Roman" w:cs="Times New Roman"/>
      <w:sz w:val="16"/>
      <w:lang w:eastAsia="en-US"/>
    </w:rPr>
  </w:style>
  <w:style w:type="paragraph" w:styleId="Title">
    <w:name w:val="Title"/>
    <w:basedOn w:val="HeadingBase"/>
    <w:link w:val="TitleChar"/>
    <w:qFormat/>
    <w:rsid w:val="00CD13CD"/>
    <w:pPr>
      <w:spacing w:before="5040"/>
      <w:jc w:val="center"/>
    </w:pPr>
    <w:rPr>
      <w:sz w:val="48"/>
      <w:szCs w:val="72"/>
      <w:lang w:val="en-US"/>
    </w:rPr>
  </w:style>
  <w:style w:type="character" w:customStyle="1" w:styleId="TitleChar">
    <w:name w:val="Title Char"/>
    <w:basedOn w:val="DefaultParagraphFont"/>
    <w:link w:val="Title"/>
    <w:rsid w:val="00CD13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3CD"/>
    <w:pPr>
      <w:tabs>
        <w:tab w:val="left" w:pos="3600"/>
        <w:tab w:val="left" w:pos="3958"/>
      </w:tabs>
    </w:pPr>
  </w:style>
  <w:style w:type="paragraph" w:customStyle="1" w:styleId="Note">
    <w:name w:val="Note"/>
    <w:basedOn w:val="BodyText"/>
    <w:rsid w:val="00CD13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3CD"/>
    <w:pPr>
      <w:framePr w:wrap="auto" w:hAnchor="text" w:y="6049"/>
    </w:pPr>
    <w:rPr>
      <w:color w:val="000000"/>
      <w:sz w:val="40"/>
    </w:rPr>
  </w:style>
  <w:style w:type="paragraph" w:customStyle="1" w:styleId="TOCTitle">
    <w:name w:val="TOCTitle"/>
    <w:basedOn w:val="Heading1"/>
    <w:rsid w:val="00CD13CD"/>
    <w:pPr>
      <w:spacing w:after="240"/>
      <w:jc w:val="center"/>
      <w:outlineLvl w:val="9"/>
    </w:pPr>
    <w:rPr>
      <w:caps/>
    </w:rPr>
  </w:style>
  <w:style w:type="paragraph" w:customStyle="1" w:styleId="Version">
    <w:name w:val="Version"/>
    <w:rsid w:val="00CD13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13CD"/>
    <w:pPr>
      <w:numPr>
        <w:numId w:val="13"/>
      </w:numPr>
      <w:tabs>
        <w:tab w:val="clear" w:pos="680"/>
      </w:tabs>
    </w:pPr>
  </w:style>
  <w:style w:type="paragraph" w:styleId="Index1">
    <w:name w:val="index 1"/>
    <w:basedOn w:val="Normal"/>
    <w:next w:val="Normal"/>
    <w:semiHidden/>
    <w:rsid w:val="00CD13CD"/>
    <w:pPr>
      <w:keepNext w:val="0"/>
      <w:tabs>
        <w:tab w:val="right" w:pos="4176"/>
      </w:tabs>
      <w:ind w:left="198" w:hanging="198"/>
    </w:pPr>
    <w:rPr>
      <w:rFonts w:ascii="Garamond" w:hAnsi="Garamond"/>
    </w:rPr>
  </w:style>
  <w:style w:type="paragraph" w:styleId="IndexHeading">
    <w:name w:val="index heading"/>
    <w:basedOn w:val="Normal"/>
    <w:next w:val="Index1"/>
    <w:semiHidden/>
    <w:rsid w:val="00CD13CD"/>
    <w:pPr>
      <w:spacing w:before="120" w:after="120"/>
    </w:pPr>
    <w:rPr>
      <w:rFonts w:ascii="Arial" w:hAnsi="Arial"/>
      <w:b/>
      <w:color w:val="918585"/>
      <w:sz w:val="24"/>
    </w:rPr>
  </w:style>
  <w:style w:type="paragraph" w:styleId="Header">
    <w:name w:val="header"/>
    <w:basedOn w:val="Normal"/>
    <w:link w:val="HeaderChar"/>
    <w:rsid w:val="00CD13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3CD"/>
    <w:rPr>
      <w:rFonts w:ascii="Times New Roman" w:eastAsia="Times New Roman" w:hAnsi="Times New Roman" w:cs="Times New Roman"/>
      <w:sz w:val="16"/>
      <w:szCs w:val="20"/>
      <w:lang w:val="en-GB" w:eastAsia="en-US"/>
    </w:rPr>
  </w:style>
  <w:style w:type="paragraph" w:customStyle="1" w:styleId="Chapter">
    <w:name w:val="Chapter"/>
    <w:basedOn w:val="Normal"/>
    <w:rsid w:val="00CD13CD"/>
    <w:pPr>
      <w:spacing w:before="240"/>
    </w:pPr>
    <w:rPr>
      <w:rFonts w:ascii="Times New Roman" w:hAnsi="Times New Roman"/>
      <w:smallCaps/>
      <w:spacing w:val="80"/>
      <w:sz w:val="28"/>
    </w:rPr>
  </w:style>
  <w:style w:type="paragraph" w:customStyle="1" w:styleId="InChapter">
    <w:name w:val="InChapter"/>
    <w:basedOn w:val="Heading3"/>
    <w:rsid w:val="00CD13CD"/>
    <w:pPr>
      <w:spacing w:after="240"/>
      <w:outlineLvl w:val="9"/>
    </w:pPr>
    <w:rPr>
      <w:noProof/>
    </w:rPr>
  </w:style>
  <w:style w:type="paragraph" w:styleId="Index2">
    <w:name w:val="index 2"/>
    <w:basedOn w:val="Normal"/>
    <w:next w:val="Normal"/>
    <w:semiHidden/>
    <w:rsid w:val="00CD13CD"/>
    <w:pPr>
      <w:tabs>
        <w:tab w:val="right" w:pos="4176"/>
      </w:tabs>
      <w:ind w:left="568" w:hanging="284"/>
    </w:pPr>
    <w:rPr>
      <w:rFonts w:ascii="Garamond" w:hAnsi="Garamond"/>
    </w:rPr>
  </w:style>
  <w:style w:type="paragraph" w:customStyle="1" w:styleId="Byline">
    <w:name w:val="Byline"/>
    <w:rsid w:val="00CD13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3CD"/>
    <w:pPr>
      <w:tabs>
        <w:tab w:val="clear" w:pos="3600"/>
        <w:tab w:val="clear" w:pos="3958"/>
      </w:tabs>
      <w:jc w:val="right"/>
    </w:pPr>
  </w:style>
  <w:style w:type="character" w:styleId="Emphasis">
    <w:name w:val="Emphasis"/>
    <w:basedOn w:val="DefaultParagraphFont"/>
    <w:qFormat/>
    <w:rsid w:val="00CD13CD"/>
    <w:rPr>
      <w:i/>
    </w:rPr>
  </w:style>
  <w:style w:type="paragraph" w:styleId="Caption">
    <w:name w:val="caption"/>
    <w:basedOn w:val="BodyText"/>
    <w:next w:val="Normal"/>
    <w:qFormat/>
    <w:rsid w:val="00CD13CD"/>
    <w:pPr>
      <w:framePr w:w="2268" w:hSpace="181" w:vSpace="181" w:wrap="around" w:vAnchor="text" w:hAnchor="page" w:x="1135" w:y="285" w:anchorLock="1"/>
    </w:pPr>
    <w:rPr>
      <w:i/>
    </w:rPr>
  </w:style>
  <w:style w:type="paragraph" w:customStyle="1" w:styleId="MiniTOCTitle">
    <w:name w:val="MiniTOCTitle"/>
    <w:basedOn w:val="Heading4"/>
    <w:rsid w:val="00CD13CD"/>
    <w:pPr>
      <w:spacing w:before="240"/>
      <w:outlineLvl w:val="9"/>
    </w:pPr>
    <w:rPr>
      <w:noProof/>
      <w:sz w:val="24"/>
    </w:rPr>
  </w:style>
  <w:style w:type="paragraph" w:customStyle="1" w:styleId="MiniTOCItem">
    <w:name w:val="MiniTOCItem"/>
    <w:basedOn w:val="ListBullet"/>
    <w:rsid w:val="00CD13CD"/>
    <w:pPr>
      <w:numPr>
        <w:numId w:val="0"/>
      </w:numPr>
      <w:tabs>
        <w:tab w:val="right" w:leader="dot" w:pos="6521"/>
      </w:tabs>
      <w:spacing w:before="0" w:after="0"/>
    </w:pPr>
  </w:style>
  <w:style w:type="paragraph" w:customStyle="1" w:styleId="TOFTitle">
    <w:name w:val="TOFTitle"/>
    <w:basedOn w:val="TOCTitle"/>
    <w:rsid w:val="00CD13CD"/>
  </w:style>
  <w:style w:type="paragraph" w:styleId="TableofFigures">
    <w:name w:val="table of figures"/>
    <w:basedOn w:val="Normal"/>
    <w:next w:val="Normal"/>
    <w:semiHidden/>
    <w:rsid w:val="00CD13CD"/>
    <w:pPr>
      <w:tabs>
        <w:tab w:val="right" w:leader="dot" w:pos="9072"/>
      </w:tabs>
      <w:ind w:left="970" w:hanging="403"/>
    </w:pPr>
    <w:rPr>
      <w:rFonts w:ascii="Times New Roman" w:hAnsi="Times New Roman"/>
      <w:b/>
    </w:rPr>
  </w:style>
  <w:style w:type="paragraph" w:styleId="ListNumber">
    <w:name w:val="List Number"/>
    <w:basedOn w:val="List"/>
    <w:rsid w:val="00CD13CD"/>
    <w:pPr>
      <w:numPr>
        <w:numId w:val="10"/>
      </w:numPr>
    </w:pPr>
  </w:style>
  <w:style w:type="character" w:customStyle="1" w:styleId="WingdingSymbols">
    <w:name w:val="Wingding Symbols"/>
    <w:rsid w:val="00CD13CD"/>
    <w:rPr>
      <w:rFonts w:ascii="Wingdings" w:hAnsi="Wingdings"/>
    </w:rPr>
  </w:style>
  <w:style w:type="paragraph" w:customStyle="1" w:styleId="TableHeading">
    <w:name w:val="Table Heading"/>
    <w:basedOn w:val="HeadingBase"/>
    <w:rsid w:val="00CD13CD"/>
    <w:pPr>
      <w:keepLines/>
      <w:pBdr>
        <w:bottom w:val="single" w:sz="6" w:space="1" w:color="918585"/>
      </w:pBdr>
      <w:spacing w:before="240"/>
    </w:pPr>
  </w:style>
  <w:style w:type="character" w:customStyle="1" w:styleId="HotSpot">
    <w:name w:val="HotSpot"/>
    <w:rsid w:val="00CD13CD"/>
    <w:rPr>
      <w:color w:val="0033CC"/>
      <w:u w:val="none"/>
    </w:rPr>
  </w:style>
  <w:style w:type="paragraph" w:customStyle="1" w:styleId="BodyTextRight">
    <w:name w:val="Body Text Right"/>
    <w:basedOn w:val="BodyText"/>
    <w:rsid w:val="00CD13CD"/>
    <w:pPr>
      <w:spacing w:before="0" w:after="0"/>
      <w:jc w:val="right"/>
    </w:pPr>
  </w:style>
  <w:style w:type="paragraph" w:styleId="Index3">
    <w:name w:val="index 3"/>
    <w:basedOn w:val="ListNumber2"/>
    <w:next w:val="Normal"/>
    <w:semiHidden/>
    <w:rsid w:val="00CD13CD"/>
    <w:pPr>
      <w:numPr>
        <w:numId w:val="0"/>
      </w:numPr>
      <w:tabs>
        <w:tab w:val="right" w:leader="dot" w:pos="4176"/>
      </w:tabs>
    </w:pPr>
  </w:style>
  <w:style w:type="paragraph" w:styleId="ListNumber2">
    <w:name w:val="List Number 2"/>
    <w:basedOn w:val="List2"/>
    <w:rsid w:val="00CD13CD"/>
    <w:pPr>
      <w:numPr>
        <w:numId w:val="9"/>
      </w:numPr>
      <w:tabs>
        <w:tab w:val="clear" w:pos="1060"/>
      </w:tabs>
    </w:pPr>
  </w:style>
  <w:style w:type="paragraph" w:customStyle="1" w:styleId="MarginNote">
    <w:name w:val="Margin Note"/>
    <w:basedOn w:val="BodyText"/>
    <w:rsid w:val="00CD13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3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3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3CD"/>
    <w:rPr>
      <w:sz w:val="32"/>
    </w:rPr>
  </w:style>
  <w:style w:type="paragraph" w:customStyle="1" w:styleId="HeadingProcedure">
    <w:name w:val="Heading Procedure"/>
    <w:basedOn w:val="HeadingBase"/>
    <w:next w:val="Normal"/>
    <w:rsid w:val="00CD13CD"/>
    <w:pPr>
      <w:tabs>
        <w:tab w:val="left" w:pos="0"/>
      </w:tabs>
      <w:spacing w:before="120" w:after="60"/>
    </w:pPr>
    <w:rPr>
      <w:i/>
      <w:color w:val="918585"/>
      <w:sz w:val="22"/>
    </w:rPr>
  </w:style>
  <w:style w:type="paragraph" w:customStyle="1" w:styleId="TableBodyText">
    <w:name w:val="Table Body Text"/>
    <w:basedOn w:val="BodyText"/>
    <w:rsid w:val="00CD13CD"/>
    <w:pPr>
      <w:spacing w:before="60" w:after="60"/>
    </w:pPr>
  </w:style>
  <w:style w:type="paragraph" w:styleId="ListContinue">
    <w:name w:val="List Continue"/>
    <w:basedOn w:val="List"/>
    <w:rsid w:val="00CD13CD"/>
    <w:pPr>
      <w:ind w:firstLine="0"/>
    </w:pPr>
  </w:style>
  <w:style w:type="paragraph" w:customStyle="1" w:styleId="ListNote">
    <w:name w:val="List Note"/>
    <w:basedOn w:val="List"/>
    <w:rsid w:val="00CD13CD"/>
    <w:pPr>
      <w:pBdr>
        <w:top w:val="single" w:sz="6" w:space="2" w:color="918585"/>
        <w:bottom w:val="single" w:sz="6" w:space="2" w:color="918585"/>
      </w:pBdr>
      <w:tabs>
        <w:tab w:val="left" w:pos="1021"/>
      </w:tabs>
      <w:ind w:firstLine="0"/>
    </w:pPr>
  </w:style>
  <w:style w:type="paragraph" w:customStyle="1" w:styleId="Warning">
    <w:name w:val="Warning"/>
    <w:basedOn w:val="BodyText"/>
    <w:rsid w:val="00CD13CD"/>
    <w:pPr>
      <w:shd w:val="clear" w:color="auto" w:fill="D9D9D9"/>
      <w:tabs>
        <w:tab w:val="left" w:pos="992"/>
      </w:tabs>
      <w:ind w:left="119" w:right="119"/>
    </w:pPr>
    <w:rPr>
      <w:sz w:val="20"/>
    </w:rPr>
  </w:style>
  <w:style w:type="paragraph" w:customStyle="1" w:styleId="MarginIcons">
    <w:name w:val="Margin Icons"/>
    <w:basedOn w:val="BodyText"/>
    <w:rsid w:val="00CD13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3CD"/>
    <w:rPr>
      <w:rFonts w:ascii="Courier New" w:hAnsi="Courier New"/>
    </w:rPr>
  </w:style>
  <w:style w:type="paragraph" w:customStyle="1" w:styleId="NoteBullet">
    <w:name w:val="Note Bullet"/>
    <w:basedOn w:val="Note"/>
    <w:rsid w:val="00CD13CD"/>
    <w:pPr>
      <w:tabs>
        <w:tab w:val="clear" w:pos="680"/>
      </w:tabs>
      <w:spacing w:before="60" w:after="60"/>
    </w:pPr>
  </w:style>
  <w:style w:type="paragraph" w:customStyle="1" w:styleId="SubHeading2">
    <w:name w:val="SubHeading2"/>
    <w:basedOn w:val="HeadingBase"/>
    <w:rsid w:val="00CD13CD"/>
    <w:pPr>
      <w:spacing w:before="240" w:after="60"/>
    </w:pPr>
    <w:rPr>
      <w:sz w:val="20"/>
    </w:rPr>
  </w:style>
  <w:style w:type="paragraph" w:customStyle="1" w:styleId="SubHeading1">
    <w:name w:val="SubHeading1"/>
    <w:basedOn w:val="HeadingBase"/>
    <w:rsid w:val="00CD13CD"/>
    <w:pPr>
      <w:spacing w:before="240" w:after="60"/>
    </w:pPr>
    <w:rPr>
      <w:color w:val="918585"/>
      <w:sz w:val="22"/>
    </w:rPr>
  </w:style>
  <w:style w:type="paragraph" w:customStyle="1" w:styleId="SideHeading">
    <w:name w:val="Side Heading"/>
    <w:basedOn w:val="HeadingBase"/>
    <w:rsid w:val="00CD13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3CD"/>
    <w:pPr>
      <w:tabs>
        <w:tab w:val="num" w:pos="360"/>
      </w:tabs>
    </w:pPr>
  </w:style>
  <w:style w:type="paragraph" w:styleId="PlainText">
    <w:name w:val="Plain Text"/>
    <w:basedOn w:val="Normal"/>
    <w:link w:val="PlainTextChar"/>
    <w:rsid w:val="00CD13CD"/>
    <w:rPr>
      <w:sz w:val="20"/>
    </w:rPr>
  </w:style>
  <w:style w:type="character" w:customStyle="1" w:styleId="PlainTextChar">
    <w:name w:val="Plain Text Char"/>
    <w:basedOn w:val="DefaultParagraphFont"/>
    <w:link w:val="PlainText"/>
    <w:rsid w:val="00CD13CD"/>
    <w:rPr>
      <w:rFonts w:ascii="Courier New" w:eastAsia="Times New Roman" w:hAnsi="Courier New" w:cs="Times New Roman"/>
      <w:sz w:val="20"/>
      <w:szCs w:val="20"/>
      <w:lang w:eastAsia="en-US"/>
    </w:rPr>
  </w:style>
  <w:style w:type="character" w:customStyle="1" w:styleId="MenuOption">
    <w:name w:val="Menu Option"/>
    <w:basedOn w:val="DefaultParagraphFont"/>
    <w:rsid w:val="00CD13CD"/>
    <w:rPr>
      <w:b/>
      <w:smallCaps/>
    </w:rPr>
  </w:style>
  <w:style w:type="paragraph" w:customStyle="1" w:styleId="TableListNumber">
    <w:name w:val="Table List Number"/>
    <w:basedOn w:val="ListNumber"/>
    <w:rsid w:val="00CD13CD"/>
    <w:pPr>
      <w:numPr>
        <w:numId w:val="0"/>
      </w:numPr>
    </w:pPr>
  </w:style>
  <w:style w:type="paragraph" w:styleId="TOC4">
    <w:name w:val="toc 4"/>
    <w:basedOn w:val="TOCBase"/>
    <w:next w:val="Normal"/>
    <w:semiHidden/>
    <w:rsid w:val="00CD13CD"/>
    <w:pPr>
      <w:tabs>
        <w:tab w:val="right" w:leader="dot" w:pos="9071"/>
      </w:tabs>
      <w:ind w:left="1701"/>
    </w:pPr>
  </w:style>
  <w:style w:type="paragraph" w:customStyle="1" w:styleId="ListAlpha">
    <w:name w:val="List Alpha"/>
    <w:basedOn w:val="List"/>
    <w:rsid w:val="00CD13CD"/>
    <w:pPr>
      <w:numPr>
        <w:numId w:val="8"/>
      </w:numPr>
    </w:pPr>
  </w:style>
  <w:style w:type="paragraph" w:customStyle="1" w:styleId="ListAlpha2">
    <w:name w:val="List Alpha 2"/>
    <w:basedOn w:val="List2"/>
    <w:rsid w:val="00CD13CD"/>
    <w:pPr>
      <w:numPr>
        <w:numId w:val="7"/>
      </w:numPr>
    </w:pPr>
  </w:style>
  <w:style w:type="paragraph" w:styleId="List3">
    <w:name w:val="List 3"/>
    <w:basedOn w:val="BodyText"/>
    <w:rsid w:val="00CD13CD"/>
    <w:pPr>
      <w:tabs>
        <w:tab w:val="left" w:pos="1021"/>
      </w:tabs>
      <w:spacing w:before="60" w:after="60"/>
      <w:ind w:left="1020" w:hanging="340"/>
    </w:pPr>
  </w:style>
  <w:style w:type="paragraph" w:styleId="List4">
    <w:name w:val="List 4"/>
    <w:basedOn w:val="BodyText"/>
    <w:rsid w:val="00CD13CD"/>
    <w:pPr>
      <w:tabs>
        <w:tab w:val="left" w:pos="1361"/>
      </w:tabs>
      <w:spacing w:before="60" w:after="60"/>
      <w:ind w:left="1361" w:hanging="340"/>
    </w:pPr>
  </w:style>
  <w:style w:type="paragraph" w:styleId="List5">
    <w:name w:val="List 5"/>
    <w:basedOn w:val="BodyText"/>
    <w:rsid w:val="00CD13CD"/>
    <w:pPr>
      <w:tabs>
        <w:tab w:val="left" w:pos="1701"/>
      </w:tabs>
      <w:spacing w:before="60" w:after="60"/>
      <w:ind w:left="1701" w:hanging="340"/>
    </w:pPr>
  </w:style>
  <w:style w:type="paragraph" w:styleId="ListBullet3">
    <w:name w:val="List Bullet 3"/>
    <w:basedOn w:val="List3"/>
    <w:rsid w:val="00CD13CD"/>
    <w:pPr>
      <w:numPr>
        <w:numId w:val="14"/>
      </w:numPr>
      <w:tabs>
        <w:tab w:val="clear" w:pos="1021"/>
      </w:tabs>
      <w:ind w:left="1037" w:hanging="357"/>
    </w:pPr>
  </w:style>
  <w:style w:type="paragraph" w:styleId="ListBullet4">
    <w:name w:val="List Bullet 4"/>
    <w:basedOn w:val="List4"/>
    <w:rsid w:val="00CD13CD"/>
    <w:pPr>
      <w:numPr>
        <w:numId w:val="2"/>
      </w:numPr>
    </w:pPr>
  </w:style>
  <w:style w:type="paragraph" w:styleId="ListBullet5">
    <w:name w:val="List Bullet 5"/>
    <w:basedOn w:val="List5"/>
    <w:rsid w:val="00CD13CD"/>
    <w:pPr>
      <w:numPr>
        <w:numId w:val="3"/>
      </w:numPr>
    </w:pPr>
  </w:style>
  <w:style w:type="paragraph" w:styleId="ListContinue2">
    <w:name w:val="List Continue 2"/>
    <w:basedOn w:val="List2"/>
    <w:rsid w:val="00CD13CD"/>
    <w:pPr>
      <w:ind w:firstLine="0"/>
    </w:pPr>
  </w:style>
  <w:style w:type="paragraph" w:styleId="ListContinue3">
    <w:name w:val="List Continue 3"/>
    <w:basedOn w:val="List3"/>
    <w:rsid w:val="00CD13CD"/>
    <w:pPr>
      <w:ind w:left="1021" w:firstLine="0"/>
    </w:pPr>
  </w:style>
  <w:style w:type="paragraph" w:styleId="ListContinue4">
    <w:name w:val="List Continue 4"/>
    <w:basedOn w:val="List4"/>
    <w:rsid w:val="00CD13CD"/>
    <w:pPr>
      <w:ind w:firstLine="0"/>
    </w:pPr>
  </w:style>
  <w:style w:type="paragraph" w:styleId="ListContinue5">
    <w:name w:val="List Continue 5"/>
    <w:basedOn w:val="List5"/>
    <w:rsid w:val="00CD13CD"/>
    <w:pPr>
      <w:ind w:firstLine="0"/>
    </w:pPr>
  </w:style>
  <w:style w:type="paragraph" w:styleId="ListNumber3">
    <w:name w:val="List Number 3"/>
    <w:basedOn w:val="List3"/>
    <w:rsid w:val="00CD13CD"/>
    <w:pPr>
      <w:numPr>
        <w:numId w:val="4"/>
      </w:numPr>
    </w:pPr>
  </w:style>
  <w:style w:type="paragraph" w:styleId="ListNumber4">
    <w:name w:val="List Number 4"/>
    <w:basedOn w:val="List4"/>
    <w:rsid w:val="00CD13CD"/>
    <w:pPr>
      <w:numPr>
        <w:numId w:val="5"/>
      </w:numPr>
    </w:pPr>
  </w:style>
  <w:style w:type="paragraph" w:styleId="ListNumber5">
    <w:name w:val="List Number 5"/>
    <w:basedOn w:val="List5"/>
    <w:rsid w:val="00CD13CD"/>
    <w:pPr>
      <w:numPr>
        <w:numId w:val="6"/>
      </w:numPr>
    </w:pPr>
  </w:style>
  <w:style w:type="paragraph" w:styleId="BlockText">
    <w:name w:val="Block Text"/>
    <w:basedOn w:val="Normal"/>
    <w:rsid w:val="00CD13CD"/>
    <w:pPr>
      <w:spacing w:after="120"/>
      <w:ind w:left="1440" w:right="1440"/>
    </w:pPr>
  </w:style>
  <w:style w:type="character" w:customStyle="1" w:styleId="Subscript">
    <w:name w:val="Subscript"/>
    <w:basedOn w:val="DefaultParagraphFont"/>
    <w:rsid w:val="00CD13CD"/>
    <w:rPr>
      <w:sz w:val="16"/>
      <w:vertAlign w:val="subscript"/>
    </w:rPr>
  </w:style>
  <w:style w:type="character" w:customStyle="1" w:styleId="Superscript">
    <w:name w:val="Superscript"/>
    <w:basedOn w:val="DefaultParagraphFont"/>
    <w:rsid w:val="00CD13CD"/>
    <w:rPr>
      <w:sz w:val="16"/>
      <w:vertAlign w:val="superscript"/>
    </w:rPr>
  </w:style>
  <w:style w:type="character" w:customStyle="1" w:styleId="Symbols">
    <w:name w:val="Symbols"/>
    <w:basedOn w:val="DefaultParagraphFont"/>
    <w:rsid w:val="00CD13CD"/>
    <w:rPr>
      <w:rFonts w:ascii="Symbol" w:hAnsi="Symbol"/>
    </w:rPr>
  </w:style>
  <w:style w:type="character" w:customStyle="1" w:styleId="MenuOptions">
    <w:name w:val="Menu Options"/>
    <w:basedOn w:val="DefaultParagraphFont"/>
    <w:rsid w:val="00CD13CD"/>
    <w:rPr>
      <w:rFonts w:ascii="Arial Narrow" w:hAnsi="Arial Narrow"/>
      <w:smallCaps/>
    </w:rPr>
  </w:style>
  <w:style w:type="character" w:customStyle="1" w:styleId="Buttons">
    <w:name w:val="Buttons"/>
    <w:basedOn w:val="DefaultParagraphFont"/>
    <w:rsid w:val="00CD13CD"/>
    <w:rPr>
      <w:b/>
    </w:rPr>
  </w:style>
  <w:style w:type="character" w:customStyle="1" w:styleId="Underlined">
    <w:name w:val="Underlined"/>
    <w:basedOn w:val="DefaultParagraphFont"/>
    <w:rsid w:val="00CD13CD"/>
    <w:rPr>
      <w:u w:val="single"/>
    </w:rPr>
  </w:style>
  <w:style w:type="paragraph" w:customStyle="1" w:styleId="TableBodyTextRight">
    <w:name w:val="Table Body Text Right"/>
    <w:basedOn w:val="TableBodyText"/>
    <w:rsid w:val="00CD13CD"/>
    <w:pPr>
      <w:widowControl w:val="0"/>
      <w:autoSpaceDE w:val="0"/>
      <w:autoSpaceDN w:val="0"/>
      <w:adjustRightInd w:val="0"/>
      <w:jc w:val="right"/>
    </w:pPr>
    <w:rPr>
      <w:rFonts w:cs="Arial"/>
      <w:szCs w:val="18"/>
    </w:rPr>
  </w:style>
  <w:style w:type="paragraph" w:customStyle="1" w:styleId="CopyrightText">
    <w:name w:val="Copyright Text"/>
    <w:basedOn w:val="BodyText"/>
    <w:rsid w:val="00CD13CD"/>
    <w:rPr>
      <w:sz w:val="18"/>
    </w:rPr>
  </w:style>
  <w:style w:type="paragraph" w:customStyle="1" w:styleId="BodySmallRight">
    <w:name w:val="Body Small Right"/>
    <w:basedOn w:val="BodyTextRight"/>
    <w:rsid w:val="00CD13CD"/>
    <w:rPr>
      <w:sz w:val="18"/>
      <w:szCs w:val="18"/>
    </w:rPr>
  </w:style>
  <w:style w:type="paragraph" w:customStyle="1" w:styleId="MarginEdition">
    <w:name w:val="Margin Edition"/>
    <w:basedOn w:val="MarginNote"/>
    <w:rsid w:val="00CD13CD"/>
    <w:pPr>
      <w:spacing w:before="0" w:after="0"/>
    </w:pPr>
    <w:rPr>
      <w:rFonts w:ascii="Times New Roman" w:hAnsi="Times New Roman"/>
      <w:color w:val="999999"/>
    </w:rPr>
  </w:style>
  <w:style w:type="paragraph" w:customStyle="1" w:styleId="Spacer">
    <w:name w:val="Spacer"/>
    <w:basedOn w:val="Normal"/>
    <w:rsid w:val="00CD13CD"/>
    <w:rPr>
      <w:sz w:val="2"/>
      <w:szCs w:val="2"/>
    </w:rPr>
  </w:style>
  <w:style w:type="character" w:customStyle="1" w:styleId="Small">
    <w:name w:val="Small"/>
    <w:basedOn w:val="DefaultParagraphFont"/>
    <w:rsid w:val="00CD13CD"/>
    <w:rPr>
      <w:sz w:val="16"/>
    </w:rPr>
  </w:style>
  <w:style w:type="paragraph" w:customStyle="1" w:styleId="WideTable">
    <w:name w:val="Wide Table"/>
    <w:basedOn w:val="Normal"/>
    <w:rsid w:val="00CD13CD"/>
    <w:pPr>
      <w:ind w:left="-1418"/>
    </w:pPr>
    <w:rPr>
      <w:sz w:val="2"/>
      <w:szCs w:val="2"/>
    </w:rPr>
  </w:style>
  <w:style w:type="character" w:styleId="PageNumber">
    <w:name w:val="page number"/>
    <w:basedOn w:val="DefaultParagraphFont"/>
    <w:rsid w:val="00CD13CD"/>
  </w:style>
  <w:style w:type="paragraph" w:styleId="Quote">
    <w:name w:val="Quote"/>
    <w:basedOn w:val="Heading1"/>
    <w:link w:val="QuoteChar"/>
    <w:qFormat/>
    <w:rsid w:val="00CD13CD"/>
    <w:rPr>
      <w:b w:val="0"/>
      <w:sz w:val="72"/>
      <w:szCs w:val="72"/>
      <w:lang w:val="en-NZ"/>
    </w:rPr>
  </w:style>
  <w:style w:type="character" w:customStyle="1" w:styleId="QuoteChar">
    <w:name w:val="Quote Char"/>
    <w:basedOn w:val="DefaultParagraphFont"/>
    <w:link w:val="Quote"/>
    <w:rsid w:val="00CD13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3CD"/>
    <w:pPr>
      <w:pageBreakBefore/>
    </w:pPr>
  </w:style>
  <w:style w:type="paragraph" w:customStyle="1" w:styleId="Border">
    <w:name w:val="Border"/>
    <w:basedOn w:val="Normal"/>
    <w:qFormat/>
    <w:rsid w:val="00CD13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3CD"/>
    <w:rPr>
      <w:b/>
      <w:bCs/>
      <w:i/>
      <w:iCs/>
      <w:color w:val="auto"/>
    </w:rPr>
  </w:style>
  <w:style w:type="paragraph" w:styleId="IntenseQuote">
    <w:name w:val="Intense Quote"/>
    <w:basedOn w:val="Normal"/>
    <w:next w:val="Normal"/>
    <w:link w:val="IntenseQuoteChar"/>
    <w:uiPriority w:val="30"/>
    <w:qFormat/>
    <w:rsid w:val="00CD13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3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3CD"/>
    <w:rPr>
      <w:smallCaps/>
      <w:color w:val="auto"/>
      <w:u w:val="single"/>
    </w:rPr>
  </w:style>
  <w:style w:type="character" w:styleId="IntenseReference">
    <w:name w:val="Intense Reference"/>
    <w:basedOn w:val="DefaultParagraphFont"/>
    <w:uiPriority w:val="32"/>
    <w:qFormat/>
    <w:rsid w:val="00CD13CD"/>
    <w:rPr>
      <w:b/>
      <w:bCs/>
      <w:smallCaps/>
      <w:color w:val="auto"/>
      <w:spacing w:val="5"/>
      <w:u w:val="single"/>
    </w:rPr>
  </w:style>
  <w:style w:type="paragraph" w:customStyle="1" w:styleId="2ColumnHeading">
    <w:name w:val="2Column Heading"/>
    <w:basedOn w:val="BodyText"/>
    <w:qFormat/>
    <w:rsid w:val="00CD13CD"/>
    <w:pPr>
      <w:spacing w:after="60"/>
      <w:ind w:left="-2268"/>
    </w:pPr>
    <w:rPr>
      <w:b/>
    </w:rPr>
  </w:style>
  <w:style w:type="paragraph" w:customStyle="1" w:styleId="Heading1TOC">
    <w:name w:val="Heading1 TOC"/>
    <w:basedOn w:val="Normal"/>
    <w:qFormat/>
    <w:rsid w:val="00CD13CD"/>
    <w:pPr>
      <w:spacing w:before="240" w:after="120"/>
    </w:pPr>
    <w:rPr>
      <w:rFonts w:ascii="Times New Roman" w:hAnsi="Times New Roman"/>
      <w:b/>
      <w:sz w:val="32"/>
    </w:rPr>
  </w:style>
  <w:style w:type="paragraph" w:customStyle="1" w:styleId="Heading2TOC">
    <w:name w:val="Heading2 TOC"/>
    <w:basedOn w:val="Normal"/>
    <w:qFormat/>
    <w:rsid w:val="00CD13CD"/>
    <w:pPr>
      <w:spacing w:before="240" w:after="60"/>
    </w:pPr>
    <w:rPr>
      <w:rFonts w:ascii="Times New Roman" w:hAnsi="Times New Roman"/>
      <w:b/>
      <w:sz w:val="28"/>
    </w:rPr>
  </w:style>
  <w:style w:type="character" w:customStyle="1" w:styleId="Underline">
    <w:name w:val="Underline"/>
    <w:basedOn w:val="DefaultParagraphFont"/>
    <w:qFormat/>
    <w:rsid w:val="00CD13CD"/>
    <w:rPr>
      <w:u w:val="single"/>
    </w:rPr>
  </w:style>
  <w:style w:type="paragraph" w:styleId="BalloonText">
    <w:name w:val="Balloon Text"/>
    <w:basedOn w:val="Normal"/>
    <w:link w:val="BalloonTextChar"/>
    <w:rsid w:val="00CD13CD"/>
    <w:rPr>
      <w:rFonts w:ascii="Tahoma" w:hAnsi="Tahoma" w:cs="Tahoma"/>
      <w:sz w:val="16"/>
      <w:szCs w:val="16"/>
    </w:rPr>
  </w:style>
  <w:style w:type="character" w:customStyle="1" w:styleId="BalloonTextChar">
    <w:name w:val="Balloon Text Char"/>
    <w:basedOn w:val="DefaultParagraphFont"/>
    <w:link w:val="BalloonText"/>
    <w:rsid w:val="00CD13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3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13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3CD"/>
    <w:rPr>
      <w:b/>
      <w:color w:val="660033"/>
      <w:spacing w:val="0"/>
    </w:rPr>
  </w:style>
  <w:style w:type="paragraph" w:customStyle="1" w:styleId="Nameditemlist">
    <w:name w:val="Named item list"/>
    <w:basedOn w:val="BodyText"/>
    <w:qFormat/>
    <w:rsid w:val="00CD13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1148</Words>
  <Characters>7330</Characters>
  <Application>Microsoft Office Word</Application>
  <DocSecurity>0</DocSecurity>
  <Lines>209</Lines>
  <Paragraphs>97</Paragraphs>
  <ScaleCrop>false</ScaleCrop>
  <Company>Author-it Software Corporation Ltd.</Company>
  <LinksUpToDate>false</LinksUpToDate>
  <CharactersWithSpaces>8407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MEA201B Remove and install miscellaneous aircraft electrical hardware/components</dc:title>
  <dc:subject>Approved</dc:subject>
  <dc:creator>Manufacturing Skills Australia</dc:creator>
  <cp:keywords>Revision Number: 2</cp:keywords>
  <dc:description>Review Date: 12 April 2008</dc:description>
  <cp:lastModifiedBy>HSD_TPCMSd.prod</cp:lastModifiedBy>
  <cp:revision>3</cp:revision>
  <dcterms:created xsi:type="dcterms:W3CDTF">2013-10-25T06:26:00Z</dcterms:created>
  <dcterms:modified xsi:type="dcterms:W3CDTF">2013-10-25T06:26:00Z</dcterms:modified>
</cp:coreProperties>
</file>