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A77" w:rsidP="00830A77">
      <w:pPr>
        <w:pStyle w:val="Title"/>
      </w:pPr>
      <w:r>
        <w:fldChar w:fldCharType="begin"/>
      </w:r>
      <w:r>
        <w:instrText xml:space="preserve"> TITLE   \* MERGEFORMAT </w:instrText>
      </w:r>
      <w:r>
        <w:fldChar w:fldCharType="separate"/>
      </w:r>
      <w:r>
        <w:t>MEA137A Write aviation technical publications</w:t>
      </w:r>
      <w:r>
        <w:fldChar w:fldCharType="end"/>
      </w:r>
    </w:p>
    <w:p w:rsidR="00830A77" w:rsidP="00830A77">
      <w:pPr>
        <w:pStyle w:val="Version"/>
        <w:sectPr w:rsidSect="00A31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316EC" w:rsidP="00A316EC">
      <w:pPr>
        <w:pStyle w:val="SuperHeading"/>
      </w:pPr>
      <w:r w:rsidRPr="00A316EC">
        <w:t>MEA137A Write aviation technical publications</w:t>
      </w:r>
    </w:p>
    <w:p w:rsidR="00000000" w:rsidRPr="00A316EC" w:rsidP="00A316EC">
      <w:pPr>
        <w:pStyle w:val="SuperHeading"/>
      </w:pPr>
    </w:p>
    <w:p w:rsidR="00000000" w:rsidRPr="00A316EC" w:rsidP="00A316EC">
      <w:pPr>
        <w:pStyle w:val="Heading1"/>
      </w:pPr>
      <w:bookmarkStart w:id="1" w:name="O_398698"/>
      <w:bookmarkEnd w:id="1"/>
      <w:r w:rsidRPr="00A316EC">
        <w:t>Modification History</w:t>
      </w:r>
    </w:p>
    <w:p w:rsidR="00000000" w:rsidRPr="00A316EC" w:rsidP="00A316EC">
      <w:pPr>
        <w:pStyle w:val="BodyText"/>
      </w:pPr>
      <w:r w:rsidRPr="00A316EC">
        <w:t>Minor formatting and editorial changes made.</w:t>
      </w:r>
    </w:p>
    <w:p w:rsidR="00000000" w:rsidRPr="00A316EC" w:rsidP="00A316EC">
      <w:pPr>
        <w:pStyle w:val="AllowPageBreak"/>
      </w:pPr>
    </w:p>
    <w:p w:rsidR="00000000" w:rsidRPr="00A316EC" w:rsidP="00A316EC">
      <w:pPr>
        <w:pStyle w:val="Heading1"/>
      </w:pPr>
      <w:bookmarkStart w:id="2" w:name="O_398684"/>
      <w:bookmarkEnd w:id="2"/>
      <w:r w:rsidRPr="00A316EC">
        <w:t>Unit Descriptor</w:t>
      </w:r>
    </w:p>
    <w:tbl>
      <w:tblPr>
        <w:tblW w:w="0" w:type="auto"/>
        <w:tblLayout w:type="fixed"/>
        <w:tblCellMar>
          <w:left w:w="62" w:type="dxa"/>
          <w:right w:w="62" w:type="dxa"/>
        </w:tblCellMar>
        <w:tblLook w:val="0000"/>
      </w:tblPr>
      <w:tblGrid>
        <w:gridCol w:w="8730"/>
      </w:tblGrid>
      <w:tr w:rsidTr="00830A77">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This unit is part of Diploma and Advanced Diploma training pathways. It covers the compete</w:t>
            </w:r>
            <w:r w:rsidRPr="00A316EC">
              <w:t>ncies required to draft and process aviation technical publications in accordance with relevant standards and regulatory requirements. The unit is used in workplaces that operate under the airworthiness regulatory systems of the ADF and CASA.</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3" w:name="O_398707"/>
      <w:bookmarkEnd w:id="3"/>
      <w:r w:rsidRPr="00A316EC">
        <w:t>Application of the Unit</w:t>
      </w:r>
    </w:p>
    <w:tbl>
      <w:tblPr>
        <w:tblW w:w="0" w:type="auto"/>
        <w:tblLayout w:type="fixed"/>
        <w:tblCellMar>
          <w:left w:w="62" w:type="dxa"/>
          <w:right w:w="62" w:type="dxa"/>
        </w:tblCellMar>
        <w:tblLook w:val="0000"/>
      </w:tblPr>
      <w:tblGrid>
        <w:gridCol w:w="8730"/>
      </w:tblGrid>
      <w:tr w:rsidTr="00830A77">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This unit requires application of competencies relating to the researching of data, drafting and processing of technical publications and amendments to technical publications.</w:t>
            </w:r>
          </w:p>
          <w:p w:rsidR="00000000" w:rsidRPr="00A316EC" w:rsidP="00A316EC">
            <w:pPr>
              <w:pStyle w:val="BodyText"/>
            </w:pPr>
            <w:r w:rsidRPr="00A316EC">
              <w:t>Applications include maintenance manuals, operat</w:t>
            </w:r>
            <w:r w:rsidRPr="00A316EC">
              <w:t>ing instructions, parts catalogues, procedures manuals and related technical publications.</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4" w:name="O_398699"/>
      <w:bookmarkEnd w:id="4"/>
      <w:r w:rsidRPr="00A316EC">
        <w:t>Licensing/Regulatory Information</w:t>
      </w:r>
    </w:p>
    <w:p w:rsidR="00000000" w:rsidRPr="00A316EC" w:rsidP="00A316EC">
      <w:pPr>
        <w:pStyle w:val="BodyText"/>
      </w:pPr>
      <w:r w:rsidRPr="00A316EC">
        <w:t>Not applicable.</w:t>
      </w:r>
    </w:p>
    <w:p w:rsidR="00000000" w:rsidRPr="00A316EC" w:rsidP="00A316EC">
      <w:pPr>
        <w:pStyle w:val="AllowPageBreak"/>
      </w:pPr>
    </w:p>
    <w:p w:rsidR="00000000" w:rsidRPr="00A316EC" w:rsidP="00A316EC">
      <w:pPr>
        <w:pStyle w:val="Heading1"/>
      </w:pPr>
      <w:bookmarkStart w:id="5" w:name="O_398695"/>
      <w:bookmarkEnd w:id="5"/>
      <w:r w:rsidRPr="00A316EC">
        <w:t>Pre-Requisites</w:t>
      </w:r>
    </w:p>
    <w:tbl>
      <w:tblPr>
        <w:tblW w:w="0" w:type="auto"/>
        <w:tblLayout w:type="fixed"/>
        <w:tblCellMar>
          <w:left w:w="62" w:type="dxa"/>
          <w:right w:w="62" w:type="dxa"/>
        </w:tblCellMar>
        <w:tblLook w:val="0000"/>
      </w:tblPr>
      <w:tblGrid>
        <w:gridCol w:w="1800"/>
        <w:gridCol w:w="6840"/>
      </w:tblGrid>
      <w:tr w:rsidTr="00830A77">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A316EC">
            <w:pPr>
              <w:pStyle w:val="BodyText"/>
              <w:rPr>
                <w:lang w:val="en-NZ"/>
              </w:rPr>
            </w:pPr>
            <w:r w:rsidRPr="00A316EC">
              <w:t>MEA135A</w:t>
            </w:r>
          </w:p>
        </w:tc>
        <w:tc>
          <w:tcPr>
            <w:tcW w:w="684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 xml:space="preserve">Use computers in aviation maintenance-related integrated </w:t>
            </w:r>
            <w:r w:rsidRPr="00A316EC">
              <w:t>logistic support activities</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6" w:name="O_398702"/>
      <w:bookmarkEnd w:id="6"/>
      <w:r w:rsidRPr="00A316EC">
        <w:t>Employability Skills Information</w:t>
      </w:r>
    </w:p>
    <w:tbl>
      <w:tblPr>
        <w:tblW w:w="0" w:type="auto"/>
        <w:tblLayout w:type="fixed"/>
        <w:tblCellMar>
          <w:left w:w="62" w:type="dxa"/>
          <w:right w:w="62" w:type="dxa"/>
        </w:tblCellMar>
        <w:tblLook w:val="0000"/>
      </w:tblPr>
      <w:tblGrid>
        <w:gridCol w:w="5720"/>
      </w:tblGrid>
      <w:tr w:rsidTr="00830A7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This unit contains employability skills.</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7" w:name="O_398703"/>
      <w:bookmarkEnd w:id="7"/>
      <w:r w:rsidRPr="00A316EC">
        <w:t>Elements and Performance Criteria Pre-Content</w:t>
      </w:r>
    </w:p>
    <w:tbl>
      <w:tblPr>
        <w:tblW w:w="9450" w:type="dxa"/>
        <w:tblLayout w:type="fixed"/>
        <w:tblCellMar>
          <w:left w:w="62" w:type="dxa"/>
          <w:right w:w="62" w:type="dxa"/>
        </w:tblCellMar>
        <w:tblLook w:val="0000"/>
      </w:tblPr>
      <w:tblGrid>
        <w:gridCol w:w="2567"/>
        <w:gridCol w:w="6883"/>
      </w:tblGrid>
      <w:tr w:rsidTr="00830A77">
        <w:tblPrEx>
          <w:tblW w:w="9450" w:type="dxa"/>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t>Elements describe the essential outcomes of a unit of competency.</w:t>
            </w:r>
          </w:p>
        </w:tc>
        <w:tc>
          <w:tcPr>
            <w:tcW w:w="6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Performance criteria describe the performance needed to demonstrate achievement of the element. Where bold italicised text is used, further information is detailed in the required skills and knowledge section and the range statement. Assessment of performa</w:t>
            </w:r>
            <w:r w:rsidRPr="00A316EC">
              <w:t>nce is to be consistent with the evidence guide.</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8" w:name="O_398704"/>
      <w:bookmarkEnd w:id="8"/>
      <w:r w:rsidRPr="00A316EC">
        <w:t>Elements and Performance Criteria</w:t>
      </w:r>
    </w:p>
    <w:tbl>
      <w:tblPr>
        <w:tblW w:w="0" w:type="auto"/>
        <w:tblCellMar>
          <w:left w:w="62" w:type="dxa"/>
          <w:right w:w="62" w:type="dxa"/>
        </w:tblCellMar>
        <w:tblLook w:val="0000"/>
      </w:tblPr>
      <w:tblGrid>
        <w:gridCol w:w="1887"/>
        <w:gridCol w:w="7309"/>
      </w:tblGrid>
      <w:tr w:rsidTr="00830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6EC">
            <w:pPr>
              <w:pStyle w:val="List"/>
              <w:rPr>
                <w:lang w:val="en-NZ"/>
              </w:rPr>
            </w:pPr>
            <w:r w:rsidRPr="00A316EC">
              <w:t>1.</w:t>
            </w:r>
            <w:r w:rsidRPr="00A316EC">
              <w:tab/>
              <w:t>Research data</w:t>
            </w:r>
          </w:p>
        </w:tc>
        <w:tc>
          <w:tcPr>
            <w:tcW w:w="0" w:type="auto"/>
            <w:tcBorders>
              <w:top w:val="nil"/>
              <w:left w:val="nil"/>
              <w:bottom w:val="nil"/>
              <w:right w:val="nil"/>
            </w:tcBorders>
            <w:tcMar>
              <w:top w:w="0" w:type="dxa"/>
              <w:left w:w="62" w:type="dxa"/>
              <w:bottom w:w="0" w:type="dxa"/>
              <w:right w:w="62" w:type="dxa"/>
            </w:tcMar>
          </w:tcPr>
          <w:p w:rsidR="00000000" w:rsidRPr="00A316EC" w:rsidP="00A316EC">
            <w:pPr>
              <w:pStyle w:val="List2"/>
            </w:pPr>
            <w:r w:rsidRPr="00A316EC">
              <w:t>1.1.</w:t>
            </w:r>
            <w:r w:rsidRPr="00A316EC">
              <w:tab/>
            </w:r>
            <w:r w:rsidRPr="00A316EC">
              <w:rPr>
                <w:rStyle w:val="BoldandItalics"/>
              </w:rPr>
              <w:t>The required medium</w:t>
            </w:r>
            <w:r w:rsidRPr="00A316EC">
              <w:t xml:space="preserve">, </w:t>
            </w:r>
            <w:r w:rsidRPr="00A316EC">
              <w:rPr>
                <w:rStyle w:val="BoldandItalics"/>
              </w:rPr>
              <w:t>style and layout</w:t>
            </w:r>
            <w:r w:rsidRPr="00A316EC">
              <w:t xml:space="preserve"> are determined</w:t>
            </w:r>
          </w:p>
          <w:p w:rsidR="00000000" w:rsidRPr="00A316EC" w:rsidP="00A316EC">
            <w:pPr>
              <w:pStyle w:val="List2"/>
            </w:pPr>
            <w:r w:rsidRPr="00A316EC">
              <w:t>1.2.</w:t>
            </w:r>
            <w:r w:rsidRPr="00A316EC">
              <w:tab/>
            </w:r>
            <w:r w:rsidRPr="00A316EC">
              <w:rPr>
                <w:rStyle w:val="BoldandItalics"/>
              </w:rPr>
              <w:t>Relevant data</w:t>
            </w:r>
            <w:r w:rsidRPr="00A316EC">
              <w:t xml:space="preserve"> is obtained or accessed</w:t>
            </w:r>
          </w:p>
          <w:p w:rsidR="00000000" w:rsidRPr="00A316EC" w:rsidP="00A316EC">
            <w:pPr>
              <w:pStyle w:val="List2"/>
            </w:pPr>
            <w:r w:rsidRPr="00A316EC">
              <w:t>1.3.</w:t>
            </w:r>
            <w:r w:rsidRPr="00A316EC">
              <w:tab/>
            </w:r>
            <w:r w:rsidRPr="00A316EC">
              <w:t xml:space="preserve">Potential problems are identified and </w:t>
            </w:r>
            <w:r w:rsidRPr="00A316EC">
              <w:rPr>
                <w:rStyle w:val="BoldandItalics"/>
              </w:rPr>
              <w:t>relevant experts</w:t>
            </w:r>
            <w:r w:rsidRPr="00A316EC">
              <w:t xml:space="preserve"> are identified and consulted</w:t>
            </w:r>
          </w:p>
          <w:p w:rsidR="00000000" w:rsidP="00A316EC">
            <w:pPr>
              <w:pStyle w:val="List2"/>
              <w:rPr>
                <w:lang w:val="en-NZ"/>
              </w:rPr>
            </w:pPr>
            <w:r w:rsidRPr="00A316EC">
              <w:t>1.4. Problem resolution strategies are determined</w:t>
            </w:r>
          </w:p>
        </w:tc>
      </w:tr>
      <w:tr w:rsidTr="00830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6EC">
            <w:pPr>
              <w:pStyle w:val="List"/>
              <w:rPr>
                <w:lang w:val="en-NZ"/>
              </w:rPr>
            </w:pPr>
            <w:r w:rsidRPr="00A316EC">
              <w:t>2.</w:t>
            </w:r>
            <w:r w:rsidRPr="00A316EC">
              <w:tab/>
              <w:t>Draft publication or publication amendment</w:t>
            </w:r>
          </w:p>
        </w:tc>
        <w:tc>
          <w:tcPr>
            <w:tcW w:w="0" w:type="auto"/>
            <w:tcBorders>
              <w:top w:val="nil"/>
              <w:left w:val="nil"/>
              <w:bottom w:val="nil"/>
              <w:right w:val="nil"/>
            </w:tcBorders>
            <w:tcMar>
              <w:top w:w="0" w:type="dxa"/>
              <w:left w:w="62" w:type="dxa"/>
              <w:bottom w:w="0" w:type="dxa"/>
              <w:right w:w="62" w:type="dxa"/>
            </w:tcMar>
          </w:tcPr>
          <w:p w:rsidR="00000000" w:rsidRPr="00A316EC" w:rsidP="00A316EC">
            <w:pPr>
              <w:pStyle w:val="List2"/>
            </w:pPr>
            <w:r w:rsidRPr="00A316EC">
              <w:t>2.1.</w:t>
            </w:r>
            <w:r w:rsidRPr="00A316EC">
              <w:tab/>
              <w:t xml:space="preserve">The publication or amendment is drafted using relevant guidelines and </w:t>
            </w:r>
            <w:r w:rsidRPr="00A316EC">
              <w:t>specified software package</w:t>
            </w:r>
          </w:p>
          <w:p w:rsidR="00000000" w:rsidRPr="00A316EC" w:rsidP="00A316EC">
            <w:pPr>
              <w:pStyle w:val="List2"/>
            </w:pPr>
            <w:r w:rsidRPr="00A316EC">
              <w:t>2.2.</w:t>
            </w:r>
            <w:r w:rsidRPr="00A316EC">
              <w:tab/>
              <w:t>Required graphics are selected and illustrator briefs are raised</w:t>
            </w:r>
          </w:p>
          <w:p w:rsidR="00000000" w:rsidRPr="00A316EC" w:rsidP="00A316EC">
            <w:pPr>
              <w:pStyle w:val="List2"/>
            </w:pPr>
            <w:r w:rsidRPr="00A316EC">
              <w:t>2.3.</w:t>
            </w:r>
            <w:r w:rsidRPr="00A316EC">
              <w:tab/>
              <w:t>Copyright legislation is observed</w:t>
            </w:r>
          </w:p>
          <w:p w:rsidR="00000000" w:rsidRPr="00A316EC" w:rsidP="00A316EC">
            <w:pPr>
              <w:pStyle w:val="List2"/>
            </w:pPr>
            <w:r w:rsidRPr="00A316EC">
              <w:t>2.4.</w:t>
            </w:r>
            <w:r w:rsidRPr="00A316EC">
              <w:tab/>
              <w:t>Completed graphics are inserted into the draft and annotations/labels added</w:t>
            </w:r>
          </w:p>
          <w:p w:rsidR="00000000" w:rsidP="00A316EC">
            <w:pPr>
              <w:pStyle w:val="List2"/>
              <w:rPr>
                <w:lang w:val="en-NZ"/>
              </w:rPr>
            </w:pPr>
            <w:r w:rsidRPr="00A316EC">
              <w:t>2.5.</w:t>
            </w:r>
            <w:r w:rsidRPr="00A316EC">
              <w:tab/>
            </w:r>
            <w:r w:rsidRPr="00A316EC">
              <w:t>The draft is prepared for publishing and is submitted for editorial review</w:t>
            </w:r>
          </w:p>
        </w:tc>
      </w:tr>
      <w:tr w:rsidTr="00830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6EC">
            <w:pPr>
              <w:pStyle w:val="List"/>
              <w:rPr>
                <w:lang w:val="en-NZ"/>
              </w:rPr>
            </w:pPr>
            <w:r w:rsidRPr="00A316EC">
              <w:t>3.</w:t>
            </w:r>
            <w:r w:rsidRPr="00A316EC">
              <w:tab/>
              <w:t>Process draft publication or amendment</w:t>
            </w:r>
          </w:p>
        </w:tc>
        <w:tc>
          <w:tcPr>
            <w:tcW w:w="0" w:type="auto"/>
            <w:tcBorders>
              <w:top w:val="nil"/>
              <w:left w:val="nil"/>
              <w:bottom w:val="nil"/>
              <w:right w:val="nil"/>
            </w:tcBorders>
            <w:tcMar>
              <w:top w:w="0" w:type="dxa"/>
              <w:left w:w="62" w:type="dxa"/>
              <w:bottom w:w="0" w:type="dxa"/>
              <w:right w:w="62" w:type="dxa"/>
            </w:tcMar>
          </w:tcPr>
          <w:p w:rsidR="00000000" w:rsidRPr="00A316EC" w:rsidP="00A316EC">
            <w:pPr>
              <w:pStyle w:val="List2"/>
            </w:pPr>
            <w:r w:rsidRPr="00A316EC">
              <w:t>3.1.</w:t>
            </w:r>
            <w:r w:rsidRPr="00A316EC">
              <w:tab/>
              <w:t>Proof copy of the publication or amendment is submitted for client acceptance</w:t>
            </w:r>
          </w:p>
          <w:p w:rsidR="00000000" w:rsidRPr="00A316EC" w:rsidP="00A316EC">
            <w:pPr>
              <w:pStyle w:val="List2"/>
            </w:pPr>
            <w:r w:rsidRPr="00A316EC">
              <w:t>3.2.</w:t>
            </w:r>
            <w:r w:rsidRPr="00A316EC">
              <w:tab/>
              <w:t>Publication or amendment is published</w:t>
            </w:r>
          </w:p>
          <w:p w:rsidR="00000000" w:rsidRPr="00A316EC" w:rsidP="00A316EC">
            <w:pPr>
              <w:pStyle w:val="List2"/>
            </w:pPr>
            <w:r w:rsidRPr="00A316EC">
              <w:t>3.3.</w:t>
            </w:r>
            <w:r w:rsidRPr="00A316EC">
              <w:tab/>
              <w:t>The pub</w:t>
            </w:r>
            <w:r w:rsidRPr="00A316EC">
              <w:t>lication management database is updated and the completed publication is delivered or distributed</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9" w:name="O_398686"/>
      <w:bookmarkEnd w:id="9"/>
      <w:r w:rsidRPr="00A316EC">
        <w:t>Required Skills and Knowledge</w:t>
      </w:r>
    </w:p>
    <w:tbl>
      <w:tblPr>
        <w:tblW w:w="9360" w:type="dxa"/>
        <w:tblLayout w:type="fixed"/>
        <w:tblCellMar>
          <w:left w:w="62" w:type="dxa"/>
          <w:right w:w="62" w:type="dxa"/>
        </w:tblCellMar>
        <w:tblLook w:val="0000"/>
      </w:tblPr>
      <w:tblGrid>
        <w:gridCol w:w="9360"/>
      </w:tblGrid>
      <w:tr w:rsidTr="00830A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316EC">
            <w:pPr>
              <w:pStyle w:val="BodyText"/>
              <w:rPr>
                <w:lang w:val="en-NZ"/>
              </w:rPr>
            </w:pPr>
            <w:r w:rsidRPr="00A316EC">
              <w:rPr>
                <w:rStyle w:val="SpecialBold"/>
              </w:rPr>
              <w:t>Required skills</w:t>
            </w:r>
          </w:p>
        </w:tc>
      </w:tr>
      <w:tr w:rsidTr="00830A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Look for evidence that confirms skills in:</w:t>
            </w:r>
          </w:p>
          <w:p w:rsidR="00000000" w:rsidRPr="00A316EC" w:rsidP="00A316EC">
            <w:pPr>
              <w:pStyle w:val="ListBullet"/>
            </w:pPr>
            <w:r w:rsidRPr="00A316EC">
              <w:t>research</w:t>
            </w:r>
          </w:p>
          <w:p w:rsidR="00000000" w:rsidRPr="00A316EC" w:rsidP="00A316EC">
            <w:pPr>
              <w:pStyle w:val="ListBullet"/>
            </w:pPr>
            <w:r w:rsidRPr="00A316EC">
              <w:t>utilisation of international document standards, such as IATA and GAMA</w:t>
            </w:r>
          </w:p>
          <w:p w:rsidR="00000000" w:rsidRPr="00A316EC" w:rsidP="00A316EC">
            <w:pPr>
              <w:pStyle w:val="ListBullet"/>
            </w:pPr>
            <w:r w:rsidRPr="00A316EC">
              <w:t>oral communication</w:t>
            </w:r>
          </w:p>
          <w:p w:rsidR="00000000" w:rsidRPr="00A316EC" w:rsidP="00A316EC">
            <w:pPr>
              <w:pStyle w:val="ListBullet"/>
            </w:pPr>
            <w:r w:rsidRPr="00A316EC">
              <w:t>written communication</w:t>
            </w:r>
          </w:p>
          <w:p w:rsidR="00000000" w:rsidRPr="00A316EC" w:rsidP="00A316EC">
            <w:pPr>
              <w:pStyle w:val="ListBullet"/>
            </w:pPr>
            <w:r w:rsidRPr="00A316EC">
              <w:t>problem solving</w:t>
            </w:r>
          </w:p>
          <w:p w:rsidR="00000000" w:rsidP="00A316EC">
            <w:pPr>
              <w:pStyle w:val="ListBullet"/>
              <w:rPr>
                <w:lang w:val="en-NZ"/>
              </w:rPr>
            </w:pPr>
            <w:r w:rsidRPr="00A316EC">
              <w:t>use of word processing software and graphics packages</w:t>
            </w:r>
          </w:p>
        </w:tc>
      </w:tr>
      <w:tr w:rsidTr="00830A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316EC">
            <w:pPr>
              <w:pStyle w:val="BodyText"/>
              <w:rPr>
                <w:lang w:val="en-NZ"/>
              </w:rPr>
            </w:pPr>
            <w:r w:rsidRPr="00A316EC">
              <w:rPr>
                <w:rStyle w:val="SpecialBold"/>
              </w:rPr>
              <w:t>Required knowledge</w:t>
            </w:r>
          </w:p>
        </w:tc>
      </w:tr>
      <w:tr w:rsidTr="00830A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316EC" w:rsidP="00A316EC">
            <w:pPr>
              <w:pStyle w:val="BodyText"/>
            </w:pPr>
            <w:r w:rsidRPr="00A316EC">
              <w:t>Look for evidence that confirms knowledge of:</w:t>
            </w:r>
          </w:p>
          <w:p w:rsidR="00000000" w:rsidRPr="00A316EC" w:rsidP="00A316EC">
            <w:pPr>
              <w:pStyle w:val="ListBullet"/>
            </w:pPr>
            <w:r w:rsidRPr="00A316EC">
              <w:t>word p</w:t>
            </w:r>
            <w:r w:rsidRPr="00A316EC">
              <w:t>rocessing and graphics packages used for technical publication and publication amendment drafting</w:t>
            </w:r>
          </w:p>
          <w:p w:rsidR="00000000" w:rsidRPr="00A316EC" w:rsidP="00A316EC">
            <w:pPr>
              <w:pStyle w:val="ListBullet"/>
            </w:pPr>
            <w:r w:rsidRPr="00A316EC">
              <w:t>publication writing conventions, standards and specifications</w:t>
            </w:r>
          </w:p>
          <w:p w:rsidR="00000000" w:rsidRPr="00A316EC" w:rsidP="00A316EC">
            <w:pPr>
              <w:pStyle w:val="ListBullet"/>
            </w:pPr>
            <w:r w:rsidRPr="00A316EC">
              <w:t>the use of style guides</w:t>
            </w:r>
          </w:p>
          <w:p w:rsidR="00000000" w:rsidRPr="00A316EC" w:rsidP="00A316EC">
            <w:pPr>
              <w:pStyle w:val="ListBullet"/>
            </w:pPr>
            <w:r w:rsidRPr="00A316EC">
              <w:t>illustration techniques</w:t>
            </w:r>
          </w:p>
          <w:p w:rsidR="00000000" w:rsidRPr="00A316EC" w:rsidP="00A316EC">
            <w:pPr>
              <w:pStyle w:val="ListBullet"/>
            </w:pPr>
            <w:r w:rsidRPr="00A316EC">
              <w:t>reading of engineering drawings, including:</w:t>
            </w:r>
          </w:p>
          <w:p w:rsidR="00000000" w:rsidRPr="00A316EC" w:rsidP="00A316EC">
            <w:pPr>
              <w:pStyle w:val="ListBullet2"/>
            </w:pPr>
            <w:r w:rsidRPr="00A316EC">
              <w:t>standard drawing sheets and drawing layouts</w:t>
            </w:r>
          </w:p>
          <w:p w:rsidR="00000000" w:rsidRPr="00A316EC" w:rsidP="00A316EC">
            <w:pPr>
              <w:pStyle w:val="ListBullet2"/>
            </w:pPr>
            <w:r w:rsidRPr="00A316EC">
              <w:t>types of drawing</w:t>
            </w:r>
          </w:p>
          <w:p w:rsidR="00000000" w:rsidRPr="00A316EC" w:rsidP="00A316EC">
            <w:pPr>
              <w:pStyle w:val="ListBullet2"/>
            </w:pPr>
            <w:r w:rsidRPr="00A316EC">
              <w:t>engineering standards and specifications</w:t>
            </w:r>
          </w:p>
          <w:p w:rsidR="00000000" w:rsidRPr="00A316EC" w:rsidP="00A316EC">
            <w:pPr>
              <w:pStyle w:val="ListBullet2"/>
            </w:pPr>
            <w:r w:rsidRPr="00A316EC">
              <w:t>technical terms and abbreviations</w:t>
            </w:r>
          </w:p>
          <w:p w:rsidR="00000000" w:rsidRPr="00A316EC" w:rsidP="00A316EC">
            <w:pPr>
              <w:pStyle w:val="ListBullet2"/>
            </w:pPr>
            <w:r w:rsidRPr="00A316EC">
              <w:t>sectioned views</w:t>
            </w:r>
          </w:p>
          <w:p w:rsidR="00000000" w:rsidRPr="00A316EC" w:rsidP="00A316EC">
            <w:pPr>
              <w:pStyle w:val="ListBullet2"/>
            </w:pPr>
            <w:r w:rsidRPr="00A316EC">
              <w:t>dimensioning</w:t>
            </w:r>
          </w:p>
          <w:p w:rsidR="00000000" w:rsidRPr="00A316EC" w:rsidP="00A316EC">
            <w:pPr>
              <w:pStyle w:val="ListBullet2"/>
            </w:pPr>
            <w:r w:rsidRPr="00A316EC">
              <w:t>tolerancing of dimensions</w:t>
            </w:r>
          </w:p>
          <w:p w:rsidR="00000000" w:rsidRPr="00A316EC" w:rsidP="00A316EC">
            <w:pPr>
              <w:pStyle w:val="ListBullet2"/>
            </w:pPr>
            <w:r w:rsidRPr="00A316EC">
              <w:t>types of fit</w:t>
            </w:r>
          </w:p>
          <w:p w:rsidR="00000000" w:rsidRPr="00A316EC" w:rsidP="00A316EC">
            <w:pPr>
              <w:pStyle w:val="ListBullet2"/>
            </w:pPr>
            <w:r w:rsidRPr="00A316EC">
              <w:t>aircraft standard hardware</w:t>
            </w:r>
          </w:p>
          <w:p w:rsidR="00000000" w:rsidRPr="00A316EC" w:rsidP="00A316EC">
            <w:pPr>
              <w:pStyle w:val="ListBullet2"/>
            </w:pPr>
            <w:r w:rsidRPr="00A316EC">
              <w:t>screw threads</w:t>
            </w:r>
          </w:p>
          <w:p w:rsidR="00000000" w:rsidRPr="00A316EC" w:rsidP="00A316EC">
            <w:pPr>
              <w:pStyle w:val="ListBullet2"/>
            </w:pPr>
            <w:r w:rsidRPr="00A316EC">
              <w:t>threaded co</w:t>
            </w:r>
            <w:r w:rsidRPr="00A316EC">
              <w:t>mponents and washers</w:t>
            </w:r>
          </w:p>
          <w:p w:rsidR="00000000" w:rsidRPr="00A316EC" w:rsidP="00A316EC">
            <w:pPr>
              <w:pStyle w:val="ListBullet2"/>
            </w:pPr>
            <w:r w:rsidRPr="00A316EC">
              <w:t>locking devices</w:t>
            </w:r>
          </w:p>
          <w:p w:rsidR="00000000" w:rsidRPr="00A316EC" w:rsidP="00A316EC">
            <w:pPr>
              <w:pStyle w:val="ListBullet2"/>
            </w:pPr>
            <w:r w:rsidRPr="00A316EC">
              <w:t>rivets</w:t>
            </w:r>
          </w:p>
          <w:p w:rsidR="00000000" w:rsidRPr="00A316EC" w:rsidP="00A316EC">
            <w:pPr>
              <w:pStyle w:val="ListBullet2"/>
            </w:pPr>
            <w:r w:rsidRPr="00A316EC">
              <w:t>special structural fasteners</w:t>
            </w:r>
          </w:p>
          <w:p w:rsidR="00000000" w:rsidRPr="00A316EC" w:rsidP="00A316EC">
            <w:pPr>
              <w:pStyle w:val="ListBullet2"/>
            </w:pPr>
            <w:r w:rsidRPr="00A316EC">
              <w:t>spur gears</w:t>
            </w:r>
          </w:p>
          <w:p w:rsidR="00000000" w:rsidRPr="00A316EC" w:rsidP="00A316EC">
            <w:pPr>
              <w:pStyle w:val="ListBullet2"/>
            </w:pPr>
            <w:r w:rsidRPr="00A316EC">
              <w:t>welding symbols and geometry tolerancing</w:t>
            </w:r>
          </w:p>
          <w:p w:rsidR="00000000" w:rsidRPr="00A316EC" w:rsidP="00A316EC">
            <w:pPr>
              <w:pStyle w:val="ListBullet2"/>
            </w:pPr>
            <w:r w:rsidRPr="00A316EC">
              <w:t>surface texture</w:t>
            </w:r>
          </w:p>
          <w:p w:rsidR="00000000" w:rsidRPr="00A316EC" w:rsidP="00A316EC">
            <w:pPr>
              <w:pStyle w:val="ListBullet2"/>
            </w:pPr>
            <w:r w:rsidRPr="00A316EC">
              <w:t>material specifications and metal surface treatment</w:t>
            </w:r>
          </w:p>
          <w:p w:rsidR="00000000" w:rsidRPr="00A316EC" w:rsidP="00A316EC">
            <w:pPr>
              <w:pStyle w:val="ListBullet"/>
            </w:pPr>
            <w:r w:rsidRPr="00A316EC">
              <w:t>reading of electrical and electronic circuits and wiring diagrams</w:t>
            </w:r>
          </w:p>
          <w:p w:rsidR="00000000" w:rsidRPr="00A316EC" w:rsidP="00A316EC">
            <w:pPr>
              <w:pStyle w:val="ListBullet"/>
            </w:pPr>
            <w:r w:rsidRPr="00A316EC">
              <w:t>development of system schematics</w:t>
            </w:r>
          </w:p>
          <w:p w:rsidR="00000000" w:rsidRPr="00A316EC" w:rsidP="00A316EC">
            <w:pPr>
              <w:pStyle w:val="ListBullet"/>
            </w:pPr>
            <w:r w:rsidRPr="00A316EC">
              <w:t>development of block diagrams</w:t>
            </w:r>
          </w:p>
          <w:p w:rsidR="00000000" w:rsidRPr="00A316EC" w:rsidP="00A316EC">
            <w:pPr>
              <w:pStyle w:val="ListBullet"/>
            </w:pPr>
            <w:r w:rsidRPr="00A316EC">
              <w:t>sketching</w:t>
            </w:r>
          </w:p>
          <w:p w:rsidR="00000000" w:rsidRPr="00A316EC" w:rsidP="00A316EC">
            <w:pPr>
              <w:pStyle w:val="ListBullet"/>
            </w:pPr>
            <w:r w:rsidRPr="00A316EC">
              <w:t>use and development of logic charts</w:t>
            </w:r>
          </w:p>
          <w:p w:rsidR="00000000" w:rsidRPr="00A316EC" w:rsidP="00A316EC">
            <w:pPr>
              <w:pStyle w:val="ListBullet"/>
            </w:pPr>
            <w:r w:rsidRPr="00A316EC">
              <w:t>development of fault diagnosis guides</w:t>
            </w:r>
          </w:p>
          <w:p w:rsidR="00000000" w:rsidRPr="00A316EC" w:rsidP="00A316EC">
            <w:pPr>
              <w:pStyle w:val="ListBullet"/>
            </w:pPr>
            <w:r w:rsidRPr="00A316EC">
              <w:t>the preparation of illustrators' briefs</w:t>
            </w:r>
          </w:p>
          <w:p w:rsidR="00000000" w:rsidRPr="00A316EC" w:rsidP="00A316EC">
            <w:pPr>
              <w:pStyle w:val="ListBullet"/>
            </w:pPr>
            <w:r w:rsidRPr="00A316EC">
              <w:t>the preparation of indexes to publication contents</w:t>
            </w:r>
          </w:p>
          <w:p w:rsidR="00000000" w:rsidRPr="00A316EC" w:rsidP="00A316EC">
            <w:pPr>
              <w:pStyle w:val="ListBullet"/>
            </w:pPr>
            <w:r w:rsidRPr="00A316EC">
              <w:t>problem solving methodology</w:t>
            </w:r>
          </w:p>
          <w:p w:rsidR="00000000" w:rsidRPr="00A316EC" w:rsidP="00A316EC">
            <w:pPr>
              <w:pStyle w:val="ListBullet"/>
            </w:pPr>
            <w:r w:rsidRPr="00A316EC">
              <w:t>regulations relating to technical publications</w:t>
            </w:r>
          </w:p>
          <w:p w:rsidR="00000000" w:rsidRPr="00A316EC" w:rsidP="00A316EC">
            <w:pPr>
              <w:pStyle w:val="ListBullet"/>
            </w:pPr>
            <w:r w:rsidRPr="00A316EC">
              <w:t>OHS legislation</w:t>
            </w:r>
          </w:p>
          <w:p w:rsidR="00000000" w:rsidRPr="00A316EC" w:rsidP="00A316EC">
            <w:pPr>
              <w:pStyle w:val="ListBullet"/>
            </w:pPr>
            <w:r w:rsidRPr="00A316EC">
              <w:t>for print-based publications, procedures for processing drafts through DTP to printing, binding and distribution</w:t>
            </w:r>
          </w:p>
          <w:p w:rsidR="00000000" w:rsidRPr="00A316EC" w:rsidP="00A316EC">
            <w:pPr>
              <w:pStyle w:val="ListBullet"/>
            </w:pPr>
            <w:r w:rsidRPr="00A316EC">
              <w:t>f</w:t>
            </w:r>
            <w:r w:rsidRPr="00A316EC">
              <w:t>or electronic format publications, the principles for publication database systems and the development of input data</w:t>
            </w:r>
          </w:p>
          <w:p w:rsidR="00000000" w:rsidRPr="00A316EC" w:rsidP="00A316EC">
            <w:pPr>
              <w:pStyle w:val="ListBullet"/>
            </w:pPr>
            <w:r w:rsidRPr="00A316EC">
              <w:t>requirements for, and methods of, maintaining publication records</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10" w:name="O_398701"/>
      <w:bookmarkEnd w:id="10"/>
      <w:r w:rsidRPr="00A316EC">
        <w:t>Evidence Guide</w:t>
      </w:r>
    </w:p>
    <w:tbl>
      <w:tblPr>
        <w:tblW w:w="9570" w:type="dxa"/>
        <w:tblLayout w:type="fixed"/>
        <w:tblCellMar>
          <w:left w:w="62" w:type="dxa"/>
          <w:right w:w="62" w:type="dxa"/>
        </w:tblCellMar>
        <w:tblLook w:val="0000"/>
      </w:tblPr>
      <w:tblGrid>
        <w:gridCol w:w="3908"/>
        <w:gridCol w:w="5662"/>
      </w:tblGrid>
      <w:tr w:rsidTr="00830A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t>The Evidence Guide provides advice on a</w:t>
            </w:r>
            <w:r w:rsidRPr="00A316EC">
              <w:t>ssessment and must be read in conjunction with the performance criteria, required skills and knowledge, range statement and the Assessment Guidelines for the Training Package.</w:t>
            </w:r>
          </w:p>
        </w:tc>
      </w:tr>
      <w:tr w:rsidTr="00830A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t>A person who demonstrates competency in this unit must be able to research, draft and process technical publications and amendments thereto.</w:t>
            </w:r>
          </w:p>
        </w:tc>
      </w:tr>
      <w:tr w:rsidTr="00830A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Assessors must be sat</w:t>
            </w:r>
            <w:r w:rsidRPr="00A316EC">
              <w:t>isfied that the candidate can competently and consistently perform all elements of the unit as specified by the criteria, including required knowledge, and be capable of applying the competency in new and different situations and contexts.</w:t>
            </w:r>
          </w:p>
          <w:p w:rsidR="00000000" w:rsidP="00A316EC">
            <w:pPr>
              <w:pStyle w:val="BodyText"/>
              <w:rPr>
                <w:lang w:val="en-NZ"/>
              </w:rPr>
            </w:pPr>
            <w:r w:rsidRPr="00A316EC">
              <w:t>Assessors should</w:t>
            </w:r>
            <w:r w:rsidRPr="00A316EC">
              <w:t xml:space="preserve"> gather a range of evidence that is valid, sufficient, current and authentic. Evidence can be gathered through a variety of ways, including direct observation, supervisor's reports, project work, samples and questioning. Questioning techniques should not r</w:t>
            </w:r>
            <w:r w:rsidRPr="00A316EC">
              <w:t>equire language, literacy and numeracy skills beyond those required in this unit of competency.</w:t>
            </w:r>
          </w:p>
        </w:tc>
      </w:tr>
      <w:tr w:rsidTr="00830A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t>This unit may be assessed on the job, off the job or a combination of both on and off the job. Where assessmen</w:t>
            </w:r>
            <w:r w:rsidRPr="00A316EC">
              <w:t>t occurs off the job, that is, the candidate is not in productive work, then an appropriate simulation must be used where the range of conditions reflects realistic workplace situations. The candidate must have access to all tools, equipment, materials and</w:t>
            </w:r>
            <w:r w:rsidRPr="00A316EC">
              <w:t xml:space="preserve"> documentation required and must be permitted to refer to any relevant workplace procedures, product and manufacturing specifications, codes, standards, manuals and reference materials. The assessment environment should not disadvantage the candidate.</w:t>
            </w:r>
          </w:p>
        </w:tc>
      </w:tr>
      <w:tr w:rsidTr="00830A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Met</w:t>
            </w:r>
            <w:r w:rsidRPr="00A316EC">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p>
        </w:tc>
      </w:tr>
      <w:tr w:rsidTr="00830A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11" w:name="O_398691"/>
      <w:bookmarkEnd w:id="11"/>
      <w:r w:rsidRPr="00A316EC">
        <w:t>Range Statement</w:t>
      </w:r>
    </w:p>
    <w:tbl>
      <w:tblPr>
        <w:tblW w:w="9540" w:type="dxa"/>
        <w:tblLayout w:type="fixed"/>
        <w:tblCellMar>
          <w:left w:w="62" w:type="dxa"/>
          <w:right w:w="62" w:type="dxa"/>
        </w:tblCellMar>
        <w:tblLook w:val="0000"/>
      </w:tblPr>
      <w:tblGrid>
        <w:gridCol w:w="3482"/>
        <w:gridCol w:w="6058"/>
      </w:tblGrid>
      <w:tr w:rsidTr="00830A77">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t xml:space="preserve">The range statement relates to the unit of competency as a whole. It allows for different work environments and situations that may affect </w:t>
            </w:r>
            <w:r w:rsidRPr="00A316EC">
              <w:t>performance. Bold italicised wording, if used in the performance criteria, is detailed below. Essential operating conditions that may be present with training and assessment (depending on the work situation, needs of the candidate, accessibility of the ite</w:t>
            </w:r>
            <w:r w:rsidRPr="00A316EC">
              <w:t>m, and local industry and regional contexts) may also be included.</w:t>
            </w:r>
          </w:p>
        </w:tc>
      </w:tr>
      <w:tr w:rsidTr="00830A77">
        <w:tblPrEx>
          <w:tblW w:w="954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Application</w:t>
            </w:r>
            <w:r w:rsidRPr="00A316EC">
              <w:t xml:space="preserve"> </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Application of this unit may relate to:</w:t>
            </w:r>
          </w:p>
          <w:p w:rsidR="00000000" w:rsidRPr="00A316EC" w:rsidP="00A316EC">
            <w:pPr>
              <w:pStyle w:val="ListBullet"/>
            </w:pPr>
            <w:r w:rsidRPr="00A316EC">
              <w:t>scheduled or unscheduled maintenance</w:t>
            </w:r>
          </w:p>
          <w:p w:rsidR="00000000" w:rsidP="00A316EC">
            <w:pPr>
              <w:pStyle w:val="ListBullet"/>
              <w:rPr>
                <w:lang w:val="en-NZ"/>
              </w:rPr>
            </w:pPr>
            <w:r w:rsidRPr="00A316EC">
              <w:t>individual or team-related activities</w:t>
            </w:r>
          </w:p>
        </w:tc>
      </w:tr>
      <w:tr w:rsidTr="00830A77">
        <w:tblPrEx>
          <w:tblW w:w="954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The required medium</w:t>
            </w:r>
            <w:r w:rsidRPr="00A316EC">
              <w:t xml:space="preserve"> </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The required medium may be:</w:t>
            </w:r>
          </w:p>
          <w:p w:rsidR="00000000" w:rsidRPr="00A316EC" w:rsidP="00A316EC">
            <w:pPr>
              <w:pStyle w:val="ListBullet"/>
            </w:pPr>
            <w:r w:rsidRPr="00A316EC">
              <w:t>print-based</w:t>
            </w:r>
          </w:p>
          <w:p w:rsidR="00000000" w:rsidRPr="00A316EC" w:rsidP="00A316EC">
            <w:pPr>
              <w:pStyle w:val="ListBullet"/>
            </w:pPr>
            <w:r w:rsidRPr="00A316EC">
              <w:t>electronic</w:t>
            </w:r>
          </w:p>
          <w:p w:rsidR="00000000" w:rsidP="00A316EC">
            <w:pPr>
              <w:pStyle w:val="ListBullet"/>
              <w:rPr>
                <w:lang w:val="en-NZ"/>
              </w:rPr>
            </w:pPr>
            <w:r w:rsidRPr="00A316EC">
              <w:t>microfiche</w:t>
            </w:r>
          </w:p>
        </w:tc>
      </w:tr>
      <w:tr w:rsidTr="00830A77">
        <w:tblPrEx>
          <w:tblW w:w="954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Style and layout</w:t>
            </w:r>
            <w:r w:rsidRPr="00A316EC">
              <w:t xml:space="preserve"> </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Style and layout may be determined from:</w:t>
            </w:r>
          </w:p>
          <w:p w:rsidR="00000000" w:rsidRPr="00A316EC" w:rsidP="00A316EC">
            <w:pPr>
              <w:pStyle w:val="ListBullet"/>
            </w:pPr>
            <w:r w:rsidRPr="00A316EC">
              <w:t>an applicable style guide</w:t>
            </w:r>
          </w:p>
          <w:p w:rsidR="00000000" w:rsidRPr="00A316EC" w:rsidP="00A316EC">
            <w:pPr>
              <w:pStyle w:val="ListBullet"/>
            </w:pPr>
            <w:r w:rsidRPr="00A316EC">
              <w:t>contract requirements</w:t>
            </w:r>
          </w:p>
          <w:p w:rsidR="00000000" w:rsidP="00A316EC">
            <w:pPr>
              <w:pStyle w:val="ListBullet"/>
              <w:rPr>
                <w:lang w:val="en-NZ"/>
              </w:rPr>
            </w:pPr>
            <w:r w:rsidRPr="00A316EC">
              <w:t>industry standards and specifications</w:t>
            </w:r>
          </w:p>
        </w:tc>
      </w:tr>
      <w:tr w:rsidTr="00830A77">
        <w:tblPrEx>
          <w:tblW w:w="954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Relevant data sources</w:t>
            </w:r>
            <w:r w:rsidRPr="00A316EC">
              <w:t xml:space="preserve"> </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Relevant data sources may include:</w:t>
            </w:r>
          </w:p>
          <w:p w:rsidR="00000000" w:rsidRPr="00A316EC" w:rsidP="00A316EC">
            <w:pPr>
              <w:pStyle w:val="ListBullet"/>
            </w:pPr>
            <w:r w:rsidRPr="00A316EC">
              <w:t>design and prod</w:t>
            </w:r>
            <w:r w:rsidRPr="00A316EC">
              <w:t>uction data and drawings</w:t>
            </w:r>
          </w:p>
          <w:p w:rsidR="00000000" w:rsidRPr="00A316EC" w:rsidP="00A316EC">
            <w:pPr>
              <w:pStyle w:val="ListBullet"/>
            </w:pPr>
            <w:r w:rsidRPr="00A316EC">
              <w:t>parts and materials listings</w:t>
            </w:r>
          </w:p>
          <w:p w:rsidR="00000000" w:rsidRPr="00A316EC" w:rsidP="00A316EC">
            <w:pPr>
              <w:pStyle w:val="ListBullet"/>
            </w:pPr>
            <w:r w:rsidRPr="00A316EC">
              <w:t>operating procedure documentation</w:t>
            </w:r>
          </w:p>
          <w:p w:rsidR="00000000" w:rsidRPr="00A316EC" w:rsidP="00A316EC">
            <w:pPr>
              <w:pStyle w:val="ListBullet"/>
            </w:pPr>
            <w:r w:rsidRPr="00A316EC">
              <w:t>maintenance schedules</w:t>
            </w:r>
          </w:p>
          <w:p w:rsidR="00000000" w:rsidRPr="00A316EC" w:rsidP="00A316EC">
            <w:pPr>
              <w:pStyle w:val="ListBullet"/>
            </w:pPr>
            <w:r w:rsidRPr="00A316EC">
              <w:t>modification instructions and service bulletins</w:t>
            </w:r>
          </w:p>
          <w:p w:rsidR="00000000" w:rsidRPr="00A316EC" w:rsidP="00A316EC">
            <w:pPr>
              <w:pStyle w:val="ListBullet"/>
            </w:pPr>
            <w:r w:rsidRPr="00A316EC">
              <w:t>manufacturer's and trade catalogues</w:t>
            </w:r>
          </w:p>
          <w:p w:rsidR="00000000" w:rsidP="00A316EC">
            <w:pPr>
              <w:pStyle w:val="ListBullet"/>
              <w:rPr>
                <w:lang w:val="en-NZ"/>
              </w:rPr>
            </w:pPr>
            <w:r w:rsidRPr="00A316EC">
              <w:t>relevant legislation and regulations</w:t>
            </w:r>
          </w:p>
        </w:tc>
      </w:tr>
      <w:tr w:rsidTr="00830A77">
        <w:tblPrEx>
          <w:tblW w:w="954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C">
            <w:pPr>
              <w:pStyle w:val="BodyText"/>
              <w:rPr>
                <w:lang w:val="en-NZ"/>
              </w:rPr>
            </w:pPr>
            <w:r w:rsidRPr="00A316EC">
              <w:rPr>
                <w:rStyle w:val="SpecialBold"/>
              </w:rPr>
              <w:t>Relevant experts</w:t>
            </w:r>
            <w:r w:rsidRPr="00A316EC">
              <w:t xml:space="preserve"> </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C" w:rsidP="00A316EC">
            <w:pPr>
              <w:pStyle w:val="BodyText"/>
            </w:pPr>
            <w:r w:rsidRPr="00A316EC">
              <w:t>Relevant experts may include:</w:t>
            </w:r>
          </w:p>
          <w:p w:rsidR="00000000" w:rsidRPr="00A316EC" w:rsidP="00A316EC">
            <w:pPr>
              <w:pStyle w:val="ListBullet"/>
            </w:pPr>
            <w:r w:rsidRPr="00A316EC">
              <w:t>the client</w:t>
            </w:r>
          </w:p>
          <w:p w:rsidR="00000000" w:rsidRPr="00A316EC" w:rsidP="00A316EC">
            <w:pPr>
              <w:pStyle w:val="ListBullet"/>
            </w:pPr>
            <w:r w:rsidRPr="00A316EC">
              <w:t>design engineers and staff</w:t>
            </w:r>
          </w:p>
          <w:p w:rsidR="00000000" w:rsidRPr="00A316EC" w:rsidP="00A316EC">
            <w:pPr>
              <w:pStyle w:val="ListBullet"/>
            </w:pPr>
            <w:r w:rsidRPr="00A316EC">
              <w:t>production staff</w:t>
            </w:r>
          </w:p>
          <w:p w:rsidR="00000000" w:rsidRPr="00A316EC" w:rsidP="00A316EC">
            <w:pPr>
              <w:pStyle w:val="ListBullet"/>
            </w:pPr>
            <w:r w:rsidRPr="00A316EC">
              <w:t>component and material suppliers</w:t>
            </w:r>
          </w:p>
          <w:p w:rsidR="00000000" w:rsidRPr="00A316EC" w:rsidP="00A316EC">
            <w:pPr>
              <w:pStyle w:val="ListBullet"/>
            </w:pPr>
            <w:r w:rsidRPr="00A316EC">
              <w:t>regulator representatives</w:t>
            </w:r>
          </w:p>
        </w:tc>
      </w:tr>
    </w:tbl>
    <w:p w:rsidR="00000000" w:rsidRPr="00A316EC" w:rsidP="00A316EC">
      <w:pPr>
        <w:pStyle w:val="BodyText"/>
      </w:pPr>
    </w:p>
    <w:p w:rsidR="00000000" w:rsidRPr="00A316EC" w:rsidP="00A316EC">
      <w:pPr>
        <w:pStyle w:val="AllowPageBreak"/>
      </w:pPr>
    </w:p>
    <w:p w:rsidR="00000000" w:rsidRPr="00A316EC" w:rsidP="00A316EC">
      <w:pPr>
        <w:pStyle w:val="Heading1"/>
      </w:pPr>
      <w:bookmarkStart w:id="12" w:name="O_398682"/>
      <w:bookmarkEnd w:id="12"/>
      <w:r w:rsidRPr="00A316EC">
        <w:t>Unit Sector(s)</w:t>
      </w:r>
    </w:p>
    <w:p w:rsidR="00000000" w:rsidRPr="00A316EC" w:rsidP="00A316EC">
      <w:pPr>
        <w:pStyle w:val="BodyText"/>
      </w:pPr>
      <w:r w:rsidRPr="00A316EC">
        <w:t>Integrated logistics support</w:t>
      </w:r>
    </w:p>
    <w:p w:rsidR="00000000" w:rsidRPr="00A316EC" w:rsidP="00A316EC">
      <w:pPr>
        <w:pStyle w:val="AllowPageBreak"/>
      </w:pPr>
    </w:p>
    <w:p w:rsidR="00000000" w:rsidRPr="00A316EC" w:rsidP="00A316EC">
      <w:pPr>
        <w:pStyle w:val="Heading1"/>
      </w:pPr>
      <w:bookmarkStart w:id="13" w:name="O_398706"/>
      <w:bookmarkEnd w:id="13"/>
      <w:r w:rsidRPr="00A316EC">
        <w:t>Competency field</w:t>
      </w:r>
    </w:p>
    <w:p w:rsidR="00000000" w:rsidRPr="00A316EC" w:rsidP="00A316EC">
      <w:pPr>
        <w:pStyle w:val="Heading1"/>
      </w:pPr>
      <w:bookmarkStart w:id="14" w:name="O_398705"/>
      <w:bookmarkEnd w:id="14"/>
      <w:r w:rsidRPr="00A316EC">
        <w:t>Co-requisite units</w:t>
      </w:r>
    </w:p>
    <w:p w:rsidR="00000000" w:rsidRPr="00A316EC" w:rsidP="00A316EC">
      <w:pPr>
        <w:pStyle w:val="BodyText"/>
      </w:pPr>
      <w:r w:rsidRPr="00A316EC">
        <w:t>Not applicable</w:t>
      </w:r>
    </w:p>
    <w:p w:rsidR="00000000" w:rsidRPr="00A316EC" w:rsidP="00A316EC"/>
    <w:sectPr w:rsidSect="00A31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A77" w:rsidP="00830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77" w:rsidP="00A31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0A77" w:rsidP="00A316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0A77" w:rsidP="00A316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A77" w:rsidP="00830A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77" w:rsidP="00A316EC">
    <w:pPr>
      <w:pStyle w:val="Header"/>
      <w:framePr w:wrap="around"/>
    </w:pPr>
    <w:r>
      <w:fldChar w:fldCharType="begin"/>
    </w:r>
    <w:r>
      <w:instrText xml:space="preserve"> TITLE   \* MERGEFORMAT </w:instrText>
    </w:r>
    <w:r>
      <w:fldChar w:fldCharType="separate"/>
    </w:r>
    <w:r>
      <w:t>MEA137A Write aviation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A77" w:rsidP="00A316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04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46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CC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6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6EC"/>
    <w:pPr>
      <w:spacing w:before="360" w:after="60"/>
      <w:outlineLvl w:val="0"/>
    </w:pPr>
    <w:rPr>
      <w:sz w:val="32"/>
    </w:rPr>
  </w:style>
  <w:style w:type="paragraph" w:styleId="Heading2">
    <w:name w:val="heading 2"/>
    <w:basedOn w:val="HeadingBase"/>
    <w:next w:val="BodyText"/>
    <w:link w:val="Heading2Char"/>
    <w:qFormat/>
    <w:rsid w:val="00A316EC"/>
    <w:pPr>
      <w:keepLines/>
      <w:spacing w:before="240" w:after="120"/>
      <w:outlineLvl w:val="1"/>
    </w:pPr>
    <w:rPr>
      <w:sz w:val="28"/>
      <w:szCs w:val="40"/>
    </w:rPr>
  </w:style>
  <w:style w:type="paragraph" w:styleId="Heading3">
    <w:name w:val="heading 3"/>
    <w:basedOn w:val="HeadingBase"/>
    <w:next w:val="BodyText"/>
    <w:link w:val="Heading3Char"/>
    <w:qFormat/>
    <w:rsid w:val="00A316EC"/>
    <w:pPr>
      <w:spacing w:before="180" w:after="120"/>
      <w:outlineLvl w:val="2"/>
    </w:pPr>
    <w:rPr>
      <w:spacing w:val="-10"/>
      <w:kern w:val="32"/>
    </w:rPr>
  </w:style>
  <w:style w:type="paragraph" w:styleId="Heading4">
    <w:name w:val="heading 4"/>
    <w:basedOn w:val="HeadingBase"/>
    <w:next w:val="BodyText"/>
    <w:link w:val="Heading4Char"/>
    <w:qFormat/>
    <w:rsid w:val="00A316EC"/>
    <w:pPr>
      <w:spacing w:before="160" w:after="120"/>
      <w:outlineLvl w:val="3"/>
    </w:pPr>
    <w:rPr>
      <w:sz w:val="22"/>
    </w:rPr>
  </w:style>
  <w:style w:type="paragraph" w:styleId="Heading5">
    <w:name w:val="heading 5"/>
    <w:basedOn w:val="HeadingBase"/>
    <w:next w:val="Normal"/>
    <w:link w:val="Heading5Char"/>
    <w:qFormat/>
    <w:rsid w:val="00A316EC"/>
    <w:pPr>
      <w:spacing w:before="80"/>
      <w:outlineLvl w:val="4"/>
    </w:pPr>
    <w:rPr>
      <w:color w:val="918585"/>
      <w:sz w:val="20"/>
    </w:rPr>
  </w:style>
  <w:style w:type="paragraph" w:styleId="Heading6">
    <w:name w:val="heading 6"/>
    <w:basedOn w:val="HeadingBase"/>
    <w:next w:val="Normal"/>
    <w:link w:val="Heading6Char"/>
    <w:qFormat/>
    <w:rsid w:val="00A316EC"/>
    <w:pPr>
      <w:spacing w:before="60"/>
      <w:outlineLvl w:val="5"/>
    </w:pPr>
    <w:rPr>
      <w:color w:val="918585"/>
      <w:sz w:val="20"/>
    </w:rPr>
  </w:style>
  <w:style w:type="paragraph" w:styleId="Heading7">
    <w:name w:val="heading 7"/>
    <w:basedOn w:val="Normal"/>
    <w:next w:val="Normal"/>
    <w:link w:val="Heading7Char"/>
    <w:qFormat/>
    <w:rsid w:val="00A316EC"/>
    <w:pPr>
      <w:ind w:left="720"/>
      <w:outlineLvl w:val="6"/>
    </w:pPr>
    <w:rPr>
      <w:i/>
    </w:rPr>
  </w:style>
  <w:style w:type="paragraph" w:styleId="Heading8">
    <w:name w:val="heading 8"/>
    <w:basedOn w:val="Normal"/>
    <w:next w:val="Normal"/>
    <w:link w:val="Heading8Char"/>
    <w:qFormat/>
    <w:rsid w:val="00A316EC"/>
    <w:pPr>
      <w:ind w:left="720"/>
      <w:outlineLvl w:val="7"/>
    </w:pPr>
    <w:rPr>
      <w:i/>
    </w:rPr>
  </w:style>
  <w:style w:type="paragraph" w:styleId="Heading9">
    <w:name w:val="heading 9"/>
    <w:basedOn w:val="Normal"/>
    <w:next w:val="Normal"/>
    <w:link w:val="Heading9Char"/>
    <w:qFormat/>
    <w:rsid w:val="00A316EC"/>
    <w:pPr>
      <w:ind w:left="720"/>
      <w:outlineLvl w:val="8"/>
    </w:pPr>
    <w:rPr>
      <w:i/>
    </w:rPr>
  </w:style>
  <w:style w:type="character" w:default="1" w:styleId="DefaultParagraphFont">
    <w:name w:val="Default Paragraph Font"/>
    <w:uiPriority w:val="1"/>
    <w:unhideWhenUsed/>
    <w:rsid w:val="00A31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6EC"/>
  </w:style>
  <w:style w:type="character" w:customStyle="1" w:styleId="Heading1Char">
    <w:name w:val="Heading 1 Char"/>
    <w:basedOn w:val="DefaultParagraphFont"/>
    <w:link w:val="Heading1"/>
    <w:rsid w:val="00A316EC"/>
    <w:rPr>
      <w:rFonts w:ascii="Times New Roman" w:eastAsia="Times New Roman" w:hAnsi="Times New Roman" w:cs="Times New Roman"/>
      <w:b/>
      <w:sz w:val="32"/>
      <w:szCs w:val="20"/>
      <w:lang w:eastAsia="en-US"/>
    </w:rPr>
  </w:style>
  <w:style w:type="paragraph" w:styleId="BodyText">
    <w:name w:val="Body Text"/>
    <w:basedOn w:val="Normal"/>
    <w:link w:val="BodyTextChar"/>
    <w:rsid w:val="00A31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6EC"/>
    <w:rPr>
      <w:rFonts w:ascii="Times New Roman" w:eastAsia="Times New Roman" w:hAnsi="Times New Roman" w:cs="Times New Roman"/>
      <w:sz w:val="24"/>
      <w:lang w:val="en-US" w:eastAsia="en-US"/>
    </w:rPr>
  </w:style>
  <w:style w:type="paragraph" w:styleId="Footer">
    <w:name w:val="footer"/>
    <w:basedOn w:val="Normal"/>
    <w:link w:val="FooterChar"/>
    <w:rsid w:val="00A31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6EC"/>
    <w:rPr>
      <w:rFonts w:ascii="Times New Roman" w:eastAsia="Times New Roman" w:hAnsi="Times New Roman" w:cs="Times New Roman"/>
      <w:sz w:val="16"/>
      <w:lang w:val="en-US" w:eastAsia="en-US"/>
    </w:rPr>
  </w:style>
  <w:style w:type="paragraph" w:styleId="List">
    <w:name w:val="List"/>
    <w:basedOn w:val="BodyText"/>
    <w:next w:val="BodyText"/>
    <w:rsid w:val="00A316EC"/>
    <w:pPr>
      <w:tabs>
        <w:tab w:val="left" w:pos="340"/>
      </w:tabs>
      <w:spacing w:before="60" w:after="60"/>
      <w:ind w:left="340" w:hanging="340"/>
    </w:pPr>
  </w:style>
  <w:style w:type="paragraph" w:styleId="ListBullet">
    <w:name w:val="List Bullet"/>
    <w:basedOn w:val="List"/>
    <w:rsid w:val="00A316EC"/>
    <w:pPr>
      <w:numPr>
        <w:numId w:val="13"/>
      </w:numPr>
      <w:tabs>
        <w:tab w:val="clear" w:pos="340"/>
      </w:tabs>
      <w:spacing w:before="40" w:after="40"/>
    </w:pPr>
  </w:style>
  <w:style w:type="character" w:customStyle="1" w:styleId="SpecialBold">
    <w:name w:val="Special Bold"/>
    <w:basedOn w:val="DefaultParagraphFont"/>
    <w:rsid w:val="00A316EC"/>
    <w:rPr>
      <w:b/>
      <w:spacing w:val="0"/>
    </w:rPr>
  </w:style>
  <w:style w:type="paragraph" w:styleId="ListBullet2">
    <w:name w:val="List Bullet 2"/>
    <w:basedOn w:val="List2"/>
    <w:rsid w:val="00A316EC"/>
    <w:pPr>
      <w:numPr>
        <w:numId w:val="14"/>
      </w:numPr>
      <w:tabs>
        <w:tab w:val="clear" w:pos="680"/>
      </w:tabs>
    </w:pPr>
  </w:style>
  <w:style w:type="paragraph" w:styleId="Header">
    <w:name w:val="header"/>
    <w:basedOn w:val="Normal"/>
    <w:link w:val="HeaderChar"/>
    <w:rsid w:val="00A31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6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6EC"/>
    <w:pPr>
      <w:spacing w:before="240" w:after="120"/>
      <w:outlineLvl w:val="0"/>
    </w:pPr>
    <w:rPr>
      <w:rFonts w:ascii="Times New Roman" w:hAnsi="Times New Roman"/>
      <w:b/>
      <w:sz w:val="28"/>
    </w:rPr>
  </w:style>
  <w:style w:type="paragraph" w:customStyle="1" w:styleId="AllowPageBreak">
    <w:name w:val="AllowPageBreak"/>
    <w:rsid w:val="00A316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6EC"/>
    <w:pPr>
      <w:tabs>
        <w:tab w:val="left" w:pos="680"/>
      </w:tabs>
      <w:spacing w:before="60" w:after="60"/>
      <w:ind w:left="680" w:hanging="340"/>
    </w:pPr>
  </w:style>
  <w:style w:type="character" w:customStyle="1" w:styleId="BoldandItalics">
    <w:name w:val="Bold and Italics"/>
    <w:qFormat/>
    <w:rsid w:val="00A316EC"/>
    <w:rPr>
      <w:b/>
      <w:i/>
      <w:u w:val="none"/>
    </w:rPr>
  </w:style>
  <w:style w:type="character" w:customStyle="1" w:styleId="Heading2Char">
    <w:name w:val="Heading 2 Char"/>
    <w:basedOn w:val="DefaultParagraphFont"/>
    <w:link w:val="Heading2"/>
    <w:rsid w:val="00A31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6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6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6EC"/>
    <w:rPr>
      <w:rFonts w:ascii="Courier New" w:eastAsia="Times New Roman" w:hAnsi="Courier New" w:cs="Times New Roman"/>
      <w:i/>
      <w:szCs w:val="20"/>
      <w:lang w:val="en-US" w:eastAsia="en-US"/>
    </w:rPr>
  </w:style>
  <w:style w:type="paragraph" w:customStyle="1" w:styleId="HeadingBase">
    <w:name w:val="Heading Base"/>
    <w:rsid w:val="00A31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6EC"/>
    <w:pPr>
      <w:tabs>
        <w:tab w:val="right" w:leader="dot" w:pos="9072"/>
      </w:tabs>
      <w:ind w:left="567"/>
    </w:pPr>
    <w:rPr>
      <w:szCs w:val="22"/>
    </w:rPr>
  </w:style>
  <w:style w:type="paragraph" w:customStyle="1" w:styleId="TOCBase">
    <w:name w:val="TOC Base"/>
    <w:rsid w:val="00A31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6EC"/>
    <w:pPr>
      <w:tabs>
        <w:tab w:val="right" w:leader="dot" w:pos="9072"/>
      </w:tabs>
      <w:spacing w:before="40" w:after="40"/>
      <w:ind w:left="284"/>
    </w:pPr>
    <w:rPr>
      <w:rFonts w:ascii="Times New Roman" w:hAnsi="Times New Roman"/>
    </w:rPr>
  </w:style>
  <w:style w:type="paragraph" w:styleId="TOC1">
    <w:name w:val="toc 1"/>
    <w:basedOn w:val="TOCBase"/>
    <w:next w:val="Normal"/>
    <w:rsid w:val="00A316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6EC"/>
    <w:pPr>
      <w:spacing w:before="5040"/>
      <w:jc w:val="center"/>
    </w:pPr>
    <w:rPr>
      <w:sz w:val="48"/>
      <w:szCs w:val="72"/>
      <w:lang w:val="en-US"/>
    </w:rPr>
  </w:style>
  <w:style w:type="character" w:customStyle="1" w:styleId="TitleChar">
    <w:name w:val="Title Char"/>
    <w:basedOn w:val="DefaultParagraphFont"/>
    <w:link w:val="Title"/>
    <w:rsid w:val="00A31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6EC"/>
    <w:pPr>
      <w:tabs>
        <w:tab w:val="left" w:pos="3600"/>
        <w:tab w:val="left" w:pos="3958"/>
      </w:tabs>
    </w:pPr>
  </w:style>
  <w:style w:type="paragraph" w:customStyle="1" w:styleId="Note">
    <w:name w:val="Note"/>
    <w:basedOn w:val="BodyText"/>
    <w:rsid w:val="00A31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6EC"/>
    <w:pPr>
      <w:framePr w:wrap="auto" w:hAnchor="text" w:y="6049"/>
    </w:pPr>
    <w:rPr>
      <w:color w:val="000000"/>
      <w:sz w:val="40"/>
    </w:rPr>
  </w:style>
  <w:style w:type="paragraph" w:customStyle="1" w:styleId="TOCTitle">
    <w:name w:val="TOCTitle"/>
    <w:basedOn w:val="Heading1"/>
    <w:rsid w:val="00A316EC"/>
    <w:pPr>
      <w:spacing w:after="240"/>
      <w:jc w:val="center"/>
      <w:outlineLvl w:val="9"/>
    </w:pPr>
    <w:rPr>
      <w:caps/>
    </w:rPr>
  </w:style>
  <w:style w:type="paragraph" w:customStyle="1" w:styleId="Version">
    <w:name w:val="Version"/>
    <w:rsid w:val="00A31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6EC"/>
    <w:pPr>
      <w:keepNext w:val="0"/>
      <w:tabs>
        <w:tab w:val="right" w:pos="4176"/>
      </w:tabs>
      <w:ind w:left="198" w:hanging="198"/>
    </w:pPr>
    <w:rPr>
      <w:rFonts w:ascii="Garamond" w:hAnsi="Garamond"/>
    </w:rPr>
  </w:style>
  <w:style w:type="paragraph" w:styleId="IndexHeading">
    <w:name w:val="index heading"/>
    <w:basedOn w:val="Normal"/>
    <w:next w:val="Index1"/>
    <w:semiHidden/>
    <w:rsid w:val="00A316EC"/>
    <w:pPr>
      <w:spacing w:before="120" w:after="120"/>
    </w:pPr>
    <w:rPr>
      <w:rFonts w:ascii="Arial" w:hAnsi="Arial"/>
      <w:b/>
      <w:color w:val="918585"/>
      <w:sz w:val="24"/>
    </w:rPr>
  </w:style>
  <w:style w:type="paragraph" w:customStyle="1" w:styleId="Chapter">
    <w:name w:val="Chapter"/>
    <w:basedOn w:val="Normal"/>
    <w:rsid w:val="00A316EC"/>
    <w:pPr>
      <w:spacing w:before="240"/>
    </w:pPr>
    <w:rPr>
      <w:rFonts w:ascii="Times New Roman" w:hAnsi="Times New Roman"/>
      <w:smallCaps/>
      <w:spacing w:val="80"/>
      <w:sz w:val="28"/>
    </w:rPr>
  </w:style>
  <w:style w:type="paragraph" w:customStyle="1" w:styleId="InChapter">
    <w:name w:val="InChapter"/>
    <w:basedOn w:val="Heading3"/>
    <w:rsid w:val="00A316EC"/>
    <w:pPr>
      <w:spacing w:after="240"/>
      <w:outlineLvl w:val="9"/>
    </w:pPr>
    <w:rPr>
      <w:noProof/>
    </w:rPr>
  </w:style>
  <w:style w:type="paragraph" w:styleId="Index2">
    <w:name w:val="index 2"/>
    <w:basedOn w:val="Normal"/>
    <w:next w:val="Normal"/>
    <w:semiHidden/>
    <w:rsid w:val="00A316EC"/>
    <w:pPr>
      <w:tabs>
        <w:tab w:val="right" w:pos="4176"/>
      </w:tabs>
      <w:ind w:left="568" w:hanging="284"/>
    </w:pPr>
    <w:rPr>
      <w:rFonts w:ascii="Garamond" w:hAnsi="Garamond"/>
    </w:rPr>
  </w:style>
  <w:style w:type="paragraph" w:customStyle="1" w:styleId="Byline">
    <w:name w:val="Byline"/>
    <w:rsid w:val="00A31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6EC"/>
    <w:pPr>
      <w:tabs>
        <w:tab w:val="clear" w:pos="3600"/>
        <w:tab w:val="clear" w:pos="3958"/>
      </w:tabs>
      <w:jc w:val="right"/>
    </w:pPr>
  </w:style>
  <w:style w:type="character" w:styleId="Emphasis">
    <w:name w:val="Emphasis"/>
    <w:basedOn w:val="DefaultParagraphFont"/>
    <w:qFormat/>
    <w:rsid w:val="00A316EC"/>
    <w:rPr>
      <w:i/>
    </w:rPr>
  </w:style>
  <w:style w:type="paragraph" w:styleId="Caption">
    <w:name w:val="caption"/>
    <w:basedOn w:val="BodyText"/>
    <w:next w:val="Normal"/>
    <w:qFormat/>
    <w:rsid w:val="00A316EC"/>
    <w:pPr>
      <w:framePr w:w="2268" w:hSpace="181" w:vSpace="181" w:wrap="around" w:vAnchor="text" w:hAnchor="page" w:x="1135" w:y="285" w:anchorLock="1"/>
    </w:pPr>
    <w:rPr>
      <w:i/>
    </w:rPr>
  </w:style>
  <w:style w:type="paragraph" w:customStyle="1" w:styleId="MiniTOCTitle">
    <w:name w:val="MiniTOCTitle"/>
    <w:basedOn w:val="Heading4"/>
    <w:rsid w:val="00A316EC"/>
    <w:pPr>
      <w:spacing w:before="240"/>
      <w:outlineLvl w:val="9"/>
    </w:pPr>
    <w:rPr>
      <w:noProof/>
      <w:sz w:val="24"/>
    </w:rPr>
  </w:style>
  <w:style w:type="paragraph" w:customStyle="1" w:styleId="MiniTOCItem">
    <w:name w:val="MiniTOCItem"/>
    <w:basedOn w:val="ListBullet"/>
    <w:rsid w:val="00A316EC"/>
    <w:pPr>
      <w:numPr>
        <w:numId w:val="0"/>
      </w:numPr>
      <w:tabs>
        <w:tab w:val="right" w:leader="dot" w:pos="6521"/>
      </w:tabs>
      <w:spacing w:before="0" w:after="0"/>
    </w:pPr>
  </w:style>
  <w:style w:type="paragraph" w:customStyle="1" w:styleId="TOFTitle">
    <w:name w:val="TOFTitle"/>
    <w:basedOn w:val="TOCTitle"/>
    <w:rsid w:val="00A316EC"/>
  </w:style>
  <w:style w:type="paragraph" w:styleId="TableofFigures">
    <w:name w:val="table of figures"/>
    <w:basedOn w:val="Normal"/>
    <w:next w:val="Normal"/>
    <w:semiHidden/>
    <w:rsid w:val="00A316EC"/>
    <w:pPr>
      <w:tabs>
        <w:tab w:val="right" w:leader="dot" w:pos="9072"/>
      </w:tabs>
      <w:ind w:left="970" w:hanging="403"/>
    </w:pPr>
    <w:rPr>
      <w:rFonts w:ascii="Times New Roman" w:hAnsi="Times New Roman"/>
      <w:b/>
    </w:rPr>
  </w:style>
  <w:style w:type="paragraph" w:styleId="ListNumber">
    <w:name w:val="List Number"/>
    <w:basedOn w:val="List"/>
    <w:rsid w:val="00A316EC"/>
    <w:pPr>
      <w:numPr>
        <w:numId w:val="11"/>
      </w:numPr>
    </w:pPr>
  </w:style>
  <w:style w:type="character" w:customStyle="1" w:styleId="WingdingSymbols">
    <w:name w:val="Wingding Symbols"/>
    <w:rsid w:val="00A316EC"/>
    <w:rPr>
      <w:rFonts w:ascii="Wingdings" w:hAnsi="Wingdings"/>
    </w:rPr>
  </w:style>
  <w:style w:type="paragraph" w:customStyle="1" w:styleId="TableHeading">
    <w:name w:val="Table Heading"/>
    <w:basedOn w:val="HeadingBase"/>
    <w:rsid w:val="00A316EC"/>
    <w:pPr>
      <w:keepLines/>
      <w:pBdr>
        <w:bottom w:val="single" w:sz="6" w:space="1" w:color="918585"/>
      </w:pBdr>
      <w:spacing w:before="240"/>
    </w:pPr>
  </w:style>
  <w:style w:type="character" w:customStyle="1" w:styleId="HotSpot">
    <w:name w:val="HotSpot"/>
    <w:rsid w:val="00A316EC"/>
    <w:rPr>
      <w:color w:val="0033CC"/>
      <w:u w:val="none"/>
    </w:rPr>
  </w:style>
  <w:style w:type="paragraph" w:customStyle="1" w:styleId="BodyTextRight">
    <w:name w:val="Body Text Right"/>
    <w:basedOn w:val="BodyText"/>
    <w:rsid w:val="00A316EC"/>
    <w:pPr>
      <w:spacing w:before="0" w:after="0"/>
      <w:jc w:val="right"/>
    </w:pPr>
  </w:style>
  <w:style w:type="paragraph" w:styleId="Index3">
    <w:name w:val="index 3"/>
    <w:basedOn w:val="ListNumber2"/>
    <w:next w:val="Normal"/>
    <w:semiHidden/>
    <w:rsid w:val="00A316EC"/>
    <w:pPr>
      <w:numPr>
        <w:numId w:val="0"/>
      </w:numPr>
      <w:tabs>
        <w:tab w:val="right" w:leader="dot" w:pos="4176"/>
      </w:tabs>
    </w:pPr>
  </w:style>
  <w:style w:type="paragraph" w:styleId="ListNumber2">
    <w:name w:val="List Number 2"/>
    <w:basedOn w:val="List2"/>
    <w:rsid w:val="00A316EC"/>
    <w:pPr>
      <w:numPr>
        <w:numId w:val="10"/>
      </w:numPr>
      <w:tabs>
        <w:tab w:val="clear" w:pos="1060"/>
      </w:tabs>
    </w:pPr>
  </w:style>
  <w:style w:type="paragraph" w:customStyle="1" w:styleId="MarginNote">
    <w:name w:val="Margin Note"/>
    <w:basedOn w:val="BodyText"/>
    <w:rsid w:val="00A31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6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6EC"/>
    <w:rPr>
      <w:sz w:val="32"/>
    </w:rPr>
  </w:style>
  <w:style w:type="paragraph" w:customStyle="1" w:styleId="HeadingProcedure">
    <w:name w:val="Heading Procedure"/>
    <w:basedOn w:val="HeadingBase"/>
    <w:next w:val="Normal"/>
    <w:rsid w:val="00A316EC"/>
    <w:pPr>
      <w:tabs>
        <w:tab w:val="left" w:pos="0"/>
      </w:tabs>
      <w:spacing w:before="120" w:after="60"/>
    </w:pPr>
    <w:rPr>
      <w:i/>
      <w:color w:val="918585"/>
      <w:sz w:val="22"/>
    </w:rPr>
  </w:style>
  <w:style w:type="paragraph" w:customStyle="1" w:styleId="TableBodyText">
    <w:name w:val="Table Body Text"/>
    <w:basedOn w:val="BodyText"/>
    <w:rsid w:val="00A316EC"/>
    <w:pPr>
      <w:spacing w:before="60" w:after="60"/>
    </w:pPr>
  </w:style>
  <w:style w:type="paragraph" w:styleId="ListContinue">
    <w:name w:val="List Continue"/>
    <w:basedOn w:val="List"/>
    <w:rsid w:val="00A316EC"/>
    <w:pPr>
      <w:ind w:firstLine="0"/>
    </w:pPr>
  </w:style>
  <w:style w:type="paragraph" w:customStyle="1" w:styleId="ListNote">
    <w:name w:val="List Note"/>
    <w:basedOn w:val="List"/>
    <w:rsid w:val="00A316EC"/>
    <w:pPr>
      <w:pBdr>
        <w:top w:val="single" w:sz="6" w:space="2" w:color="918585"/>
        <w:bottom w:val="single" w:sz="6" w:space="2" w:color="918585"/>
      </w:pBdr>
      <w:tabs>
        <w:tab w:val="left" w:pos="1021"/>
      </w:tabs>
      <w:ind w:firstLine="0"/>
    </w:pPr>
  </w:style>
  <w:style w:type="paragraph" w:customStyle="1" w:styleId="Warning">
    <w:name w:val="Warning"/>
    <w:basedOn w:val="BodyText"/>
    <w:rsid w:val="00A316EC"/>
    <w:pPr>
      <w:shd w:val="clear" w:color="auto" w:fill="D9D9D9"/>
      <w:tabs>
        <w:tab w:val="left" w:pos="992"/>
      </w:tabs>
      <w:ind w:left="119" w:right="119"/>
    </w:pPr>
    <w:rPr>
      <w:sz w:val="20"/>
    </w:rPr>
  </w:style>
  <w:style w:type="paragraph" w:customStyle="1" w:styleId="MarginIcons">
    <w:name w:val="Margin Icons"/>
    <w:basedOn w:val="BodyText"/>
    <w:rsid w:val="00A31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6EC"/>
    <w:rPr>
      <w:rFonts w:ascii="Courier New" w:hAnsi="Courier New"/>
    </w:rPr>
  </w:style>
  <w:style w:type="paragraph" w:customStyle="1" w:styleId="NoteBullet">
    <w:name w:val="Note Bullet"/>
    <w:basedOn w:val="Note"/>
    <w:rsid w:val="00A316EC"/>
    <w:pPr>
      <w:tabs>
        <w:tab w:val="clear" w:pos="680"/>
      </w:tabs>
      <w:spacing w:before="60" w:after="60"/>
    </w:pPr>
  </w:style>
  <w:style w:type="paragraph" w:customStyle="1" w:styleId="SubHeading2">
    <w:name w:val="SubHeading2"/>
    <w:basedOn w:val="HeadingBase"/>
    <w:rsid w:val="00A316EC"/>
    <w:pPr>
      <w:spacing w:before="240" w:after="60"/>
    </w:pPr>
    <w:rPr>
      <w:sz w:val="20"/>
    </w:rPr>
  </w:style>
  <w:style w:type="paragraph" w:customStyle="1" w:styleId="SubHeading1">
    <w:name w:val="SubHeading1"/>
    <w:basedOn w:val="HeadingBase"/>
    <w:rsid w:val="00A316EC"/>
    <w:pPr>
      <w:spacing w:before="240" w:after="60"/>
    </w:pPr>
    <w:rPr>
      <w:color w:val="918585"/>
      <w:sz w:val="22"/>
    </w:rPr>
  </w:style>
  <w:style w:type="paragraph" w:customStyle="1" w:styleId="SideHeading">
    <w:name w:val="Side Heading"/>
    <w:basedOn w:val="HeadingBase"/>
    <w:rsid w:val="00A31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6EC"/>
    <w:pPr>
      <w:numPr>
        <w:numId w:val="12"/>
      </w:numPr>
    </w:pPr>
  </w:style>
  <w:style w:type="paragraph" w:styleId="PlainText">
    <w:name w:val="Plain Text"/>
    <w:basedOn w:val="Normal"/>
    <w:link w:val="PlainTextChar"/>
    <w:rsid w:val="00A316EC"/>
    <w:rPr>
      <w:sz w:val="20"/>
    </w:rPr>
  </w:style>
  <w:style w:type="character" w:customStyle="1" w:styleId="PlainTextChar">
    <w:name w:val="Plain Text Char"/>
    <w:basedOn w:val="DefaultParagraphFont"/>
    <w:link w:val="PlainText"/>
    <w:rsid w:val="00A316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6EC"/>
    <w:rPr>
      <w:b/>
      <w:smallCaps/>
    </w:rPr>
  </w:style>
  <w:style w:type="paragraph" w:customStyle="1" w:styleId="TableListNumber">
    <w:name w:val="Table List Number"/>
    <w:basedOn w:val="ListNumber"/>
    <w:rsid w:val="00A316EC"/>
    <w:pPr>
      <w:numPr>
        <w:numId w:val="0"/>
      </w:numPr>
    </w:pPr>
  </w:style>
  <w:style w:type="paragraph" w:styleId="TOC4">
    <w:name w:val="toc 4"/>
    <w:basedOn w:val="TOCBase"/>
    <w:next w:val="Normal"/>
    <w:semiHidden/>
    <w:rsid w:val="00A316EC"/>
    <w:pPr>
      <w:tabs>
        <w:tab w:val="right" w:leader="dot" w:pos="9071"/>
      </w:tabs>
      <w:ind w:left="1701"/>
    </w:pPr>
  </w:style>
  <w:style w:type="paragraph" w:customStyle="1" w:styleId="ListAlpha">
    <w:name w:val="List Alpha"/>
    <w:basedOn w:val="List"/>
    <w:rsid w:val="00A316EC"/>
    <w:pPr>
      <w:numPr>
        <w:numId w:val="9"/>
      </w:numPr>
    </w:pPr>
  </w:style>
  <w:style w:type="paragraph" w:customStyle="1" w:styleId="ListAlpha2">
    <w:name w:val="List Alpha 2"/>
    <w:basedOn w:val="List2"/>
    <w:rsid w:val="00A316EC"/>
    <w:pPr>
      <w:numPr>
        <w:numId w:val="8"/>
      </w:numPr>
    </w:pPr>
  </w:style>
  <w:style w:type="paragraph" w:styleId="List3">
    <w:name w:val="List 3"/>
    <w:basedOn w:val="BodyText"/>
    <w:rsid w:val="00A316EC"/>
    <w:pPr>
      <w:tabs>
        <w:tab w:val="left" w:pos="1021"/>
      </w:tabs>
      <w:spacing w:before="60" w:after="60"/>
      <w:ind w:left="1020" w:hanging="340"/>
    </w:pPr>
  </w:style>
  <w:style w:type="paragraph" w:styleId="List4">
    <w:name w:val="List 4"/>
    <w:basedOn w:val="BodyText"/>
    <w:rsid w:val="00A316EC"/>
    <w:pPr>
      <w:tabs>
        <w:tab w:val="left" w:pos="1361"/>
      </w:tabs>
      <w:spacing w:before="60" w:after="60"/>
      <w:ind w:left="1361" w:hanging="340"/>
    </w:pPr>
  </w:style>
  <w:style w:type="paragraph" w:styleId="List5">
    <w:name w:val="List 5"/>
    <w:basedOn w:val="BodyText"/>
    <w:rsid w:val="00A316EC"/>
    <w:pPr>
      <w:tabs>
        <w:tab w:val="left" w:pos="1701"/>
      </w:tabs>
      <w:spacing w:before="60" w:after="60"/>
      <w:ind w:left="1701" w:hanging="340"/>
    </w:pPr>
  </w:style>
  <w:style w:type="paragraph" w:styleId="ListBullet3">
    <w:name w:val="List Bullet 3"/>
    <w:basedOn w:val="List3"/>
    <w:rsid w:val="00A316EC"/>
    <w:pPr>
      <w:numPr>
        <w:numId w:val="15"/>
      </w:numPr>
      <w:tabs>
        <w:tab w:val="clear" w:pos="1021"/>
      </w:tabs>
      <w:ind w:left="1037" w:hanging="357"/>
    </w:pPr>
  </w:style>
  <w:style w:type="paragraph" w:styleId="ListBullet4">
    <w:name w:val="List Bullet 4"/>
    <w:basedOn w:val="List4"/>
    <w:rsid w:val="00A316EC"/>
    <w:pPr>
      <w:numPr>
        <w:numId w:val="3"/>
      </w:numPr>
    </w:pPr>
  </w:style>
  <w:style w:type="paragraph" w:styleId="ListBullet5">
    <w:name w:val="List Bullet 5"/>
    <w:basedOn w:val="List5"/>
    <w:rsid w:val="00A316EC"/>
    <w:pPr>
      <w:numPr>
        <w:numId w:val="4"/>
      </w:numPr>
    </w:pPr>
  </w:style>
  <w:style w:type="paragraph" w:styleId="ListContinue2">
    <w:name w:val="List Continue 2"/>
    <w:basedOn w:val="List2"/>
    <w:rsid w:val="00A316EC"/>
    <w:pPr>
      <w:ind w:firstLine="0"/>
    </w:pPr>
  </w:style>
  <w:style w:type="paragraph" w:styleId="ListContinue3">
    <w:name w:val="List Continue 3"/>
    <w:basedOn w:val="List3"/>
    <w:rsid w:val="00A316EC"/>
    <w:pPr>
      <w:ind w:left="1021" w:firstLine="0"/>
    </w:pPr>
  </w:style>
  <w:style w:type="paragraph" w:styleId="ListContinue4">
    <w:name w:val="List Continue 4"/>
    <w:basedOn w:val="List4"/>
    <w:rsid w:val="00A316EC"/>
    <w:pPr>
      <w:ind w:firstLine="0"/>
    </w:pPr>
  </w:style>
  <w:style w:type="paragraph" w:styleId="ListContinue5">
    <w:name w:val="List Continue 5"/>
    <w:basedOn w:val="List5"/>
    <w:rsid w:val="00A316EC"/>
    <w:pPr>
      <w:ind w:firstLine="0"/>
    </w:pPr>
  </w:style>
  <w:style w:type="paragraph" w:styleId="ListNumber3">
    <w:name w:val="List Number 3"/>
    <w:basedOn w:val="List3"/>
    <w:rsid w:val="00A316EC"/>
    <w:pPr>
      <w:numPr>
        <w:numId w:val="5"/>
      </w:numPr>
    </w:pPr>
  </w:style>
  <w:style w:type="paragraph" w:styleId="ListNumber4">
    <w:name w:val="List Number 4"/>
    <w:basedOn w:val="List4"/>
    <w:rsid w:val="00A316EC"/>
    <w:pPr>
      <w:numPr>
        <w:numId w:val="6"/>
      </w:numPr>
    </w:pPr>
  </w:style>
  <w:style w:type="paragraph" w:styleId="ListNumber5">
    <w:name w:val="List Number 5"/>
    <w:basedOn w:val="List5"/>
    <w:rsid w:val="00A316EC"/>
    <w:pPr>
      <w:numPr>
        <w:numId w:val="7"/>
      </w:numPr>
    </w:pPr>
  </w:style>
  <w:style w:type="paragraph" w:styleId="BlockText">
    <w:name w:val="Block Text"/>
    <w:basedOn w:val="Normal"/>
    <w:rsid w:val="00A316EC"/>
    <w:pPr>
      <w:spacing w:after="120"/>
      <w:ind w:left="1440" w:right="1440"/>
    </w:pPr>
  </w:style>
  <w:style w:type="character" w:customStyle="1" w:styleId="Subscript">
    <w:name w:val="Subscript"/>
    <w:basedOn w:val="DefaultParagraphFont"/>
    <w:rsid w:val="00A316EC"/>
    <w:rPr>
      <w:sz w:val="16"/>
      <w:vertAlign w:val="subscript"/>
    </w:rPr>
  </w:style>
  <w:style w:type="character" w:customStyle="1" w:styleId="Superscript">
    <w:name w:val="Superscript"/>
    <w:basedOn w:val="DefaultParagraphFont"/>
    <w:rsid w:val="00A316EC"/>
    <w:rPr>
      <w:sz w:val="16"/>
      <w:vertAlign w:val="superscript"/>
    </w:rPr>
  </w:style>
  <w:style w:type="character" w:customStyle="1" w:styleId="Symbols">
    <w:name w:val="Symbols"/>
    <w:basedOn w:val="DefaultParagraphFont"/>
    <w:rsid w:val="00A316EC"/>
    <w:rPr>
      <w:rFonts w:ascii="Symbol" w:hAnsi="Symbol"/>
    </w:rPr>
  </w:style>
  <w:style w:type="character" w:customStyle="1" w:styleId="MenuOptions">
    <w:name w:val="Menu Options"/>
    <w:basedOn w:val="DefaultParagraphFont"/>
    <w:rsid w:val="00A316EC"/>
    <w:rPr>
      <w:rFonts w:ascii="Arial Narrow" w:hAnsi="Arial Narrow"/>
      <w:smallCaps/>
    </w:rPr>
  </w:style>
  <w:style w:type="character" w:customStyle="1" w:styleId="Buttons">
    <w:name w:val="Buttons"/>
    <w:basedOn w:val="DefaultParagraphFont"/>
    <w:rsid w:val="00A316EC"/>
    <w:rPr>
      <w:b/>
    </w:rPr>
  </w:style>
  <w:style w:type="character" w:customStyle="1" w:styleId="Underlined">
    <w:name w:val="Underlined"/>
    <w:basedOn w:val="DefaultParagraphFont"/>
    <w:rsid w:val="00A316EC"/>
    <w:rPr>
      <w:u w:val="single"/>
    </w:rPr>
  </w:style>
  <w:style w:type="paragraph" w:customStyle="1" w:styleId="TableBodyTextRight">
    <w:name w:val="Table Body Text Right"/>
    <w:basedOn w:val="TableBodyText"/>
    <w:rsid w:val="00A316EC"/>
    <w:pPr>
      <w:widowControl w:val="0"/>
      <w:autoSpaceDE w:val="0"/>
      <w:autoSpaceDN w:val="0"/>
      <w:adjustRightInd w:val="0"/>
      <w:jc w:val="right"/>
    </w:pPr>
    <w:rPr>
      <w:rFonts w:cs="Arial"/>
      <w:szCs w:val="18"/>
    </w:rPr>
  </w:style>
  <w:style w:type="paragraph" w:customStyle="1" w:styleId="CopyrightText">
    <w:name w:val="Copyright Text"/>
    <w:basedOn w:val="BodyText"/>
    <w:rsid w:val="00A316EC"/>
    <w:rPr>
      <w:sz w:val="18"/>
    </w:rPr>
  </w:style>
  <w:style w:type="paragraph" w:customStyle="1" w:styleId="BodySmallRight">
    <w:name w:val="Body Small Right"/>
    <w:basedOn w:val="BodyTextRight"/>
    <w:rsid w:val="00A316EC"/>
    <w:rPr>
      <w:sz w:val="18"/>
      <w:szCs w:val="18"/>
    </w:rPr>
  </w:style>
  <w:style w:type="paragraph" w:customStyle="1" w:styleId="MarginEdition">
    <w:name w:val="Margin Edition"/>
    <w:basedOn w:val="MarginNote"/>
    <w:rsid w:val="00A316EC"/>
    <w:pPr>
      <w:spacing w:before="0" w:after="0"/>
    </w:pPr>
    <w:rPr>
      <w:rFonts w:ascii="Times New Roman" w:hAnsi="Times New Roman"/>
      <w:color w:val="999999"/>
    </w:rPr>
  </w:style>
  <w:style w:type="paragraph" w:customStyle="1" w:styleId="Spacer">
    <w:name w:val="Spacer"/>
    <w:basedOn w:val="Normal"/>
    <w:rsid w:val="00A316EC"/>
    <w:rPr>
      <w:sz w:val="2"/>
      <w:szCs w:val="2"/>
    </w:rPr>
  </w:style>
  <w:style w:type="character" w:customStyle="1" w:styleId="Small">
    <w:name w:val="Small"/>
    <w:basedOn w:val="DefaultParagraphFont"/>
    <w:rsid w:val="00A316EC"/>
    <w:rPr>
      <w:sz w:val="16"/>
    </w:rPr>
  </w:style>
  <w:style w:type="paragraph" w:customStyle="1" w:styleId="WideTable">
    <w:name w:val="Wide Table"/>
    <w:basedOn w:val="Normal"/>
    <w:rsid w:val="00A316EC"/>
    <w:pPr>
      <w:ind w:left="-1418"/>
    </w:pPr>
    <w:rPr>
      <w:sz w:val="2"/>
      <w:szCs w:val="2"/>
    </w:rPr>
  </w:style>
  <w:style w:type="character" w:styleId="PageNumber">
    <w:name w:val="page number"/>
    <w:basedOn w:val="DefaultParagraphFont"/>
    <w:rsid w:val="00A316EC"/>
  </w:style>
  <w:style w:type="paragraph" w:styleId="Quote">
    <w:name w:val="Quote"/>
    <w:basedOn w:val="Heading1"/>
    <w:link w:val="QuoteChar"/>
    <w:qFormat/>
    <w:rsid w:val="00A316EC"/>
    <w:rPr>
      <w:b w:val="0"/>
      <w:sz w:val="72"/>
      <w:szCs w:val="72"/>
      <w:lang w:val="en-NZ"/>
    </w:rPr>
  </w:style>
  <w:style w:type="character" w:customStyle="1" w:styleId="QuoteChar">
    <w:name w:val="Quote Char"/>
    <w:basedOn w:val="DefaultParagraphFont"/>
    <w:link w:val="Quote"/>
    <w:rsid w:val="00A31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6EC"/>
    <w:pPr>
      <w:pageBreakBefore/>
    </w:pPr>
  </w:style>
  <w:style w:type="paragraph" w:customStyle="1" w:styleId="Border">
    <w:name w:val="Border"/>
    <w:basedOn w:val="Normal"/>
    <w:qFormat/>
    <w:rsid w:val="00A31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6EC"/>
    <w:rPr>
      <w:b/>
      <w:bCs/>
      <w:i/>
      <w:iCs/>
      <w:color w:val="auto"/>
    </w:rPr>
  </w:style>
  <w:style w:type="paragraph" w:styleId="IntenseQuote">
    <w:name w:val="Intense Quote"/>
    <w:basedOn w:val="Normal"/>
    <w:next w:val="Normal"/>
    <w:link w:val="IntenseQuoteChar"/>
    <w:uiPriority w:val="30"/>
    <w:qFormat/>
    <w:rsid w:val="00A31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6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6EC"/>
    <w:rPr>
      <w:smallCaps/>
      <w:color w:val="auto"/>
      <w:u w:val="single"/>
    </w:rPr>
  </w:style>
  <w:style w:type="character" w:styleId="IntenseReference">
    <w:name w:val="Intense Reference"/>
    <w:basedOn w:val="DefaultParagraphFont"/>
    <w:uiPriority w:val="32"/>
    <w:qFormat/>
    <w:rsid w:val="00A316EC"/>
    <w:rPr>
      <w:b/>
      <w:bCs/>
      <w:smallCaps/>
      <w:color w:val="auto"/>
      <w:spacing w:val="5"/>
      <w:u w:val="single"/>
    </w:rPr>
  </w:style>
  <w:style w:type="paragraph" w:customStyle="1" w:styleId="2ColumnHeading">
    <w:name w:val="2Column Heading"/>
    <w:basedOn w:val="BodyText"/>
    <w:qFormat/>
    <w:rsid w:val="00A316EC"/>
    <w:pPr>
      <w:spacing w:after="60"/>
      <w:ind w:left="-2268"/>
    </w:pPr>
    <w:rPr>
      <w:b/>
    </w:rPr>
  </w:style>
  <w:style w:type="paragraph" w:customStyle="1" w:styleId="Heading1TOC">
    <w:name w:val="Heading1 TOC"/>
    <w:basedOn w:val="Normal"/>
    <w:qFormat/>
    <w:rsid w:val="00A316EC"/>
    <w:pPr>
      <w:spacing w:before="240" w:after="120"/>
    </w:pPr>
    <w:rPr>
      <w:rFonts w:ascii="Times New Roman" w:hAnsi="Times New Roman"/>
      <w:b/>
      <w:sz w:val="32"/>
    </w:rPr>
  </w:style>
  <w:style w:type="paragraph" w:customStyle="1" w:styleId="Heading2TOC">
    <w:name w:val="Heading2 TOC"/>
    <w:basedOn w:val="Normal"/>
    <w:qFormat/>
    <w:rsid w:val="00A316EC"/>
    <w:pPr>
      <w:spacing w:before="240" w:after="60"/>
    </w:pPr>
    <w:rPr>
      <w:rFonts w:ascii="Times New Roman" w:hAnsi="Times New Roman"/>
      <w:b/>
      <w:sz w:val="28"/>
    </w:rPr>
  </w:style>
  <w:style w:type="character" w:customStyle="1" w:styleId="Underline">
    <w:name w:val="Underline"/>
    <w:basedOn w:val="DefaultParagraphFont"/>
    <w:qFormat/>
    <w:rsid w:val="00A316EC"/>
    <w:rPr>
      <w:u w:val="single"/>
    </w:rPr>
  </w:style>
  <w:style w:type="paragraph" w:styleId="BalloonText">
    <w:name w:val="Balloon Text"/>
    <w:basedOn w:val="Normal"/>
    <w:link w:val="BalloonTextChar"/>
    <w:rsid w:val="00A316EC"/>
    <w:rPr>
      <w:rFonts w:ascii="Tahoma" w:hAnsi="Tahoma" w:cs="Tahoma"/>
      <w:sz w:val="16"/>
      <w:szCs w:val="16"/>
    </w:rPr>
  </w:style>
  <w:style w:type="character" w:customStyle="1" w:styleId="BalloonTextChar">
    <w:name w:val="Balloon Text Char"/>
    <w:basedOn w:val="DefaultParagraphFont"/>
    <w:link w:val="BalloonText"/>
    <w:rsid w:val="00A316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6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1012</Words>
  <Characters>6525</Characters>
  <Application>Microsoft Office Word</Application>
  <DocSecurity>0</DocSecurity>
  <Lines>212</Lines>
  <Paragraphs>132</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MEA137A Write aviation technical publications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2012-05-27T08:47:00Z</dcterms:created>
  <dcterms:modified xsi:type="dcterms:W3CDTF">2012-05-27T08:48:00Z</dcterms:modified>
</cp:coreProperties>
</file>